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3415C" w14:textId="77777777" w:rsidR="00DA6770" w:rsidRDefault="00DA6770"/>
    <w:p w14:paraId="58DF49A0" w14:textId="77777777" w:rsidR="007A4375" w:rsidRPr="007A4375" w:rsidRDefault="00E80742" w:rsidP="00200CCE">
      <w:pPr>
        <w:pStyle w:val="Title"/>
        <w:jc w:val="both"/>
        <w:rPr>
          <w:rFonts w:ascii="Cambria" w:hAnsi="Cambria"/>
          <w:sz w:val="40"/>
          <w:szCs w:val="40"/>
          <w:lang w:val="bg-BG"/>
        </w:rPr>
      </w:pPr>
      <w:r>
        <w:rPr>
          <w:rFonts w:ascii="Cambria" w:hAnsi="Cambria"/>
          <w:sz w:val="40"/>
          <w:szCs w:val="40"/>
          <w:lang w:val="bg-BG"/>
        </w:rPr>
        <w:t>П</w:t>
      </w:r>
      <w:r w:rsidR="007A4375" w:rsidRPr="007A4375">
        <w:rPr>
          <w:rFonts w:ascii="Cambria" w:hAnsi="Cambria"/>
          <w:sz w:val="40"/>
          <w:szCs w:val="40"/>
          <w:lang w:val="bg-BG"/>
        </w:rPr>
        <w:t>редварителна оценка на въздействието</w:t>
      </w:r>
      <w:r w:rsidR="007A4375" w:rsidRPr="007A4375">
        <w:rPr>
          <w:rFonts w:ascii="Cambria" w:hAnsi="Cambria"/>
          <w:sz w:val="40"/>
          <w:szCs w:val="40"/>
          <w:lang w:val="ru-RU"/>
        </w:rPr>
        <w:t xml:space="preserve">, </w:t>
      </w:r>
      <w:r w:rsidR="007A4375" w:rsidRPr="007A4375">
        <w:rPr>
          <w:rFonts w:ascii="Cambria" w:hAnsi="Cambria"/>
          <w:sz w:val="40"/>
          <w:szCs w:val="40"/>
          <w:lang w:val="bg-BG"/>
        </w:rPr>
        <w:t>Национална стратегия за околна среда, 2030 г.</w:t>
      </w:r>
    </w:p>
    <w:p w14:paraId="09186BDA" w14:textId="77777777" w:rsidR="007A4375" w:rsidRPr="006E4112" w:rsidRDefault="00E80742" w:rsidP="007A4375">
      <w:pPr>
        <w:pStyle w:val="NormalWeb"/>
        <w:spacing w:before="120" w:beforeAutospacing="0" w:after="120" w:afterAutospacing="0" w:line="276" w:lineRule="auto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>П</w:t>
      </w:r>
      <w:r w:rsidR="007A4375" w:rsidRPr="006E4112">
        <w:rPr>
          <w:i/>
          <w:sz w:val="22"/>
          <w:szCs w:val="22"/>
          <w:lang w:val="bg-BG"/>
        </w:rPr>
        <w:t>редварителна</w:t>
      </w:r>
      <w:r>
        <w:rPr>
          <w:i/>
          <w:sz w:val="22"/>
          <w:szCs w:val="22"/>
          <w:lang w:val="bg-BG"/>
        </w:rPr>
        <w:t>та</w:t>
      </w:r>
      <w:r w:rsidR="007A4375" w:rsidRPr="006E4112">
        <w:rPr>
          <w:i/>
          <w:sz w:val="22"/>
          <w:szCs w:val="22"/>
          <w:lang w:val="bg-BG"/>
        </w:rPr>
        <w:t xml:space="preserve"> оценка на въздействието е изготвена като са следвани указанията в Ръководството за предварителна оценка на въздействието, изготвено от Министерски съвет през 2019 г. Макар ръководството да насочва към предварителна оценка на въздействието по отношение на</w:t>
      </w:r>
      <w:r>
        <w:rPr>
          <w:i/>
          <w:sz w:val="22"/>
          <w:szCs w:val="22"/>
          <w:lang w:val="bg-BG"/>
        </w:rPr>
        <w:t xml:space="preserve"> </w:t>
      </w:r>
      <w:r w:rsidRPr="0013275C">
        <w:rPr>
          <w:i/>
          <w:sz w:val="22"/>
          <w:szCs w:val="22"/>
          <w:lang w:val="bg-BG"/>
        </w:rPr>
        <w:t>нормативни</w:t>
      </w:r>
      <w:r>
        <w:rPr>
          <w:i/>
          <w:sz w:val="22"/>
          <w:szCs w:val="22"/>
          <w:lang w:val="bg-BG"/>
        </w:rPr>
        <w:t xml:space="preserve"> актове</w:t>
      </w:r>
      <w:r w:rsidR="007A4375" w:rsidRPr="006E4112">
        <w:rPr>
          <w:i/>
          <w:sz w:val="22"/>
          <w:szCs w:val="22"/>
          <w:lang w:val="bg-BG"/>
        </w:rPr>
        <w:t>, методите, които са развити и подходът към предварителна оценка са приложими и в конкретния случай.</w:t>
      </w:r>
    </w:p>
    <w:p w14:paraId="08EE2CD1" w14:textId="77777777" w:rsidR="007A4375" w:rsidRPr="00200CCE" w:rsidRDefault="007A4375">
      <w:pPr>
        <w:rPr>
          <w:lang w:val="en-US"/>
        </w:rPr>
      </w:pPr>
    </w:p>
    <w:p w14:paraId="3439FE41" w14:textId="77777777" w:rsidR="007A4375" w:rsidRPr="003D2D76" w:rsidRDefault="007A4375" w:rsidP="007A4375">
      <w:pPr>
        <w:pStyle w:val="Heading2"/>
        <w:rPr>
          <w:rFonts w:ascii="Cambria" w:eastAsia="Times New Roman" w:hAnsi="Cambria"/>
        </w:rPr>
      </w:pPr>
      <w:r w:rsidRPr="006E4112">
        <w:rPr>
          <w:rFonts w:ascii="Cambria" w:eastAsia="Times New Roman" w:hAnsi="Cambria"/>
          <w:lang w:val="bg-BG"/>
        </w:rPr>
        <w:t xml:space="preserve">1. Проблем/проблеми за решаване: </w:t>
      </w:r>
      <w:bookmarkStart w:id="0" w:name="_GoBack"/>
      <w:bookmarkEnd w:id="0"/>
    </w:p>
    <w:p w14:paraId="2FDBE386" w14:textId="504419A6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C642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Проблем 1. Предходната Национална стратегия за околна среда е с </w:t>
      </w:r>
      <w:r w:rsidR="001327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изтекъл срок </w:t>
      </w:r>
      <w:r w:rsidRPr="004C642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на действие Не е актуализирана и няма приета нова стратегия до момента. </w:t>
      </w:r>
    </w:p>
    <w:p w14:paraId="21B45257" w14:textId="77777777" w:rsidR="00921772" w:rsidRPr="00921772" w:rsidRDefault="007A4375" w:rsidP="0092177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>Националната стратегия за околна среда се изготвя на основание чл. 75, ал. 2 и ал. 4 от Закона за опазване на околната среда</w:t>
      </w:r>
      <w:r w:rsidR="00422AD4">
        <w:rPr>
          <w:rFonts w:ascii="Times New Roman" w:hAnsi="Times New Roman" w:cs="Times New Roman"/>
          <w:sz w:val="24"/>
          <w:szCs w:val="24"/>
          <w:lang w:val="bg-BG"/>
        </w:rPr>
        <w:t xml:space="preserve"> (ЗООС)</w:t>
      </w:r>
      <w:r w:rsidRPr="004C642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21772" w:rsidRPr="0013275C">
        <w:t xml:space="preserve"> </w:t>
      </w:r>
      <w:r w:rsidR="00921772" w:rsidRPr="00921772">
        <w:rPr>
          <w:rFonts w:ascii="Times New Roman" w:hAnsi="Times New Roman" w:cs="Times New Roman"/>
          <w:sz w:val="24"/>
          <w:szCs w:val="24"/>
          <w:lang w:val="bg-BG"/>
        </w:rPr>
        <w:t>С Решение № 455/20.06.2001 г. на Министерския съвет е приета Национ</w:t>
      </w:r>
      <w:r w:rsidR="00921772">
        <w:rPr>
          <w:rFonts w:ascii="Times New Roman" w:hAnsi="Times New Roman" w:cs="Times New Roman"/>
          <w:sz w:val="24"/>
          <w:szCs w:val="24"/>
          <w:lang w:val="bg-BG"/>
        </w:rPr>
        <w:t xml:space="preserve">ална стратегия за околна среда </w:t>
      </w:r>
      <w:r w:rsidR="00921772" w:rsidRPr="00921772">
        <w:rPr>
          <w:rFonts w:ascii="Times New Roman" w:hAnsi="Times New Roman" w:cs="Times New Roman"/>
          <w:sz w:val="24"/>
          <w:szCs w:val="24"/>
          <w:lang w:val="bg-BG"/>
        </w:rPr>
        <w:t xml:space="preserve">и Национален план за действие 2000 – 2006 г. </w:t>
      </w:r>
    </w:p>
    <w:p w14:paraId="1DC79219" w14:textId="77777777" w:rsidR="00921772" w:rsidRPr="00921772" w:rsidRDefault="00921772" w:rsidP="0092177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21772">
        <w:rPr>
          <w:rFonts w:ascii="Times New Roman" w:hAnsi="Times New Roman" w:cs="Times New Roman"/>
          <w:sz w:val="24"/>
          <w:szCs w:val="24"/>
          <w:lang w:val="bg-BG"/>
        </w:rPr>
        <w:t>Съгласно чл. 75, ал. 2 от</w:t>
      </w:r>
      <w:r w:rsidR="00422AD4">
        <w:rPr>
          <w:rFonts w:ascii="Times New Roman" w:hAnsi="Times New Roman" w:cs="Times New Roman"/>
          <w:sz w:val="24"/>
          <w:szCs w:val="24"/>
          <w:lang w:val="bg-BG"/>
        </w:rPr>
        <w:t xml:space="preserve"> ЗООС</w:t>
      </w:r>
      <w:r>
        <w:rPr>
          <w:rFonts w:ascii="Times New Roman" w:hAnsi="Times New Roman" w:cs="Times New Roman"/>
          <w:sz w:val="24"/>
          <w:szCs w:val="24"/>
          <w:lang w:val="bg-BG"/>
        </w:rPr>
        <w:t>, М</w:t>
      </w:r>
      <w:r w:rsidR="00422AD4">
        <w:rPr>
          <w:rFonts w:ascii="Times New Roman" w:hAnsi="Times New Roman" w:cs="Times New Roman"/>
          <w:sz w:val="24"/>
          <w:szCs w:val="24"/>
          <w:lang w:val="bg-BG"/>
        </w:rPr>
        <w:t>инистерството на околната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среда и водите 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 xml:space="preserve">разработва Национална стратегия за околна среда и я внася за одобряване </w:t>
      </w:r>
      <w:r>
        <w:rPr>
          <w:rFonts w:ascii="Times New Roman" w:hAnsi="Times New Roman" w:cs="Times New Roman"/>
          <w:sz w:val="24"/>
          <w:szCs w:val="24"/>
          <w:lang w:val="bg-BG"/>
        </w:rPr>
        <w:t>от Министерския съвет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>, като одобрената стратегия се внася в Народното събрание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приемане (чл. 75, ал. 4 от</w:t>
      </w:r>
      <w:r w:rsidR="00422AD4">
        <w:rPr>
          <w:rFonts w:ascii="Times New Roman" w:hAnsi="Times New Roman" w:cs="Times New Roman"/>
          <w:sz w:val="24"/>
          <w:szCs w:val="24"/>
          <w:lang w:val="bg-BG"/>
        </w:rPr>
        <w:t xml:space="preserve"> ЗООС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>). Законовите разпоредби предвиждат стратегията да се разработва за период от 10 години и да съдържа петгодишен план за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действие (чл. 76, ал. 1 от</w:t>
      </w:r>
      <w:r w:rsidR="00422AD4">
        <w:rPr>
          <w:rFonts w:ascii="Times New Roman" w:hAnsi="Times New Roman" w:cs="Times New Roman"/>
          <w:sz w:val="24"/>
          <w:szCs w:val="24"/>
          <w:lang w:val="bg-BG"/>
        </w:rPr>
        <w:t xml:space="preserve"> ЗООС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 xml:space="preserve">). </w:t>
      </w:r>
    </w:p>
    <w:p w14:paraId="0A51EB4B" w14:textId="15BFD7BF" w:rsidR="007A4375" w:rsidRPr="004C642B" w:rsidRDefault="00921772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21772">
        <w:rPr>
          <w:rFonts w:ascii="Times New Roman" w:hAnsi="Times New Roman" w:cs="Times New Roman"/>
          <w:sz w:val="24"/>
          <w:szCs w:val="24"/>
          <w:lang w:val="bg-BG"/>
        </w:rPr>
        <w:t>В периода 2008-2009 г. е разработен проект на Национална стратегия за околна среда 2009-2018 г. и План за действие към нея, ко</w:t>
      </w:r>
      <w:r>
        <w:rPr>
          <w:rFonts w:ascii="Times New Roman" w:hAnsi="Times New Roman" w:cs="Times New Roman"/>
          <w:sz w:val="24"/>
          <w:szCs w:val="24"/>
          <w:lang w:val="bg-BG"/>
        </w:rPr>
        <w:t>йто е одобрен на заседание на Министерския съвет на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 xml:space="preserve"> 30 април 2009 г. и внесен за приемане от Народното събрание. Проект</w:t>
      </w:r>
      <w:r w:rsidR="00DF1AE8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13275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21772">
        <w:rPr>
          <w:rFonts w:ascii="Times New Roman" w:hAnsi="Times New Roman" w:cs="Times New Roman"/>
          <w:sz w:val="24"/>
          <w:szCs w:val="24"/>
          <w:lang w:val="bg-BG"/>
        </w:rPr>
        <w:t>документът не е приет от Народното събрание, поради изтичането на мандата, в резултат на което Стратегията и Плана за действие не са влезли в сила.</w:t>
      </w:r>
      <w:r w:rsidR="007A4375"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 Компетенциите, свързани с осъществяване на държавната политика по опазване на околната среда, се определят в чл. 8 и чл. 9 от ЗООС. Съгласно чл. 8 от същия закон </w:t>
      </w:r>
      <w:r w:rsidR="007A4375"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държавната политика по опазване на околната среда се осъществява от министъра на околната среда и водите. Чл. 9 урежда компетентностите на изпълнителната власт по отношение на интегрираността на политиката в отделните секторни политики - </w:t>
      </w:r>
      <w:r w:rsidR="007A4375"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транспорт, енергетика, строителство, селско стопанство, туризъм, промишленост, образование и други.</w:t>
      </w:r>
    </w:p>
    <w:p w14:paraId="03BC54D2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чл. 8, в чл. 11 от ЗООС изчерпателно са изброени компетенциите на министъра на околната среда и водите, включително по отношение разработването на политиката и стратегията за опазване на околната среда в Република България, контрола на състоянието на околната среда, координацията на правомощията на другите органи на изпълнителната власт по отношение на околната среда и др.</w:t>
      </w:r>
    </w:p>
    <w:p w14:paraId="6B0EB515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Процесът на разработване, съгласуване, приемане и одобрение на Националната стратегия за околна среда се разглежда в чл. 75 от ЗООС, като се подчертават функциите на документа като „средство за постигане на целите на закона“ при прилагане „принципите за опазване на околната среда“. </w:t>
      </w:r>
    </w:p>
    <w:p w14:paraId="2E45DAB2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>Разпоредбите на закона са лаконични по отношение на процедурите по разработване, приемане и актуализация на Националната стратегия. Видно от цитираното по-горе, разпоредбите различават две нива: на одобрение – от Министерски съвет и приемане – от Народното събрание. Аналогично, същото е валидно в хипотезата на изменение, допълнение и актуализация на стратегията и петгодишните планове към нея.</w:t>
      </w:r>
    </w:p>
    <w:p w14:paraId="48E3A014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Съгласно Конституцията на Република България, </w:t>
      </w:r>
      <w:r w:rsidRPr="004C642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bg-BG"/>
        </w:rPr>
        <w:t xml:space="preserve">Народното събрание осъществява законодателната власт и упражнява парламентарен контрол (чл. 62 от КРБ). Определените от Конституцията правомощия на Министерския съвет са обвързани с ръководството и осъществяването на вътрешната и външната политика на страната в съответствие с Конституцията и законите. </w:t>
      </w:r>
    </w:p>
    <w:p w14:paraId="5F80E8B2" w14:textId="77777777" w:rsidR="00422AD4" w:rsidRDefault="00422AD4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422AD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да се осигури цялостна, систематична и интегрирана визия за развитие и прилагане на политиките по околна среда, и да се изпълнят законовите изисквания на ЗООС е необходимо да се разработи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Национална</w:t>
      </w:r>
      <w:r w:rsidRPr="00422AD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стратегия за околна среда, като самостоятелен документ, който да обхваща и дава общата визия за действи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 в областта на околната среда</w:t>
      </w:r>
      <w:r w:rsidRPr="00422AD4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 Целта е разработване на стратегически документ, който да бъде максимално ясен, неповтарящ конкретните секторни мерки и представящ общата рамка (вкл. интегрирането в другите секторни политики) на политиката в дългосрочен план.</w:t>
      </w:r>
    </w:p>
    <w:p w14:paraId="6F6BCECD" w14:textId="77777777" w:rsidR="004063CC" w:rsidRPr="004063CC" w:rsidRDefault="004063CC" w:rsidP="004063CC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Чрез разработването на 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атегията следва да се осигури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интегрирана визия в дългосроч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ен план за политиката по околна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среда, която да обхваща и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ава обща стратегическа рамка за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действие в областта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околната среда. Стратегията следва да осигури и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добавена стойност в подкрепа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на хоризонталния характер на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екологичната политик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а, като чрез нея ще се създадат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взаимосвързани и последо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вателни връзки с други секторни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политики, което ще допринесе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по-добре координирани действия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политиката в областта на околната среда и не на посл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едно място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ще даде позитивен образ на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раната ни пред международните и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европейските партньори. Местнит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 власти, бизнес организациите,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неправителствения сек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тор, администрациите ще получат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дългосрочна и целенасочена визия за приоритети и целите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политиката по околната среда.</w:t>
      </w:r>
    </w:p>
    <w:p w14:paraId="15E97C05" w14:textId="77777777" w:rsidR="004063CC" w:rsidRDefault="004063CC" w:rsidP="004063CC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Предизвикателствата, свързани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околната среда рефлектират във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всички сектори на икономиката и сф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ери на живота и обратно, и това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изисква по-интегрирани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и комплексни подходи за тяхното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решаване. Национална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та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стратегия за околна сре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 чрез своя общ хоризонтален и интегриращ обхват, ще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адр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есира към системния характер на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предизвикателствата в областта на политиката по околната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реда и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необходимостта да се работи върху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пакети от политики с по-широка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перспектива за устойчивост, като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се интегрират и трите измерения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на устойчивото развитие и се изп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олзват пълноценно възможностите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за взаимни ползи и синергии между различните политики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областта </w:t>
      </w:r>
      <w:r w:rsidRPr="004063C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на околната среда.</w:t>
      </w:r>
    </w:p>
    <w:p w14:paraId="394794DF" w14:textId="5F98D8E2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 w:bidi="bg-BG"/>
        </w:rPr>
      </w:pPr>
      <w:r w:rsidRPr="004C642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Националната стратегия за околна среда се разработва</w:t>
      </w:r>
      <w:r w:rsidRPr="004C642B">
        <w:rPr>
          <w:rFonts w:ascii="Times New Roman" w:hAnsi="Times New Roman" w:cs="Times New Roman"/>
          <w:sz w:val="24"/>
          <w:szCs w:val="24"/>
          <w:lang w:val="bg-BG" w:bidi="bg-BG"/>
        </w:rPr>
        <w:t xml:space="preserve"> в </w:t>
      </w:r>
      <w:r w:rsidR="005F4188">
        <w:rPr>
          <w:rFonts w:ascii="Times New Roman" w:hAnsi="Times New Roman" w:cs="Times New Roman"/>
          <w:sz w:val="24"/>
          <w:szCs w:val="24"/>
          <w:lang w:val="bg-BG" w:bidi="bg-BG"/>
        </w:rPr>
        <w:t>контекста</w:t>
      </w:r>
      <w:r w:rsidR="005F4188" w:rsidRPr="004C642B">
        <w:rPr>
          <w:rFonts w:ascii="Times New Roman" w:hAnsi="Times New Roman" w:cs="Times New Roman"/>
          <w:sz w:val="24"/>
          <w:szCs w:val="24"/>
          <w:lang w:val="bg-BG" w:bidi="bg-BG"/>
        </w:rPr>
        <w:t xml:space="preserve"> </w:t>
      </w:r>
      <w:r w:rsidRPr="004C642B">
        <w:rPr>
          <w:rFonts w:ascii="Times New Roman" w:hAnsi="Times New Roman" w:cs="Times New Roman"/>
          <w:sz w:val="24"/>
          <w:szCs w:val="24"/>
          <w:lang w:val="bg-BG" w:bidi="bg-BG"/>
        </w:rPr>
        <w:t>на актуалните за сектора стратегически и програмни документи на национално, европейско и международно ниво като изследва и приоритизира ключовите за националния контекст предизвикателства, свързани с опазването на околната среда. Стратегията е динамичен документ, който предоставя референтна рамка за подготовка и планиране на стратегии и програми на различни нива, мотивира интегриране на принципите на опазването на околната среда във всички управленски политики и инициативи. В този смисъл актуализацията на стратегията в съответствие с резултатите от извършвания мониторинг на изпълнението и в съответствие с развитието на международните и европейски стратегии и концепции за устойчиво и ресурсно ефективно развитие следва да бъде осигурено чрез намаляване на административната тежест, гъвкави процедури по приемане и одобрение, но при широко прилагане на инструменти и подходи за обществено консултиране, съгласуваност и прозрачност при вземане на решения.</w:t>
      </w:r>
    </w:p>
    <w:p w14:paraId="0A270CAD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C642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Проблем 2. Актуализация на политиката по околна среда на европейско и национално ниво. </w:t>
      </w:r>
    </w:p>
    <w:p w14:paraId="171DFE46" w14:textId="16BD7EAE" w:rsidR="007A4375" w:rsidRPr="004C642B" w:rsidRDefault="007A4375" w:rsidP="007A4375">
      <w:pPr>
        <w:pStyle w:val="NormalWeb"/>
        <w:spacing w:before="120" w:beforeAutospacing="0" w:after="120" w:afterAutospacing="0" w:line="276" w:lineRule="auto"/>
        <w:jc w:val="both"/>
        <w:rPr>
          <w:lang w:val="bg-BG"/>
        </w:rPr>
      </w:pPr>
      <w:r w:rsidRPr="004C642B">
        <w:rPr>
          <w:lang w:val="bg-BG"/>
        </w:rPr>
        <w:t xml:space="preserve">През ноември 2016 г. Европейската комисия представи своя стратегически подход към изпълнението на Програмата </w:t>
      </w:r>
      <w:r w:rsidR="005F4188">
        <w:rPr>
          <w:lang w:val="bg-BG"/>
        </w:rPr>
        <w:t xml:space="preserve">на ООН </w:t>
      </w:r>
      <w:r w:rsidRPr="004C642B">
        <w:rPr>
          <w:lang w:val="bg-BG"/>
        </w:rPr>
        <w:t>до 2030 г., включваща целите за устойчиво развитие. Основни действия за изпълнението на Програмата до 2030 г.: включване на ЦУР в политиките и инициативите на ЕС във всички области и разглеждане на устойчивото развитие като важен ръководен принцип за всички политики на общността; осигуряване на редовно докладване за напредъка на ЕС, считано от 2017 г.; координиране на изпълнението на Програмата до 2030 г. с правителствата на страните от ЕС, Европейския парламент, други европейски институции, международни организации, организации на гражданското общество, граждани и други заинтересовани страни; създаване на многостранна платформа на високо равнище в подкрепа на обмена на добри практики по отношение на изпълнението в различните сектори на национално и европейско равнище и изграждане на по-дългосрочна визия с перспективи за периода след 2020 г.</w:t>
      </w:r>
    </w:p>
    <w:p w14:paraId="74B08A75" w14:textId="05C53F4E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  <w:t>През декември 2019 г. Европейската комисията прие Европейския зелен пакт</w:t>
      </w:r>
      <w:r w:rsidRPr="004C642B">
        <w:rPr>
          <w:rStyle w:val="FootnoteReference"/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  <w:footnoteReference w:id="1"/>
      </w:r>
      <w:r w:rsidRPr="004C642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  <w:t xml:space="preserve"> — амбициозна програма, с която Европа да се превърне до 2050 г. в първия неутрален по отношение на климата континент и да се опази, съхрани и увеличи природният капитал на ЕС, както и да се защитят здравето и благоденствието на гражданите от свързани с околната среда рискове и въздействия. Тази програма се основава на модел на растеж с възстановяване, чрез който на планетата се връща обратно повече, отколкото се взема. Тя очертава приоритетите в областта на околната среда за следващите години и подчертава амбицията на Съюза да преобразува икономиката си за устойчиво бъдеще, като никой да не бъде изоставен. За реализиране на тези цели програмата съдържа набор от дълбоко преобразуващи политики и призовава Съюза да засили своята водеща роля на световната сцена по въпросите на климата и околната среда.</w:t>
      </w:r>
    </w:p>
    <w:p w14:paraId="33BCB233" w14:textId="77777777" w:rsidR="007A4375" w:rsidRPr="004C642B" w:rsidRDefault="007A4375" w:rsidP="007A4375">
      <w:pPr>
        <w:pStyle w:val="NormalWeb"/>
        <w:spacing w:before="120" w:beforeAutospacing="0" w:after="120" w:afterAutospacing="0" w:line="276" w:lineRule="auto"/>
        <w:jc w:val="both"/>
        <w:rPr>
          <w:lang w:val="bg-BG"/>
        </w:rPr>
      </w:pPr>
      <w:r w:rsidRPr="004C642B">
        <w:rPr>
          <w:lang w:val="bg-BG"/>
        </w:rPr>
        <w:t>Европейският зелен пакт предоставя план за действие</w:t>
      </w:r>
      <w:r w:rsidRPr="004C642B">
        <w:rPr>
          <w:rStyle w:val="FootnoteReference"/>
          <w:lang w:val="bg-BG"/>
        </w:rPr>
        <w:footnoteReference w:id="2"/>
      </w:r>
      <w:r w:rsidRPr="004C642B">
        <w:rPr>
          <w:lang w:val="bg-BG"/>
        </w:rPr>
        <w:t xml:space="preserve"> за повишаване на ефективното използване на ресурсите чрез преминаване към чиста, кръгова икономика, възстановяване на биологичното разнообразие и намаляване на замърсяването. В плана са посочени необходимите инвестиции и наличните финансови инструменти за гарантиране на справедлив и приобщаващ преход.</w:t>
      </w:r>
    </w:p>
    <w:p w14:paraId="690D2691" w14:textId="77777777" w:rsidR="007A4375" w:rsidRPr="004C642B" w:rsidRDefault="007A4375" w:rsidP="007A4375">
      <w:pPr>
        <w:pStyle w:val="NormalWeb"/>
        <w:spacing w:before="120" w:beforeAutospacing="0" w:after="120" w:afterAutospacing="0" w:line="276" w:lineRule="auto"/>
        <w:jc w:val="both"/>
        <w:rPr>
          <w:lang w:val="bg-BG"/>
        </w:rPr>
      </w:pPr>
      <w:r w:rsidRPr="004C642B">
        <w:rPr>
          <w:lang w:val="bg-BG"/>
        </w:rPr>
        <w:t>Подчертава се необходимостта от действия във всички сектори на икономиката, като например: инвестиране в екологосъобразни технологии; подкрепа на иновациите в промишлеността; въвеждане на по-чисти, по-евтини и по-здравословни форми на частен и обществен транспорт; декарбонизация на енергийния сектор; подобряване на енергийната ефективност на сградите и работа с международни партньори за подобряване на екологичните стандарти в световен мащаб.</w:t>
      </w:r>
    </w:p>
    <w:p w14:paraId="388D72ED" w14:textId="7B1A47B5" w:rsidR="007A4375" w:rsidRPr="004C642B" w:rsidRDefault="007A4375" w:rsidP="007A4375">
      <w:pPr>
        <w:pStyle w:val="NormalWeb"/>
        <w:spacing w:before="120" w:beforeAutospacing="0" w:after="120" w:afterAutospacing="0" w:line="276" w:lineRule="auto"/>
        <w:jc w:val="both"/>
        <w:rPr>
          <w:lang w:val="bg-BG"/>
        </w:rPr>
      </w:pPr>
      <w:r w:rsidRPr="004C642B">
        <w:rPr>
          <w:lang w:val="bg-BG"/>
        </w:rPr>
        <w:t xml:space="preserve">Планът предвижда финансова подкрепа и техническа помощ </w:t>
      </w:r>
      <w:r w:rsidR="005F4188">
        <w:rPr>
          <w:lang w:val="bg-BG"/>
        </w:rPr>
        <w:t>за</w:t>
      </w:r>
      <w:r w:rsidRPr="004C642B">
        <w:rPr>
          <w:lang w:val="bg-BG"/>
        </w:rPr>
        <w:t xml:space="preserve"> на най-силно засегнатите от прехода към екологосъобразна икономика чрез механизма за справедлив преход</w:t>
      </w:r>
      <w:r w:rsidRPr="004C642B">
        <w:rPr>
          <w:rStyle w:val="FootnoteReference"/>
          <w:lang w:val="bg-BG"/>
        </w:rPr>
        <w:footnoteReference w:id="3"/>
      </w:r>
      <w:r w:rsidRPr="004C642B">
        <w:rPr>
          <w:lang w:val="bg-BG"/>
        </w:rPr>
        <w:t>. Той ще помогне за мобилизирането на най-малко 100 млрд. евро за периода 2021-2027 г. в най-засегнатите региони.</w:t>
      </w:r>
    </w:p>
    <w:p w14:paraId="257EB74E" w14:textId="3A3DE9AF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След широкия дебат по съобщението „Чиста планета за всички“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4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през март 2020 г., ЕС представи своята дългосрочна стратегия, с която се ангажира до 2050 г. да се превърне в неутрална по отношение на климата икономика. Комисията предложи тази цел да бъде заложена в законодателството на ЕС в областта на климата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5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. Освен това Европейската комисия прие и редица нови стратегически инициативи, по-специално нов план за действие относно кръговата икономика за чиста и конкурентоспособна Европа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6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, стратегия за биологичното разнообразие </w:t>
      </w:r>
      <w:r w:rsidR="005F4188">
        <w:rPr>
          <w:rFonts w:ascii="Times New Roman" w:hAnsi="Times New Roman" w:cs="Times New Roman"/>
          <w:noProof/>
          <w:sz w:val="24"/>
          <w:szCs w:val="24"/>
          <w:lang w:val="bg-BG"/>
        </w:rPr>
        <w:t>до</w:t>
      </w:r>
      <w:r w:rsidR="005F4188"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</w:t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2030 г.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7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, План за действие за кръгова икономика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8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, </w:t>
      </w:r>
      <w:r w:rsidRPr="004C642B">
        <w:rPr>
          <w:rFonts w:ascii="Times New Roman" w:hAnsi="Times New Roman" w:cs="Times New Roman"/>
          <w:sz w:val="24"/>
          <w:szCs w:val="24"/>
          <w:lang w:val="bg-BG"/>
        </w:rPr>
        <w:t>с акцент върху устойчивото използване на ресурсите, С</w:t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тратегия „От фермата до трапезата“</w:t>
      </w:r>
      <w:r w:rsidRPr="004C642B">
        <w:rPr>
          <w:rStyle w:val="FootnoteReference"/>
          <w:rFonts w:ascii="Times New Roman" w:hAnsi="Times New Roman" w:cs="Times New Roman"/>
          <w:noProof/>
          <w:sz w:val="24"/>
          <w:szCs w:val="24"/>
          <w:lang w:val="bg-BG"/>
        </w:rPr>
        <w:footnoteReference w:id="9"/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</w:t>
      </w:r>
      <w:r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за повишаване устойчивостта на продоволствените системи. </w:t>
      </w:r>
    </w:p>
    <w:p w14:paraId="094AF093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>Други инициативи са приемане на стратегиите на ЕС за интеграция на енергийната система и за използване на водорода</w:t>
      </w:r>
      <w:r w:rsidRPr="004C642B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0"/>
      </w:r>
      <w:r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, за да се проправи пътят към изцяло декарбонизиран, по-ефективен и взаимосвързан енергиен сектор. Двете стратегии представят нова програма за инвестиции в чистата енергия в съответствие с пакета за възстановяване от следващо поколение (Next Generation EU) на Комисията и Европейския зелен пакт. Планираните инвестиции имат потенциала да стимулират икономическото възстановяване от кризата, предизвикана от коронавируса. Те разкриват работни места в Европа и затвърждават водещите позиции и конкурентоспособността ни в стратегически отрасли, които са от решаващо значение за устойчивостта на Европа. </w:t>
      </w:r>
    </w:p>
    <w:p w14:paraId="1AFBE496" w14:textId="743AAD05" w:rsidR="007A4375" w:rsidRPr="004C642B" w:rsidRDefault="007A4375" w:rsidP="007A4375">
      <w:pPr>
        <w:widowControl w:val="0"/>
        <w:spacing w:before="120" w:after="120" w:line="276" w:lineRule="auto"/>
        <w:ind w:right="4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  <w:lang w:val="bg-BG"/>
        </w:rPr>
      </w:pPr>
      <w:r w:rsidRPr="004C642B">
        <w:rPr>
          <w:rFonts w:ascii="Times New Roman" w:eastAsia="Microsoft Sans Serif" w:hAnsi="Times New Roman" w:cs="Times New Roman"/>
          <w:color w:val="000000"/>
          <w:sz w:val="24"/>
          <w:szCs w:val="24"/>
          <w:lang w:val="bg-BG"/>
        </w:rPr>
        <w:t xml:space="preserve">Рамката на европейската политика в областта на околната среда във все по-голяма степен се определя от амбициозни дългосрочни визии и цели. Всеобщата визия за околната среда и обществото на Европа е изложена в </w:t>
      </w:r>
      <w:r w:rsidR="00745F81">
        <w:rPr>
          <w:rFonts w:ascii="Times New Roman" w:eastAsia="Microsoft Sans Serif" w:hAnsi="Times New Roman" w:cs="Times New Roman"/>
          <w:color w:val="000000"/>
          <w:sz w:val="24"/>
          <w:szCs w:val="24"/>
          <w:lang w:val="bg-BG"/>
        </w:rPr>
        <w:t>8</w:t>
      </w:r>
      <w:r w:rsidRPr="004C642B">
        <w:rPr>
          <w:rFonts w:ascii="Times New Roman" w:eastAsia="Microsoft Sans Serif" w:hAnsi="Times New Roman" w:cs="Times New Roman"/>
          <w:color w:val="000000"/>
          <w:sz w:val="24"/>
          <w:szCs w:val="24"/>
          <w:lang w:val="bg-BG"/>
        </w:rPr>
        <w:t>-ата ПДОС, в която се предвижда, че през 2050 г.: „Живеем добре в екологичните предели на планетата. Благоденствието ни и доброто състояние на околната среда се дължат на иновативна, кръгова икономика, в която нищо не се пилее, природните ресурси се управляват устойчиво и биологичното разнообразие се опазва, цени и възстановява по начини, които повишават устойчивостта на нашето общество. При нас нисковъглеродният растеж от дълго време не зависи от използването на ресурси, като така се създава модел за безопасно и устойчиво общество в световен мащаб.“</w:t>
      </w:r>
    </w:p>
    <w:p w14:paraId="4C7D1646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bg-BG"/>
        </w:rPr>
        <w:t xml:space="preserve">През октомври 2020 г. ЕК представи предложение за решение относно Обща програма на Европейския съюз за действие за околната среда до 2030 година (8-ата ПДОС), което предстои да бъде прието от Европейския парламент и Съвета. 8-ата ПДОС ще зададе рамката на политиката на ЕС в областта на околната среда до 2030 г. и ще изрази ангажимента на европейските институции, държавите членки, регионалните и местните власти и други заинтересовани страни за общ дневен ред за действия в областта на околната среда и климата. Нейната основна цел е да се ускори справедливият и приобщаващ преход на Съюза към чиста и кръгова икономика, която е неутрална по отношение на климата и се отличава с ефективно използване на ресурсите, както и да се постигнат екологичните цели на Програмата на ООН до 2030 г. и нейните цели за устойчиво развитие, като изцяло се подкрепят целите на Европейския зелен пакт в областта на околната среда и климата. Съществена отлика на 8-ата ПДОС спрямо предишните програми за действие за околната среда е, че не са откроени конкретни законодателни предложения и действия за постигане на приоритетните цели. Според Комисията предлаганата програма е в съответствие с настоящия политически контекст, при който с премането на Европейската зелена сделка, съдържаща пътна карта с ключови действия в отделните сектори, въпросите на климата и околната среда са поставени най-високо в дневния ред на Съюза и в тази връзка не е необходимо приемането на по-детайлно предложение и приложение към него.   </w:t>
      </w:r>
    </w:p>
    <w:p w14:paraId="75CC55B7" w14:textId="77777777" w:rsidR="007A4375" w:rsidRPr="004C642B" w:rsidRDefault="007A4375" w:rsidP="007A4375">
      <w:pPr>
        <w:spacing w:before="120" w:after="120" w:line="276" w:lineRule="auto"/>
        <w:rPr>
          <w:rFonts w:ascii="Times New Roman" w:hAnsi="Times New Roman" w:cs="Times New Roman"/>
          <w:noProof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Осмата Програма за действие за околната среда </w:t>
      </w:r>
      <w:r w:rsidRPr="004C642B">
        <w:rPr>
          <w:rFonts w:ascii="Times New Roman" w:hAnsi="Times New Roman" w:cs="Times New Roman"/>
          <w:noProof/>
          <w:sz w:val="24"/>
          <w:szCs w:val="24"/>
          <w:lang w:val="bg-BG"/>
        </w:rPr>
        <w:t>има следните шест тематични приоритетни цели:</w:t>
      </w:r>
    </w:p>
    <w:p w14:paraId="3B0148F7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необратимо и постепенно намаляване на емисиите на парникови газове и увеличаване на поглъщанията от естествени или други поглътители в Съюза, за да се постигне целта за намаляване на емисиите на парникови газове до 2030 г. и неутралност по отношение на климата до 2050 г.;</w:t>
      </w:r>
    </w:p>
    <w:p w14:paraId="3B58EC65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постоянен напредък в повишаването на капацитета за адаптиране, укрепването на устойчивостта и намаляването на уязвимостта към изменението на климата;</w:t>
      </w:r>
    </w:p>
    <w:p w14:paraId="5D71AF2A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напредък към модел на растеж с възстановяване, чрез който на планетата се връща обратно повече, отколкото се взема, отделяне на икономическия растеж от използването на ресурси и влошаването на околната среда и ускоряване на прехода към кръгова икономика;</w:t>
      </w:r>
    </w:p>
    <w:p w14:paraId="6D59BB3E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амбиция за нулево замърсяване за нетоксична околна среда, включително въздуха, водата и почвите, както и защита на здравето и благоденствието на гражданите от свързани с околната среда рискове и въздействия;</w:t>
      </w:r>
    </w:p>
    <w:p w14:paraId="26712353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защита, опазване и възстановяване на биологичното разнообразие и увеличаване на природния капитал, по-специално по отношение на въздуха, водата, почвите и горите, прясната вода, влажните зони и морските екосистеми;</w:t>
      </w:r>
    </w:p>
    <w:p w14:paraId="5D64ECE9" w14:textId="77777777" w:rsidR="007A4375" w:rsidRPr="004C642B" w:rsidRDefault="007A4375" w:rsidP="007A4375">
      <w:pPr>
        <w:pStyle w:val="Point1"/>
        <w:numPr>
          <w:ilvl w:val="0"/>
          <w:numId w:val="1"/>
        </w:numPr>
        <w:spacing w:line="276" w:lineRule="auto"/>
        <w:rPr>
          <w:noProof/>
          <w:szCs w:val="24"/>
        </w:rPr>
      </w:pPr>
      <w:r w:rsidRPr="004C642B">
        <w:rPr>
          <w:noProof/>
          <w:szCs w:val="24"/>
        </w:rPr>
        <w:t>насърчаване на екологичната устойчивост и намаляване на основните видове натиск върху околната среда и климата, свързани с производството и потреблението, по-специално в областта на енергетиката, промишленото развитие, сградите и инфраструктурата, мобилността и продоволствената система.</w:t>
      </w:r>
    </w:p>
    <w:p w14:paraId="03E1849C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hAnsi="Times New Roman" w:cs="Times New Roman"/>
          <w:sz w:val="24"/>
          <w:szCs w:val="24"/>
          <w:lang w:val="bg-BG"/>
        </w:rPr>
        <w:t xml:space="preserve">Предложението за Осма Програма за действие за околна среда е в отговор на последните оценки за постигане на целите за опазване на околната среда в европейски и световен мащаб. </w:t>
      </w:r>
    </w:p>
    <w:p w14:paraId="7DA8FF9A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t>В съответствие с променящата се стратегическа рамка е необходимо да се актуализират политиките спрямо околната среда и климата в България. Националната стратегия за околна среда като рамков надсекторен документ предоставя такава възможност. По този начин ще се получи интегриран документ, който да очертае бъдещата позитивна промяна.</w:t>
      </w:r>
    </w:p>
    <w:p w14:paraId="5762BA38" w14:textId="510ABA85" w:rsidR="007A4375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В рамките на съществуващото законодателство е възможно изброените по горе два проблема да намерят решение. Действията следват указаното в Закона за </w:t>
      </w:r>
      <w:r w:rsidR="00745F81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опазване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околна среда. Към момента не е извършвана последваща оценка на НСОС. </w:t>
      </w:r>
    </w:p>
    <w:p w14:paraId="018ED92E" w14:textId="77777777" w:rsidR="007A4375" w:rsidRPr="006E4112" w:rsidRDefault="007A4375" w:rsidP="007A4375">
      <w:pPr>
        <w:pStyle w:val="Heading2"/>
        <w:rPr>
          <w:rFonts w:ascii="Cambria" w:eastAsia="Times New Roman" w:hAnsi="Cambria"/>
          <w:b/>
          <w:bCs/>
          <w:shd w:val="clear" w:color="auto" w:fill="FEFEFE"/>
          <w:lang w:val="bg-BG"/>
        </w:rPr>
      </w:pPr>
      <w:r w:rsidRPr="006E4112">
        <w:rPr>
          <w:rFonts w:ascii="Cambria" w:eastAsia="Times New Roman" w:hAnsi="Cambria"/>
          <w:b/>
          <w:bCs/>
          <w:shd w:val="clear" w:color="auto" w:fill="FEFEFE"/>
          <w:lang w:val="bg-BG"/>
        </w:rPr>
        <w:t>2. Цели</w:t>
      </w:r>
    </w:p>
    <w:p w14:paraId="602E5D3A" w14:textId="77777777" w:rsidR="007A4375" w:rsidRPr="00BC71A0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С изготвянето на Национална стратегия за околна среда и план за действие до 2030 г. се поставят следните цели</w:t>
      </w:r>
      <w:r w:rsidRPr="00BC71A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ru-RU"/>
        </w:rPr>
        <w:t>:</w:t>
      </w:r>
    </w:p>
    <w:p w14:paraId="6DBB57A8" w14:textId="77777777" w:rsidR="007A4375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Цел 1. Да се отговори на изискванията на Закона за </w:t>
      </w:r>
      <w:r w:rsidR="004E2A53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опазване на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околна</w:t>
      </w:r>
      <w:r w:rsidR="004E2A53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среда, като по този начин се изготви Национална стратегия за околна среда до 2030 г.  и план за действие. </w:t>
      </w:r>
    </w:p>
    <w:p w14:paraId="471EA850" w14:textId="1E08BE91" w:rsidR="007A4375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Цел 2. </w:t>
      </w:r>
      <w:r w:rsidR="009D3D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Да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се изготви интегриран документ, който отразява </w:t>
      </w:r>
      <w:r w:rsidR="00100CD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актуалните предизвикателства, тенденции и приоритети, залегнали в 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политик</w:t>
      </w:r>
      <w:r w:rsidR="00100CD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ите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по отношение на околната среда и климата</w:t>
      </w:r>
      <w:r w:rsidR="00100CD5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на международно, европейско и национално равнище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 хоризонт до2030. </w:t>
      </w:r>
    </w:p>
    <w:p w14:paraId="7E2BEEA2" w14:textId="77777777" w:rsidR="007A4375" w:rsidRPr="006E4112" w:rsidRDefault="007A4375" w:rsidP="007A4375">
      <w:pPr>
        <w:pStyle w:val="Heading2"/>
        <w:rPr>
          <w:rFonts w:ascii="Cambria" w:eastAsia="Times New Roman" w:hAnsi="Cambria"/>
          <w:b/>
          <w:bCs/>
          <w:shd w:val="clear" w:color="auto" w:fill="FEFEFE"/>
          <w:lang w:val="bg-BG"/>
        </w:rPr>
      </w:pPr>
      <w:r w:rsidRPr="006E4112">
        <w:rPr>
          <w:rFonts w:ascii="Cambria" w:eastAsia="Times New Roman" w:hAnsi="Cambria"/>
          <w:b/>
          <w:bCs/>
          <w:shd w:val="clear" w:color="auto" w:fill="FEFEFE"/>
          <w:lang w:val="bg-BG"/>
        </w:rPr>
        <w:t>3. Заинтересовани страни</w:t>
      </w:r>
    </w:p>
    <w:p w14:paraId="766EBA6E" w14:textId="77777777" w:rsidR="007A4375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Посочете всички потенциални за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интересовани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страни/</w:t>
      </w:r>
      <w:r w:rsidRPr="0060089B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груп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</w:t>
      </w:r>
      <w:r w:rsidRPr="0060089B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заинтересовани страни 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(в рамките на процеса по извършване на частичната предварителна частична оценка на въздействието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и/или 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при обществените консултации по чл. 26 от Закона за нормативните актове), върху които предложени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я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т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а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ще окаж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ат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пряко или косвено въздействие (бизнес в дадена област/всички предприемачи, неправителствени организации, граждани/техни представители, държавни органи/общини и др.).</w:t>
      </w:r>
    </w:p>
    <w:p w14:paraId="10F2F84A" w14:textId="77777777" w:rsidR="007A4375" w:rsidRPr="00141988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41988">
        <w:rPr>
          <w:rFonts w:ascii="Times New Roman" w:hAnsi="Times New Roman" w:cs="Times New Roman"/>
          <w:sz w:val="24"/>
          <w:szCs w:val="24"/>
          <w:lang w:val="bg-BG"/>
        </w:rPr>
        <w:t xml:space="preserve">В процеса на изготвяне на Националната стратегия е изготвен и анализ на заинтересованите страни, които имат отношение към политиките, свързани с околна среда и климат, както и тяхната роля. </w:t>
      </w:r>
    </w:p>
    <w:p w14:paraId="542BD8C4" w14:textId="77777777" w:rsidR="007A4375" w:rsidRPr="00141988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41988">
        <w:rPr>
          <w:rFonts w:ascii="Times New Roman" w:hAnsi="Times New Roman" w:cs="Times New Roman"/>
          <w:sz w:val="24"/>
          <w:szCs w:val="24"/>
          <w:lang w:val="bg-BG"/>
        </w:rPr>
        <w:t>Направеният анализ има за цел да:</w:t>
      </w:r>
    </w:p>
    <w:p w14:paraId="3127C5A6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Осигури подходяща среда за демократичен и базиран на активно участие на заинтересованите страни и целевите групи процес на консултиране на разработените документи на всички етапи от изпълнението на проект „Разработване на Национална стратегия за околна среда и План за действие към нея“;</w:t>
      </w:r>
    </w:p>
    <w:p w14:paraId="5DD6411A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Гарантира прилагането на принципа на партньорство и споделяне на отговорност в процеса на разработването на стратегическия документ;</w:t>
      </w:r>
    </w:p>
    <w:p w14:paraId="7F8C6D70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Подготви  подходяща аналитична основа за постигане на максимална степен на интегрираност на ресурсите и капацитета за изпълнение на НСОС;</w:t>
      </w:r>
    </w:p>
    <w:p w14:paraId="494F7093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 xml:space="preserve">Подобри информираността и популяризира целите и принципите на опазване на околната среда с оглед формиране на подкрепящи нагласи на всички нива. </w:t>
      </w:r>
    </w:p>
    <w:p w14:paraId="079EA03B" w14:textId="77777777" w:rsidR="007A4375" w:rsidRPr="00141988" w:rsidRDefault="007A4375" w:rsidP="00DF1AE8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Инструментът, с който е извършен анализ за извършване на анализа е „матрица на заинтересованите страни”, която включва няколко елемента на анализ:</w:t>
      </w:r>
    </w:p>
    <w:p w14:paraId="6B75AF54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списък на заинтересованите страни и описание на техните характеристики, функции и мандат по отношение на целите и политиките по околна среда;</w:t>
      </w:r>
    </w:p>
    <w:p w14:paraId="1CD416B0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основни аспекти/ етапи/ ключови моменти на процеса на подготовка на НСОС;</w:t>
      </w:r>
    </w:p>
    <w:p w14:paraId="0F772A71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анализ на интересите, нагласите и възможното влияние/ принос на заинтересованите страни върху аспектите/ етапите/ ключовите моменти на процеса на разработване на стратегията;</w:t>
      </w:r>
    </w:p>
    <w:p w14:paraId="69A3F5FC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мерки и препоръки за подобряване на взаимодействието със заинтересованите страни.</w:t>
      </w:r>
    </w:p>
    <w:p w14:paraId="5220A295" w14:textId="77777777" w:rsidR="007A4375" w:rsidRPr="00141988" w:rsidRDefault="007A4375" w:rsidP="007A4375">
      <w:pPr>
        <w:spacing w:before="120"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Идентифицираните групи заинтересовани страни включват следните:</w:t>
      </w:r>
    </w:p>
    <w:p w14:paraId="490A0665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Министерство на околната среда и водите и други ресорни министерства, посочени в Закона за опазване на околната среда;</w:t>
      </w:r>
    </w:p>
    <w:p w14:paraId="20A4297C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Компетентни органи и институции на местно и регионално ниво;</w:t>
      </w:r>
    </w:p>
    <w:p w14:paraId="54D836E3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Браншови организации и представители на бизнес-сектора;</w:t>
      </w:r>
    </w:p>
    <w:p w14:paraId="05BE8F31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Академична и научно–изследователска общност;</w:t>
      </w:r>
    </w:p>
    <w:p w14:paraId="7A87ED6A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Структури на гражданското общество;</w:t>
      </w:r>
    </w:p>
    <w:p w14:paraId="4BABF890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Неорганизирани/ неформални групи с активна позиция по въпросите на околната среда и др.</w:t>
      </w:r>
    </w:p>
    <w:p w14:paraId="1F6B8C4C" w14:textId="77777777" w:rsidR="007A4375" w:rsidRPr="00141988" w:rsidRDefault="007A4375" w:rsidP="007A4375">
      <w:pPr>
        <w:shd w:val="clear" w:color="auto" w:fill="FFFFFF" w:themeFill="background1"/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Анализът е изготвен по метода „мапинг (картографиране) на заинтересованите страни”.  Картографирането е извършено за всяка една от групите заинтересовани страни, като се използват изчерпателни двойки комбинации от  следните характеристики:</w:t>
      </w:r>
    </w:p>
    <w:p w14:paraId="7BF20D3B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 xml:space="preserve">Принос; </w:t>
      </w:r>
    </w:p>
    <w:p w14:paraId="0FF29788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Легитимност;</w:t>
      </w:r>
    </w:p>
    <w:p w14:paraId="68AC0310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Готовност за ангажимент;</w:t>
      </w:r>
    </w:p>
    <w:p w14:paraId="29FE61AB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Степен на влияние;</w:t>
      </w:r>
    </w:p>
    <w:p w14:paraId="1EF5A355" w14:textId="77777777" w:rsidR="007A4375" w:rsidRPr="00141988" w:rsidRDefault="007A4375" w:rsidP="007A4375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Необходимост от участие.</w:t>
      </w:r>
    </w:p>
    <w:p w14:paraId="5087AEEC" w14:textId="77777777" w:rsidR="007A4375" w:rsidRPr="00141988" w:rsidRDefault="007A4375" w:rsidP="007A4375">
      <w:pPr>
        <w:spacing w:before="120" w:after="12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</w:pPr>
      <w:r w:rsidRPr="00141988">
        <w:rPr>
          <w:rFonts w:ascii="Times New Roman" w:hAnsi="Times New Roman" w:cs="Times New Roman"/>
          <w:color w:val="000000" w:themeColor="text1"/>
          <w:sz w:val="24"/>
          <w:szCs w:val="24"/>
          <w:lang w:val="bg-BG" w:bidi="bg-BG"/>
        </w:rPr>
        <w:t>Всяка от възможните комбинации е оценена по двустепенна скала: високо (1) и ниско (0). Чрез наслагването на картите в обобщена карта се очертават заинтересованите страни с ключово значение за процеса на вземане на решения.</w:t>
      </w:r>
    </w:p>
    <w:p w14:paraId="004E72AC" w14:textId="77777777" w:rsidR="007A4375" w:rsidRPr="007A4375" w:rsidRDefault="007A4375" w:rsidP="007A437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>Изводите от анализа на заинтересованите страни сочат следното:</w:t>
      </w:r>
    </w:p>
    <w:p w14:paraId="5C91E947" w14:textId="77777777" w:rsidR="007A4375" w:rsidRPr="007A4375" w:rsidRDefault="007A4375" w:rsidP="007A4375">
      <w:pPr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i/>
          <w:iCs/>
          <w:sz w:val="24"/>
          <w:szCs w:val="24"/>
          <w:lang w:val="bg-BG"/>
        </w:rPr>
        <w:t>Стратегическо планиране, изпълнение, контрол и мониторинг</w:t>
      </w:r>
    </w:p>
    <w:p w14:paraId="64AF3CDB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Политиката по околна среда е хоризонтална и изключително сложна и има документи, за които е възможно да се подобри качеството. Голямата част от документите са взаимосвързани. Понякога координацията между институциите не е на необходимото ниво. Например, респонденти споделят, че като цяло по-ефективни са документите, за които отговаря конкретна институция, а не съвкупност от няколко институции, отговорни помежду си. </w:t>
      </w:r>
    </w:p>
    <w:p w14:paraId="31BE93A6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Друга препоръка, която е направена, е насочена към по-прецизно определяне на реалистични и изпълними цели, осигурени с достатъчно финансов ресурс за изпълнение. </w:t>
      </w:r>
    </w:p>
    <w:p w14:paraId="773304F8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eastAsiaTheme="majorEastAsia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На въпрос относно това, дали е оптимален броят на </w:t>
      </w:r>
      <w:r w:rsidRPr="007A4375">
        <w:rPr>
          <w:rFonts w:ascii="Times New Roman" w:eastAsiaTheme="majorEastAsia" w:hAnsi="Times New Roman" w:cs="Times New Roman"/>
          <w:sz w:val="24"/>
          <w:szCs w:val="24"/>
          <w:lang w:val="bg-BG"/>
        </w:rPr>
        <w:t xml:space="preserve">стратегическите документи в съответния сектор за постигане на целите на политиката, по-голямата част от респондентите са на мнение, че броят на стратегическите документи в съответния сектор е оптимален, като в редица случаи тези стратегически документи произтичат от конкретни ангажименти и нормативни актове. </w:t>
      </w:r>
    </w:p>
    <w:p w14:paraId="7B528ABD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Като най-често срещани трудности по отношение на процеса на стратегическото планиране, изпълнение, мониторинг или отчитане на стратегическите документи, са посочени предимно изпълнението, мониторинга и донякъде контрола на изпълнението. Отправена е и препоръка при подготовка на стратегически документи да се вземат предвид и отчитането и изпълнението. </w:t>
      </w:r>
    </w:p>
    <w:p w14:paraId="28A15D30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Трудности по отношение на процеса на мониторинг и отчитане на стратегическите документи се свързват с недостатъчния експертен капацитет и затруднената междуведомствена координация, а също и с обобщаване на информация от различни структури, като невинаги се използват индикатори или същите не са планирани коректно. </w:t>
      </w:r>
    </w:p>
    <w:p w14:paraId="590C19B9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Относно необходимостта да се осигури по-голяма прозрачност, координираност и интегрираност за някои секторни политики, общото мнение е, че има достатъчно нормативни изисквания за информираност и публичност, което стимулира и осигурява обмена на информация. </w:t>
      </w:r>
    </w:p>
    <w:p w14:paraId="4043B289" w14:textId="77777777" w:rsidR="007A4375" w:rsidRPr="007A4375" w:rsidRDefault="007A4375" w:rsidP="007A4375">
      <w:pPr>
        <w:spacing w:before="120" w:after="120" w:line="276" w:lineRule="auto"/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A4375">
        <w:rPr>
          <w:rFonts w:ascii="Times New Roman" w:hAnsi="Times New Roman" w:cs="Times New Roman"/>
          <w:sz w:val="24"/>
          <w:szCs w:val="24"/>
          <w:lang w:val="bg-BG"/>
        </w:rPr>
        <w:t xml:space="preserve">По отношение на хоризонталната и вертикална координация между заинтересованите страни са изразени различни мнения, като преобладават тези, че няма проблем с координацията, има тясно сътрудничество между институциите, особено на експертно ниво. Имало е известно затруднение, когато комуникацията е на политическо ниво, има и нужда от подобрение. За някои сектори е трудна координацията и взаимодействието с общините, изразени са мнения и че често процесът на хоризонтална координация е формален. </w:t>
      </w:r>
    </w:p>
    <w:p w14:paraId="002513EE" w14:textId="77777777" w:rsidR="007A4375" w:rsidRPr="006E4112" w:rsidRDefault="007A4375" w:rsidP="007A4375">
      <w:pPr>
        <w:pStyle w:val="Heading2"/>
        <w:rPr>
          <w:rFonts w:ascii="Cambria" w:eastAsia="Times New Roman" w:hAnsi="Cambria"/>
          <w:b/>
          <w:bCs/>
          <w:lang w:val="bg-BG"/>
        </w:rPr>
      </w:pPr>
      <w:r w:rsidRPr="006E4112">
        <w:rPr>
          <w:rFonts w:ascii="Cambria" w:eastAsia="Times New Roman" w:hAnsi="Cambria"/>
          <w:b/>
          <w:bCs/>
          <w:lang w:val="bg-BG"/>
        </w:rPr>
        <w:t>4. Варианти на действие. Анализ на въздействията:</w:t>
      </w:r>
    </w:p>
    <w:p w14:paraId="297A42FE" w14:textId="77777777" w:rsidR="007A4375" w:rsidRPr="00076E63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Вариант </w:t>
      </w:r>
      <w:r w:rsidRPr="00392A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1 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„Без действие“:</w:t>
      </w:r>
    </w:p>
    <w:p w14:paraId="5268C039" w14:textId="77777777" w:rsidR="007A4375" w:rsidRPr="00076E63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Описание:</w:t>
      </w:r>
    </w:p>
    <w:p w14:paraId="17A32A8B" w14:textId="77777777" w:rsidR="007A4375" w:rsidRDefault="007A4375" w:rsidP="007A4375">
      <w:pPr>
        <w:spacing w:before="120" w:after="120" w:line="276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Този вариант предвижда да остане съществуващата ситуация, в която няма актуална  Национална стратегия </w:t>
      </w:r>
      <w:r w:rsidR="000154CF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околна среда, план за действие към нея. По този начин няма да се отговори на изискванията на Закона за околна среда, нито ще има национален документ, който интегрира актуалните политики и документи на международно, европейско и национално ниво.</w:t>
      </w:r>
    </w:p>
    <w:p w14:paraId="69A3D62F" w14:textId="77777777" w:rsidR="007A4375" w:rsidRPr="00076E63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Положителни (икономически/социални/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екологични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 въздействия:</w:t>
      </w:r>
    </w:p>
    <w:p w14:paraId="4D5CB20C" w14:textId="77777777" w:rsidR="007A4375" w:rsidRDefault="007A4375" w:rsidP="007A4375">
      <w:pPr>
        <w:pStyle w:val="TableParagraph"/>
        <w:spacing w:before="120" w:after="120" w:line="276" w:lineRule="auto"/>
        <w:ind w:left="0" w:right="-47"/>
        <w:jc w:val="both"/>
        <w:rPr>
          <w:sz w:val="24"/>
        </w:rPr>
      </w:pPr>
      <w:r>
        <w:rPr>
          <w:sz w:val="24"/>
        </w:rPr>
        <w:t>Непредприемането на действия по приемане на Национална стратегия за околна среда няма положително въздействие в икономически, социален или екологичен план.</w:t>
      </w:r>
    </w:p>
    <w:p w14:paraId="7827628D" w14:textId="77777777" w:rsidR="007A4375" w:rsidRPr="00076E63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(върху всяка за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интересована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страна/група за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интересовани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страни)</w:t>
      </w:r>
    </w:p>
    <w:p w14:paraId="19FCC684" w14:textId="77777777" w:rsidR="007A4375" w:rsidRPr="00076E63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Отрицателни (икономически/социални/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екологични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 въздействия:</w:t>
      </w:r>
    </w:p>
    <w:p w14:paraId="11588335" w14:textId="77777777" w:rsidR="007A4375" w:rsidRDefault="007A4375" w:rsidP="007A4375">
      <w:pPr>
        <w:pStyle w:val="TableParagraph"/>
        <w:spacing w:before="120" w:after="120" w:line="276" w:lineRule="auto"/>
        <w:ind w:left="0" w:right="-47"/>
        <w:jc w:val="both"/>
        <w:rPr>
          <w:spacing w:val="-8"/>
          <w:sz w:val="24"/>
        </w:rPr>
      </w:pPr>
      <w:r>
        <w:rPr>
          <w:sz w:val="24"/>
        </w:rPr>
        <w:t>Липсата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приемане на нова Национална стратегия </w:t>
      </w:r>
      <w:r w:rsidR="000154CF">
        <w:rPr>
          <w:spacing w:val="-9"/>
          <w:sz w:val="24"/>
        </w:rPr>
        <w:t>за</w:t>
      </w:r>
      <w:r>
        <w:rPr>
          <w:spacing w:val="-9"/>
          <w:sz w:val="24"/>
        </w:rPr>
        <w:t xml:space="preserve"> околна среда ще има </w:t>
      </w:r>
      <w:r>
        <w:rPr>
          <w:sz w:val="24"/>
        </w:rPr>
        <w:t>неблагоприятен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социален</w:t>
      </w:r>
      <w:r>
        <w:rPr>
          <w:spacing w:val="-8"/>
          <w:sz w:val="24"/>
        </w:rPr>
        <w:t xml:space="preserve"> и екологичен ефект. Сред основните цели на стратегията са да се гарантира здравето и качество на живот на населението чрез интегриране на политиките по околна среда, както и изготвянето на съвременен документ, който приема човешкото здраве и качество на живот като основен приоритет при опазване на околната среда и намаляване на въздействието на климатичните промени. В същата сфера попадат и екологичните въздействия – при липса на нов интегриран документ не е възможно да бъдат постигнати международните, европейски и национални цели, свързани с опазване на околната среда, намаляване на замърсяването и адаптация към изменението на климата.</w:t>
      </w:r>
    </w:p>
    <w:p w14:paraId="0BAE4626" w14:textId="77777777" w:rsidR="007A4375" w:rsidRPr="00076E63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</w:t>
      </w:r>
      <w:r w:rsidRPr="00E653D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върху всяка заинтересована страна/група заинтересовани страни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)</w:t>
      </w:r>
    </w:p>
    <w:p w14:paraId="37C5D4A1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Специфични въздействия:</w:t>
      </w:r>
    </w:p>
    <w:p w14:paraId="3B7B0080" w14:textId="77777777" w:rsidR="007A4375" w:rsidRPr="00392A3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Въздействия върху малките и средните предприятия:</w:t>
      </w:r>
      <w:r w:rsidRPr="00392A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6E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14:paraId="78CF0A6F" w14:textId="77777777" w:rsidR="007A4375" w:rsidRDefault="007A4375" w:rsidP="007A4375">
      <w:pPr>
        <w:pStyle w:val="TableParagraph"/>
        <w:spacing w:before="116"/>
        <w:ind w:left="0" w:right="-47"/>
        <w:jc w:val="both"/>
        <w:rPr>
          <w:sz w:val="24"/>
        </w:rPr>
      </w:pPr>
      <w:r>
        <w:rPr>
          <w:sz w:val="24"/>
        </w:rPr>
        <w:t>Вариант</w:t>
      </w:r>
      <w:r>
        <w:rPr>
          <w:spacing w:val="-10"/>
          <w:sz w:val="24"/>
        </w:rPr>
        <w:t xml:space="preserve"> </w:t>
      </w:r>
      <w:r>
        <w:rPr>
          <w:sz w:val="24"/>
        </w:rPr>
        <w:t>„без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действие“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ситуацията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малките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 които попадат сред заинтересована страна, като участници в прилагането на политиките по околна среда.</w:t>
      </w:r>
    </w:p>
    <w:p w14:paraId="39D03FA8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Административна тежест:</w:t>
      </w:r>
      <w:r w:rsidRPr="00076E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14:paraId="0526E946" w14:textId="77777777" w:rsidR="007A4375" w:rsidRDefault="007A4375" w:rsidP="007A4375">
      <w:pPr>
        <w:pStyle w:val="TableParagraph"/>
        <w:spacing w:line="263" w:lineRule="exact"/>
        <w:ind w:left="0"/>
        <w:rPr>
          <w:sz w:val="24"/>
        </w:rPr>
      </w:pP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„без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действие“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генерира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административна</w:t>
      </w:r>
      <w:r>
        <w:rPr>
          <w:spacing w:val="-3"/>
          <w:sz w:val="24"/>
        </w:rPr>
        <w:t xml:space="preserve"> </w:t>
      </w:r>
      <w:r>
        <w:rPr>
          <w:sz w:val="24"/>
        </w:rPr>
        <w:t>тежест.</w:t>
      </w:r>
    </w:p>
    <w:p w14:paraId="40CFE2B8" w14:textId="77777777" w:rsidR="007A4375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023980D8" w14:textId="77777777" w:rsidR="007A4375" w:rsidRPr="00076E63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„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Изготвяне, обсъждане и приемане на Национална стратегия </w:t>
      </w:r>
      <w:r w:rsidR="000154C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околна среда 2030 и План за действие към нея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“:</w:t>
      </w:r>
    </w:p>
    <w:p w14:paraId="73108355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Описание:</w:t>
      </w:r>
    </w:p>
    <w:p w14:paraId="5B8B3BCE" w14:textId="77777777" w:rsidR="007A4375" w:rsidRPr="00030D24" w:rsidRDefault="007A4375" w:rsidP="007A4375">
      <w:pPr>
        <w:ind w:right="-4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0D24">
        <w:rPr>
          <w:rFonts w:ascii="Times New Roman" w:hAnsi="Times New Roman" w:cs="Times New Roman"/>
          <w:sz w:val="24"/>
          <w:szCs w:val="24"/>
          <w:lang w:val="bg-BG"/>
        </w:rPr>
        <w:t xml:space="preserve">Изготвянето на стратегия се основава на информационната основа на изготвения анализ на компонентите на околната среда, анализа на управлението и заинтересованите страни, резултатите от проведените консултации с представители на различни институции и организации под формата на анкети и интервюта. </w:t>
      </w:r>
    </w:p>
    <w:p w14:paraId="07823C36" w14:textId="77777777" w:rsidR="007A4375" w:rsidRPr="00030D24" w:rsidRDefault="007A4375" w:rsidP="007A4375">
      <w:pPr>
        <w:ind w:right="-4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030D2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 всеки един от компонентите на околната среда са очертани основните предизвикателства, за които анализът на съществуващото състояние е регистрирал обвързване с настоящи или прогнозни негативни и възпиращи тенденции с хоризонт 2030 г. и по-дълъг. </w:t>
      </w:r>
    </w:p>
    <w:p w14:paraId="2A4C8616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Формулирана е визия, 4 основни приоритета и стратегически цели. </w:t>
      </w:r>
    </w:p>
    <w:p w14:paraId="54C0C2BF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Приоритет 1. Възстановяване на природния капитал. Устойчиви общности и екосистеми</w:t>
      </w:r>
    </w:p>
    <w:p w14:paraId="01FC018B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Приоритет 2. Развитие в границите на природния потенциал. Ресурсна ефективност и нулево замърсяване</w:t>
      </w:r>
    </w:p>
    <w:p w14:paraId="3BD3D10B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Приоритет 3. Ограничаване на изменението на климата и адаптация към климатичните промени</w:t>
      </w:r>
    </w:p>
    <w:p w14:paraId="48075888" w14:textId="77777777" w:rsidR="007A4375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30D2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Приоритет 4. </w:t>
      </w:r>
      <w:r w:rsidRPr="00030D24">
        <w:rPr>
          <w:rFonts w:ascii="Times New Roman" w:hAnsi="Times New Roman" w:cs="Times New Roman"/>
          <w:sz w:val="24"/>
          <w:szCs w:val="24"/>
          <w:lang w:val="bg-BG"/>
        </w:rPr>
        <w:t>Управление за ускорено постигане на целите за околната среда</w:t>
      </w:r>
    </w:p>
    <w:p w14:paraId="5CDC3976" w14:textId="77777777" w:rsidR="007A4375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Изготвените приоритети и стратегически цели са подложени на крос-секторен анализ, като е търсено съответствие с международни, европейски и национални стратегически документи. </w:t>
      </w:r>
    </w:p>
    <w:p w14:paraId="07955ED4" w14:textId="77777777" w:rsidR="007A4375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всеки приоритет е описано съответствието с тези документи, както и предизвикателствата и нуждите, на които този приоритет отговаря. </w:t>
      </w:r>
    </w:p>
    <w:p w14:paraId="0863A144" w14:textId="77777777" w:rsidR="007A4375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европейско ниво визията на стратегията съответства с:</w:t>
      </w:r>
    </w:p>
    <w:p w14:paraId="712E74A8" w14:textId="77777777" w:rsidR="007A4375" w:rsidRDefault="007A4375" w:rsidP="007A4375">
      <w:pPr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Европейски зелен пакт:</w:t>
      </w:r>
    </w:p>
    <w:p w14:paraId="1E3E51C3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Повишаване на амбициите на ЕС в областта на климата за 2030 и 2050 г.</w:t>
      </w:r>
    </w:p>
    <w:p w14:paraId="57D35BB6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Снабдяване  чиста, достъпна и сигурна енергия</w:t>
      </w:r>
    </w:p>
    <w:p w14:paraId="627245F5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Мобилизиране на промишлеността за чиста и кръгова икономика</w:t>
      </w:r>
    </w:p>
    <w:p w14:paraId="54F2B6F9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Строителство и саниране по енергийно и ресурсно ефективен начин</w:t>
      </w:r>
    </w:p>
    <w:p w14:paraId="7E6248AB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Амбиция за нулево замърсяване за постигане на нетоксична околна среда</w:t>
      </w:r>
    </w:p>
    <w:p w14:paraId="1B8ABCA3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Опазване и възстановяване на екосистемите и биологичното разнообразие</w:t>
      </w:r>
    </w:p>
    <w:p w14:paraId="34737E13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Създаване на справедлива, здравословна и екологосъобразна продоволствена система</w:t>
      </w:r>
    </w:p>
    <w:p w14:paraId="4DB875F8" w14:textId="77777777" w:rsidR="007A4375" w:rsidRDefault="007A4375" w:rsidP="007A4375">
      <w:pPr>
        <w:rPr>
          <w:rFonts w:ascii="Times New Roman" w:hAnsi="Times New Roman" w:cs="Times New Roman"/>
          <w:i/>
          <w:iCs/>
          <w:lang w:val="bg-BG"/>
        </w:rPr>
      </w:pPr>
      <w:r>
        <w:rPr>
          <w:rFonts w:ascii="Times New Roman" w:hAnsi="Times New Roman" w:cs="Times New Roman"/>
          <w:i/>
          <w:iCs/>
          <w:lang w:val="bg-BG"/>
        </w:rPr>
        <w:t>- Ускоряване на прехода към устойчива и интелигентна мобилност</w:t>
      </w:r>
    </w:p>
    <w:p w14:paraId="3892877B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u w:val="single"/>
          <w:lang w:val="bg-BG"/>
        </w:rPr>
        <w:t>На национално ниво стратегията съответства с:</w:t>
      </w:r>
    </w:p>
    <w:p w14:paraId="68645219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</w:pPr>
      <w:r w:rsidRPr="00D049D7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Националната програма за развитие БЪЛГАРИЯ 2030 (НПР 2030)</w:t>
      </w:r>
      <w:r w:rsidRPr="00D049D7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val="bg-BG"/>
        </w:rPr>
        <w:footnoteReference w:id="11"/>
      </w:r>
    </w:p>
    <w:p w14:paraId="6BAE6FCE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</w:pPr>
      <w:r w:rsidRPr="00D049D7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Национален план за възстановяване и устойчивост (проект)</w:t>
      </w:r>
    </w:p>
    <w:p w14:paraId="1E04332A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Национална рамка за приоритетни действия за Натура 2000 за периода 2021 – 2027 г (проект)</w:t>
      </w:r>
    </w:p>
    <w:p w14:paraId="222B9984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Национална стратегия за биологичното разнообразие 2030 (проект)</w:t>
      </w:r>
    </w:p>
    <w:p w14:paraId="7DAD2CD3" w14:textId="77777777" w:rsidR="007A4375" w:rsidRPr="00D049D7" w:rsidRDefault="007A4375" w:rsidP="007A4375">
      <w:pPr>
        <w:rPr>
          <w:rFonts w:ascii="Times New Roman" w:eastAsia="Calibri" w:hAnsi="Times New Roman" w:cs="Times New Roman"/>
          <w:noProof/>
          <w:sz w:val="24"/>
          <w:szCs w:val="24"/>
          <w:lang w:val="bg-BG"/>
        </w:rPr>
      </w:pPr>
      <w:r w:rsidRPr="00D049D7">
        <w:rPr>
          <w:rFonts w:ascii="Times New Roman" w:eastAsia="Calibri" w:hAnsi="Times New Roman" w:cs="Times New Roman"/>
          <w:noProof/>
          <w:sz w:val="24"/>
          <w:szCs w:val="24"/>
          <w:lang w:val="bg-BG"/>
        </w:rPr>
        <w:t>Национална програма за подобряване качеството на атмосферния въздух 2018 – 2024</w:t>
      </w:r>
    </w:p>
    <w:p w14:paraId="779D8C9D" w14:textId="77777777" w:rsidR="007A4375" w:rsidRPr="00D049D7" w:rsidRDefault="007A4375" w:rsidP="007A4375">
      <w:pPr>
        <w:rPr>
          <w:rFonts w:ascii="Times New Roman" w:eastAsia="Calibri" w:hAnsi="Times New Roman" w:cs="Times New Roman"/>
          <w:noProof/>
          <w:sz w:val="24"/>
          <w:szCs w:val="24"/>
          <w:lang w:val="bg-BG"/>
        </w:rPr>
      </w:pPr>
      <w:r w:rsidRPr="00D049D7">
        <w:rPr>
          <w:rFonts w:ascii="Times New Roman" w:eastAsia="Calibri" w:hAnsi="Times New Roman" w:cs="Times New Roman"/>
          <w:noProof/>
          <w:sz w:val="24"/>
          <w:szCs w:val="24"/>
          <w:lang w:val="bg-BG"/>
        </w:rPr>
        <w:t>Национална програма за контрол на замърсяването на въздуха (2020 – 2030 г.)</w:t>
      </w:r>
    </w:p>
    <w:p w14:paraId="72286DE0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Националната стратегия за управление и развитие на водния сектор (НСУРВС) в Република България</w:t>
      </w:r>
    </w:p>
    <w:p w14:paraId="140C1A8C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Националната програма за опазване, устойчиво ползване и възстановяване функциите на почвите (2020 – 2030 г.)</w:t>
      </w:r>
    </w:p>
    <w:p w14:paraId="2F631D31" w14:textId="77777777" w:rsidR="007A4375" w:rsidRPr="00D049D7" w:rsidRDefault="007A4375" w:rsidP="007A4375">
      <w:pPr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bCs/>
          <w:sz w:val="24"/>
          <w:szCs w:val="24"/>
          <w:lang w:val="bg-BG"/>
        </w:rPr>
        <w:t>Стратегически шумови карти</w:t>
      </w:r>
    </w:p>
    <w:p w14:paraId="08639A59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Национален план за управление на отпадъците 2021 – 2028 г.</w:t>
      </w:r>
    </w:p>
    <w:p w14:paraId="70250EFD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Национална стратегия за адаптация към изменението на климата и План за действие към нея</w:t>
      </w:r>
    </w:p>
    <w:p w14:paraId="58BCE4C3" w14:textId="77777777" w:rsidR="007A4375" w:rsidRPr="00D049D7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Интегриран план в областта на енергетиката и климата на Република България 2021 – 2030 г. (ИНПЕК)</w:t>
      </w:r>
    </w:p>
    <w:p w14:paraId="61A0F98F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Стратегически план за развитие на горския сектор 2014-2023 г.</w:t>
      </w:r>
    </w:p>
    <w:p w14:paraId="7792D24A" w14:textId="77777777" w:rsidR="007A4375" w:rsidRPr="00D049D7" w:rsidRDefault="007A4375" w:rsidP="007A4375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Морска стратегия на Република България</w:t>
      </w:r>
    </w:p>
    <w:p w14:paraId="3596D59D" w14:textId="568D0E5B" w:rsidR="00745F81" w:rsidRPr="00745F81" w:rsidRDefault="007A4375" w:rsidP="007A437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049D7">
        <w:rPr>
          <w:rFonts w:ascii="Times New Roman" w:hAnsi="Times New Roman" w:cs="Times New Roman"/>
          <w:sz w:val="24"/>
          <w:szCs w:val="24"/>
          <w:lang w:val="bg-BG"/>
        </w:rPr>
        <w:t>Планове за управление на речните басейни</w:t>
      </w:r>
    </w:p>
    <w:p w14:paraId="7B12A02B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Положителни (икономически/социални/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екологични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 въздействия:</w:t>
      </w:r>
    </w:p>
    <w:p w14:paraId="1497859D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Положителните въздействия се търсят с определяне на визията и целите на стратегията и областите на промяна, а именно:</w:t>
      </w:r>
    </w:p>
    <w:p w14:paraId="13ED9268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>До 2030 година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България да развие и </w:t>
      </w: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>утвърди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модел на възстановяващ икономически и социален растеж </w:t>
      </w: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>в границите на природния си потенциал, който гарантира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здрави и устойчиви общности и екосистеми, </w:t>
      </w: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>необратимост на процеса на постигане на амбициозните цели за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нулево замърсяване </w:t>
      </w: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околната среда 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климатична неутралност, да се осигури </w:t>
      </w:r>
      <w:r w:rsidRPr="00BE5FE6">
        <w:rPr>
          <w:rFonts w:ascii="Times New Roman" w:eastAsia="Times New Roman" w:hAnsi="Times New Roman" w:cs="Times New Roman"/>
          <w:sz w:val="24"/>
          <w:szCs w:val="24"/>
          <w:lang w:val="bg-BG"/>
        </w:rPr>
        <w:t>добър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капацитет за адаптация към изменението на климата. </w:t>
      </w:r>
    </w:p>
    <w:p w14:paraId="1C16665E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Производителност на ресурсите и регенеративен растеж</w:t>
      </w:r>
    </w:p>
    <w:p w14:paraId="2261DBAC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Прекратяване/ ограничаване на неустойчиви практики</w:t>
      </w:r>
    </w:p>
    <w:p w14:paraId="1F351FD1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Мобилизация на ресурси, вкл. иновации, партньорства, знания</w:t>
      </w:r>
    </w:p>
    <w:p w14:paraId="54124F98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Развитие на потенциала за устойчивост/ адаптация</w:t>
      </w:r>
    </w:p>
    <w:p w14:paraId="5D845CAC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Възстановяване на природния потенциал</w:t>
      </w:r>
    </w:p>
    <w:p w14:paraId="39E42640" w14:textId="77777777" w:rsidR="007A4375" w:rsidRPr="00BE5FE6" w:rsidRDefault="007A4375" w:rsidP="007A4375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FE6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Капацитет за управление</w:t>
      </w:r>
    </w:p>
    <w:p w14:paraId="009C3115" w14:textId="2611EFCF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Очаква се въздействието да бъде измерено и чрез определените индикатори за постигане на целите, а именно:</w:t>
      </w:r>
    </w:p>
    <w:p w14:paraId="1929A8FA" w14:textId="47DB3361" w:rsidR="00203BE6" w:rsidRDefault="00203BE6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5288" w:type="pct"/>
        <w:tblLayout w:type="fixed"/>
        <w:tblLook w:val="04A0" w:firstRow="1" w:lastRow="0" w:firstColumn="1" w:lastColumn="0" w:noHBand="0" w:noVBand="1"/>
      </w:tblPr>
      <w:tblGrid>
        <w:gridCol w:w="2006"/>
        <w:gridCol w:w="2252"/>
        <w:gridCol w:w="1587"/>
        <w:gridCol w:w="1529"/>
        <w:gridCol w:w="2161"/>
      </w:tblGrid>
      <w:tr w:rsidR="00DF1AE8" w:rsidRPr="00CD4B71" w14:paraId="50DDA0FD" w14:textId="77777777" w:rsidTr="00DF1AE8">
        <w:trPr>
          <w:trHeight w:val="640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CBC2A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Стратегическа цел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DC21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Индикатор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CED5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Б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азова стойност 2018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289FC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Ц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елева стойност 2030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462C3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зточник</w:t>
            </w:r>
          </w:p>
        </w:tc>
      </w:tr>
      <w:tr w:rsidR="00DF1AE8" w:rsidRPr="00350DEC" w14:paraId="5BDBA9C0" w14:textId="77777777" w:rsidTr="00DF1AE8">
        <w:trPr>
          <w:trHeight w:val="1440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5F50E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1: Възстановяване и съхраняване на биологичното разнообразие и естествените функции на екосистемите с особено внимание върху тези с висок потенциал на биологично разнообразие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52AB5F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местообитанията, в които не се наблюдава влошаване на тенденциите в природозащитното състояние (чл. 17 от ДМ)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850D31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12.23%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357D4AF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872D25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 на България по чл.17 от Директивата за местообитанията</w:t>
            </w:r>
          </w:p>
        </w:tc>
      </w:tr>
      <w:tr w:rsidR="00DF1AE8" w:rsidRPr="00350DEC" w14:paraId="762E5645" w14:textId="77777777" w:rsidTr="00DF1AE8">
        <w:trPr>
          <w:trHeight w:val="1160"/>
        </w:trPr>
        <w:tc>
          <w:tcPr>
            <w:tcW w:w="105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C054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5B72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видовете, в които не се наблюдава влошаване на тенденциите в природозащитното състояние (чл. 17 от ДМ)</w:t>
            </w:r>
          </w:p>
        </w:tc>
        <w:tc>
          <w:tcPr>
            <w:tcW w:w="8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1C60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38.06%</w:t>
            </w:r>
          </w:p>
        </w:tc>
        <w:tc>
          <w:tcPr>
            <w:tcW w:w="8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615E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11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52D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 на България по чл.17 от Директивата за местообитанията</w:t>
            </w:r>
          </w:p>
        </w:tc>
      </w:tr>
      <w:tr w:rsidR="00DF1AE8" w:rsidRPr="00350DEC" w14:paraId="38375D41" w14:textId="77777777" w:rsidTr="00DF1AE8">
        <w:trPr>
          <w:trHeight w:val="145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B08B4D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6D55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видовете птици с Европейско значение, при които се наблюдават стабилни популационни тенденции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436C3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45%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AB5C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BE11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 на България по чл.12 от Директивата за местообитанията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Доклад на България по чл.12 от Директивата за птиците</w:t>
            </w:r>
          </w:p>
        </w:tc>
      </w:tr>
      <w:tr w:rsidR="00DF1AE8" w:rsidRPr="00350DEC" w14:paraId="73C133E1" w14:textId="77777777" w:rsidTr="00DF1AE8">
        <w:trPr>
          <w:trHeight w:val="87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1609A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BFB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местообитанията с благоприятно природозащитно състояние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5E46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12.23%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6823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F635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 на България по чл.17 от Директивата за местообитанията</w:t>
            </w:r>
          </w:p>
        </w:tc>
      </w:tr>
      <w:tr w:rsidR="00DF1AE8" w:rsidRPr="00350DEC" w14:paraId="28AD5F86" w14:textId="77777777" w:rsidTr="00DF1AE8">
        <w:trPr>
          <w:trHeight w:val="87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3CC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A602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видовете  с благоприятно природозащитно състояние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57C5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38.06%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A2E6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245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 на България по чл.17 от Директивата за местообитанията</w:t>
            </w:r>
          </w:p>
        </w:tc>
      </w:tr>
      <w:tr w:rsidR="00DF1AE8" w:rsidRPr="00350DEC" w14:paraId="4F89E619" w14:textId="77777777" w:rsidTr="00DF1AE8">
        <w:trPr>
          <w:trHeight w:val="87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4E7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44A77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броя на видовете с природозащитна стойност, застрашени от инвазивни видове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BC4E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C696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50%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68E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състоянието и опазването на околната среда</w:t>
            </w:r>
          </w:p>
        </w:tc>
      </w:tr>
      <w:tr w:rsidR="00DF1AE8" w:rsidRPr="00CD4B71" w14:paraId="206FAEFB" w14:textId="77777777" w:rsidTr="00DF1AE8">
        <w:trPr>
          <w:trHeight w:val="1403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D280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2: Устойчиво управление на защитените зони и информирано участие на заинтересованите страни, споделена отговорност , споделено управление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88C9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защитените зони с определени специфични природозащитни цели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F11F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 (86 в процес на разработване)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11CC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341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894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</w:t>
            </w:r>
          </w:p>
        </w:tc>
      </w:tr>
      <w:tr w:rsidR="00DF1AE8" w:rsidRPr="00CD4B71" w14:paraId="1CCC38E0" w14:textId="77777777" w:rsidTr="00DF1AE8">
        <w:trPr>
          <w:trHeight w:val="87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98978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1E0B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защитените територии с ефективна правна защита (изготвени/ актуализирани планове за управление)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4265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6%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F195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65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%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D99D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</w:t>
            </w:r>
          </w:p>
        </w:tc>
      </w:tr>
      <w:tr w:rsidR="00DF1AE8" w:rsidRPr="00CD4B71" w14:paraId="0434D125" w14:textId="77777777" w:rsidTr="00DF1AE8">
        <w:trPr>
          <w:trHeight w:val="87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AE9EDF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DD116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защитените зони с ефективна правна защита (изготвени/ актуализирани планове за управление)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B1157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4E0A4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AC99A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</w:t>
            </w:r>
          </w:p>
        </w:tc>
      </w:tr>
      <w:tr w:rsidR="00DF1AE8" w:rsidRPr="00CD4B71" w14:paraId="7835D46B" w14:textId="77777777" w:rsidTr="00DF1AE8">
        <w:trPr>
          <w:trHeight w:val="87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834C1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5567D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картирани и оценени екосистеми, включително морски от мрежата Натура 2000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A71E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EFC18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0887" w14:textId="77777777" w:rsidR="00DF1AE8" w:rsidRPr="00CD4B71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</w:t>
            </w:r>
          </w:p>
        </w:tc>
      </w:tr>
      <w:tr w:rsidR="00DF1AE8" w:rsidRPr="00350DEC" w14:paraId="2C69D72D" w14:textId="77777777" w:rsidTr="00DF1AE8">
        <w:trPr>
          <w:trHeight w:val="145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23019C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4E42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морски екосистеми с въведени и приложени териториално базирани мерки за опазване и управление, включително по отношение на рибарството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39BB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893B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99585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Министерство на околната среда и водите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Министерство на земеделието, храните и горите</w:t>
            </w:r>
          </w:p>
        </w:tc>
      </w:tr>
      <w:tr w:rsidR="00DF1AE8" w:rsidRPr="00350DEC" w14:paraId="51825FA9" w14:textId="77777777" w:rsidTr="00DF1AE8">
        <w:trPr>
          <w:trHeight w:val="87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0943D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D8CA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земеделските площи с биологична обработка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B7AA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3.20%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DF61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7849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Годишен доклад за състояние на земеделието, МЗГХ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НСИ</w:t>
            </w:r>
          </w:p>
        </w:tc>
      </w:tr>
      <w:tr w:rsidR="00DF1AE8" w:rsidRPr="00350DEC" w14:paraId="21C851B9" w14:textId="77777777" w:rsidTr="00DF1AE8">
        <w:trPr>
          <w:trHeight w:val="87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CB9C1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C019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култивираните площи, върху които се употребяват пестициди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B5686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45.00%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2B8C" w14:textId="77777777" w:rsidR="00DF1AE8" w:rsidRPr="00DF1AE8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5DAC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Годишен доклад за състояние на земеделието, МЗГХ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Евростат</w:t>
            </w:r>
          </w:p>
        </w:tc>
      </w:tr>
      <w:tr w:rsidR="00DF1AE8" w:rsidRPr="00CD4B71" w14:paraId="1017A771" w14:textId="77777777" w:rsidTr="00DF1AE8">
        <w:trPr>
          <w:trHeight w:val="1160"/>
        </w:trPr>
        <w:tc>
          <w:tcPr>
            <w:tcW w:w="10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F3EF90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3: Екологизация на градовете - възстановяване на присъствието на природата в урбанизираните територии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725A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Подобрен показател „зелена площ на жител“ за големите градове –m2/човек.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AF3A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3-19m2/ човек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1750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мин. 20 m2/ човек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50B3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The Future cities/ EC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Устройствени планове</w:t>
            </w:r>
          </w:p>
        </w:tc>
      </w:tr>
      <w:tr w:rsidR="00DF1AE8" w:rsidRPr="00CD4B71" w14:paraId="2748D4FB" w14:textId="77777777" w:rsidTr="00DF1AE8">
        <w:trPr>
          <w:trHeight w:val="870"/>
        </w:trPr>
        <w:tc>
          <w:tcPr>
            <w:tcW w:w="10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F474E" w14:textId="77777777" w:rsidR="00DF1AE8" w:rsidRPr="00A17A33" w:rsidRDefault="00DF1AE8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C206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Изработени планове за екологизиране за  населените места с население над 20 000 жители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51647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4812C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7DF5" w14:textId="77777777" w:rsidR="00DF1AE8" w:rsidRPr="00A17A33" w:rsidRDefault="00DF1AE8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МРРБ, общини</w:t>
            </w:r>
          </w:p>
        </w:tc>
      </w:tr>
    </w:tbl>
    <w:p w14:paraId="301F64C5" w14:textId="77777777" w:rsidR="00203BE6" w:rsidRPr="00A17A33" w:rsidRDefault="00203BE6" w:rsidP="00203BE6">
      <w:pPr>
        <w:rPr>
          <w:lang w:val="bg-BG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07"/>
        <w:gridCol w:w="1630"/>
        <w:gridCol w:w="2195"/>
        <w:gridCol w:w="1126"/>
        <w:gridCol w:w="969"/>
        <w:gridCol w:w="1099"/>
      </w:tblGrid>
      <w:tr w:rsidR="00203BE6" w:rsidRPr="00350DEC" w14:paraId="5428B90F" w14:textId="77777777" w:rsidTr="00942568">
        <w:trPr>
          <w:trHeight w:val="2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AD43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Приоритет 2: Развитие в границите на природния потенциал. Ресурсна ефективност и нулево замърсяване</w:t>
            </w:r>
          </w:p>
        </w:tc>
      </w:tr>
      <w:tr w:rsidR="00203BE6" w:rsidRPr="00CD4B71" w14:paraId="284ABD69" w14:textId="77777777" w:rsidTr="00942568">
        <w:trPr>
          <w:trHeight w:val="58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467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Стратегическа цел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4C01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Резултат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A25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Индикатор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E5FDF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Б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азова стойност 2018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4C80B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Ц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елева стойност 2030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F3993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зточник</w:t>
            </w:r>
          </w:p>
        </w:tc>
      </w:tr>
      <w:tr w:rsidR="00203BE6" w:rsidRPr="00CD4B71" w14:paraId="1B284F0A" w14:textId="77777777" w:rsidTr="00942568">
        <w:trPr>
          <w:trHeight w:val="910"/>
        </w:trPr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512F8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1: Утвърждаване на модел на икономически растеж, който създава стойност</w:t>
            </w:r>
          </w:p>
        </w:tc>
        <w:tc>
          <w:tcPr>
            <w:tcW w:w="903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99F5D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Процесът на икономическо и социално развитие се основава на разумно и отговорно използване на ресурси.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Икономиката на национално ниво връща в природата толкова, колкото потребява.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Природният капитал на страната се утвърждава като основна ценност и актив за икономическите и социални системи.</w:t>
            </w:r>
          </w:p>
        </w:tc>
        <w:tc>
          <w:tcPr>
            <w:tcW w:w="12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D74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кръговото (вторичното) използване на материалите в икономиката на България</w:t>
            </w:r>
          </w:p>
        </w:tc>
        <w:tc>
          <w:tcPr>
            <w:tcW w:w="62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CCC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2.50%</w:t>
            </w:r>
          </w:p>
        </w:tc>
        <w:tc>
          <w:tcPr>
            <w:tcW w:w="53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D06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11.70%</w:t>
            </w:r>
          </w:p>
        </w:tc>
        <w:tc>
          <w:tcPr>
            <w:tcW w:w="60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7D9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Евростат</w:t>
            </w:r>
          </w:p>
        </w:tc>
      </w:tr>
      <w:tr w:rsidR="00203BE6" w:rsidRPr="00CD4B71" w14:paraId="5C691076" w14:textId="77777777" w:rsidTr="00942568">
        <w:trPr>
          <w:trHeight w:val="65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CF5F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5F66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B95D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Индекс за екологични иновации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C4D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9D9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958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The Eco-innovation scoreboard and Eco-innovation index, EC</w:t>
            </w:r>
          </w:p>
        </w:tc>
      </w:tr>
      <w:tr w:rsidR="00203BE6" w:rsidRPr="00CD4B71" w14:paraId="247E2826" w14:textId="77777777" w:rsidTr="00942568">
        <w:trPr>
          <w:trHeight w:val="195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96B37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2E97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3FEF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Количеството генерирани отпадъци на единица БВП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C13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489 кг./ 1000 евро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599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205 кг./1 000 евро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88E7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Евростат</w:t>
            </w:r>
          </w:p>
        </w:tc>
      </w:tr>
      <w:tr w:rsidR="00203BE6" w:rsidRPr="00CD4B71" w14:paraId="7B401374" w14:textId="77777777" w:rsidTr="00942568">
        <w:trPr>
          <w:trHeight w:val="960"/>
        </w:trPr>
        <w:tc>
          <w:tcPr>
            <w:tcW w:w="11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6D7072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2: Ефективно прилагане на йерархията на управление на отпадъците във всички процеси и на всички нива</w:t>
            </w:r>
          </w:p>
        </w:tc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39683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Процесът на икономическо и социално развитие се основава на разумно и отговорно използване на ресурси.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Капацитет и инфраструктура за прилагане на йерархията за управление на отпадъците, които позволяват постигането на националните цели.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FB6A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Количество генерирани хранителни отпадъци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33F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500 000 тона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3CD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250 000 тона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8B4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ИАОС, МЗХГ</w:t>
            </w:r>
          </w:p>
        </w:tc>
      </w:tr>
      <w:tr w:rsidR="00203BE6" w:rsidRPr="00350DEC" w14:paraId="1427CF23" w14:textId="77777777" w:rsidTr="00942568">
        <w:trPr>
          <w:trHeight w:val="1450"/>
        </w:trPr>
        <w:tc>
          <w:tcPr>
            <w:tcW w:w="11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37370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48264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10D8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Подготовка за повторна употреба и рециклиране на отпадъчни материали, включващи хартия и картон, метал, пластмаса и стъкло от домакинствата и подобни отпадъци от други източници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62B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31.5%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A1B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минимум 60% от общото тегло на тези отпадъци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8DA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състоянието и опазването на околната среда</w:t>
            </w:r>
          </w:p>
        </w:tc>
      </w:tr>
      <w:tr w:rsidR="00203BE6" w:rsidRPr="00350DEC" w14:paraId="5C8680D3" w14:textId="77777777" w:rsidTr="00942568">
        <w:trPr>
          <w:trHeight w:val="1160"/>
        </w:trPr>
        <w:tc>
          <w:tcPr>
            <w:tcW w:w="11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42287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814C8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208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количеството депонирани битови отпадъци от общото количество образувани битови отпадъци (по тегло)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067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61.15%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66F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максимум 30% от общото количество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DF4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състоянието и опазването на околната среда</w:t>
            </w:r>
          </w:p>
        </w:tc>
      </w:tr>
      <w:tr w:rsidR="00203BE6" w:rsidRPr="00350DEC" w14:paraId="7CC8615F" w14:textId="77777777" w:rsidTr="00942568">
        <w:trPr>
          <w:trHeight w:val="1450"/>
        </w:trPr>
        <w:tc>
          <w:tcPr>
            <w:tcW w:w="11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09121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08DF38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246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рециклираните и оползотворени материали от неопасни отпадъци от строителство и разрушаване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AB6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24%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97C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минимум 70% от общото количество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EBA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състоянието и опазването на околната среда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Евростат</w:t>
            </w:r>
          </w:p>
        </w:tc>
      </w:tr>
      <w:tr w:rsidR="00203BE6" w:rsidRPr="00350DEC" w14:paraId="7BB6D917" w14:textId="77777777" w:rsidTr="00942568">
        <w:trPr>
          <w:trHeight w:val="1160"/>
        </w:trPr>
        <w:tc>
          <w:tcPr>
            <w:tcW w:w="11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4C757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25AA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648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рециклираните отпадъци от опаковки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68C6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60.40%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FA8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70% от общото количество образувани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B05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състоянието и опазването на околната среда</w:t>
            </w:r>
          </w:p>
        </w:tc>
      </w:tr>
      <w:tr w:rsidR="00203BE6" w:rsidRPr="00350DEC" w14:paraId="09BA010D" w14:textId="77777777" w:rsidTr="00942568">
        <w:trPr>
          <w:trHeight w:val="2030"/>
        </w:trPr>
        <w:tc>
          <w:tcPr>
            <w:tcW w:w="11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4A7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25B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30A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България ежегодно постига целите по 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овторна употреба, оползотворяване и рециклиране на ИУМПС, 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азделно събиране на ИУЕОО, 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р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азделно събиране и оползотворяване на ИУЕОО, разделно събиране на отпадъци от батерии и акумулатори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F651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5B33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съгласно националните цели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187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ИАОС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състоянието и опазването на околната среда</w:t>
            </w:r>
          </w:p>
        </w:tc>
      </w:tr>
      <w:tr w:rsidR="00203BE6" w:rsidRPr="00350DEC" w14:paraId="29057497" w14:textId="77777777" w:rsidTr="00942568">
        <w:trPr>
          <w:trHeight w:val="1320"/>
        </w:trPr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7057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3: Трансформация на икономиката и модела на поведение към нулево замърсяване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C95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Процесът на икономическо и социално развитие се основава на разумно и отговорно използване на ресурси.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Степента на замърсяване на въздуха, водите и почвите не представлява риск за човешкото здраве и природните екосистеми.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Природният капитал на страната се утвърждава като основна ценност и актив за икономическите и социални системи.</w:t>
            </w: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1FA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Намаляване на емисиите на основните замърсители на въздуха съгласно Директива (ЕС) 2016/2284 за намаляване на националните емисии на някои атмосферни замърсители 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89AD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Съгласно национална инвентаризация на емисиите за 2005 г.  (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NOx, NMVOC, SO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bg-BG"/>
              </w:rPr>
              <w:t>2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AD6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Съгласно националните задължения по Директива (ЕС) 2016/2284 за намаляване на националните емисии на някои атмосферни замърсители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  <w:p w14:paraId="2A99367D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S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bg-BG"/>
              </w:rPr>
              <w:t>2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 – 78%</w:t>
            </w:r>
          </w:p>
          <w:p w14:paraId="52CC2CB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NOx – 41%</w:t>
            </w:r>
          </w:p>
          <w:p w14:paraId="7DDCDB2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NMVO – 21%</w:t>
            </w:r>
          </w:p>
          <w:p w14:paraId="1CD10DA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4FA5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състоянието и опазването на околната среда</w:t>
            </w:r>
          </w:p>
        </w:tc>
      </w:tr>
      <w:tr w:rsidR="00203BE6" w:rsidRPr="00350DEC" w14:paraId="22D1B4CD" w14:textId="77777777" w:rsidTr="00942568">
        <w:trPr>
          <w:trHeight w:val="1450"/>
        </w:trPr>
        <w:tc>
          <w:tcPr>
            <w:tcW w:w="11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567E2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335C7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0C1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емисиите на ФПЧ2,5 във въздуха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F6D2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30.9 kt/ годишно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B3DC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7.8 kt/ годишно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C944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състоянието и опазването на околната среда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Национална инвентаризация на емисиите</w:t>
            </w:r>
          </w:p>
        </w:tc>
      </w:tr>
      <w:tr w:rsidR="00203BE6" w:rsidRPr="00350DEC" w14:paraId="3478C481" w14:textId="77777777" w:rsidTr="00942568">
        <w:trPr>
          <w:trHeight w:val="116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11CEB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57104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9B6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Намаляване на дела на населението изложено на наднормени нива на замърсяване с ФПЧ10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201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65.1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632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BE77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състоянието и опазването на околната среда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Евростат</w:t>
            </w:r>
          </w:p>
        </w:tc>
      </w:tr>
      <w:tr w:rsidR="00203BE6" w:rsidRPr="00CD4B71" w14:paraId="3954BC1E" w14:textId="77777777" w:rsidTr="00942568">
        <w:trPr>
          <w:trHeight w:val="150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176A93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60377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5EB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дела на населението изложено на наднормени нива на шума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AE6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85% (осреднена стойност за градове над 100 000 жители)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A56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F6D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ЕАОС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</w:p>
        </w:tc>
      </w:tr>
      <w:tr w:rsidR="00203BE6" w:rsidRPr="00350DEC" w14:paraId="680D110E" w14:textId="77777777" w:rsidTr="00942568">
        <w:trPr>
          <w:trHeight w:val="116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C19EF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C624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394B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Постигнато съотвествие на агломерации над 2 000 е.ж. с Директива 91/271/ЕИО относно пречистване на отпадъчните води от населените места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C12A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36%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88E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209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МОСВ, Доклади по чл. 17 от Директивата</w:t>
            </w:r>
          </w:p>
        </w:tc>
      </w:tr>
      <w:tr w:rsidR="00203BE6" w:rsidRPr="00CD4B71" w14:paraId="0B8606EB" w14:textId="77777777" w:rsidTr="00942568">
        <w:trPr>
          <w:trHeight w:val="58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4471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38F52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0EBC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населението, свързано поне към вторично пречистване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1DD4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63.7%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B82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78%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03FA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НСИ</w:t>
            </w:r>
          </w:p>
        </w:tc>
      </w:tr>
      <w:tr w:rsidR="00203BE6" w:rsidRPr="00350DEC" w14:paraId="7437057D" w14:textId="77777777" w:rsidTr="00942568">
        <w:trPr>
          <w:trHeight w:val="87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4096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A9E92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0EC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Брой на подземните водни тела, в които се установява завишено съдържание на нитрати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DB61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24%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E98D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7B3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състоянието и опазването на околната среда</w:t>
            </w:r>
          </w:p>
        </w:tc>
      </w:tr>
      <w:tr w:rsidR="00203BE6" w:rsidRPr="00350DEC" w14:paraId="582736DD" w14:textId="77777777" w:rsidTr="00942568">
        <w:trPr>
          <w:trHeight w:val="145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DA71E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1E2D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7C0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Повърхностни водни тела, които постигат добро химично състояние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643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32%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809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85%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8B3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Оценки за изпълнението на ПУРБ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Националн доклад за състоянието и опазването на околната среда</w:t>
            </w:r>
          </w:p>
        </w:tc>
      </w:tr>
      <w:tr w:rsidR="00203BE6" w:rsidRPr="00350DEC" w14:paraId="5A1105C0" w14:textId="77777777" w:rsidTr="00942568">
        <w:trPr>
          <w:trHeight w:val="1450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0B3B8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AB8837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6EE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Повърхности водни тела в категорията "отлично - добро" екологично състояние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CA3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67%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777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85.00%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FCE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Оценки за изпълнението на ПУРБ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Националн доклад за състоянието и опазването на околната среда</w:t>
            </w:r>
          </w:p>
        </w:tc>
      </w:tr>
    </w:tbl>
    <w:p w14:paraId="5A167190" w14:textId="77777777" w:rsidR="00203BE6" w:rsidRPr="00A17A33" w:rsidRDefault="00203BE6" w:rsidP="00203BE6">
      <w:pPr>
        <w:rPr>
          <w:lang w:val="bg-BG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71"/>
        <w:gridCol w:w="298"/>
        <w:gridCol w:w="1666"/>
        <w:gridCol w:w="2257"/>
        <w:gridCol w:w="1004"/>
        <w:gridCol w:w="1031"/>
        <w:gridCol w:w="36"/>
        <w:gridCol w:w="1063"/>
      </w:tblGrid>
      <w:tr w:rsidR="00203BE6" w:rsidRPr="00350DEC" w14:paraId="2FCECF03" w14:textId="77777777" w:rsidTr="00942568">
        <w:trPr>
          <w:trHeight w:val="29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80D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Приоритет 3: Ограничаване на изменението на климата и адаптация към климатичните промени</w:t>
            </w:r>
          </w:p>
        </w:tc>
      </w:tr>
      <w:tr w:rsidR="00203BE6" w:rsidRPr="00CD4B71" w14:paraId="36D35896" w14:textId="77777777" w:rsidTr="00942568">
        <w:trPr>
          <w:trHeight w:val="580"/>
        </w:trPr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793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Стратегическа цел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EAC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 xml:space="preserve">Резултат 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7A95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Индикатор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F790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Б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 xml:space="preserve">азова стойност 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CAC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Ц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елева стойност 2030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DA6C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зточник</w:t>
            </w:r>
          </w:p>
        </w:tc>
      </w:tr>
      <w:tr w:rsidR="00203BE6" w:rsidRPr="00350DEC" w14:paraId="0CC643E1" w14:textId="77777777" w:rsidTr="00942568">
        <w:trPr>
          <w:trHeight w:val="1280"/>
        </w:trPr>
        <w:tc>
          <w:tcPr>
            <w:tcW w:w="10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4FA52D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1. Ограничаване на емисиите ПГ – трансформация във всички сектори — от промишленост и енергетика до транспорт и бита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2493F4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Ускорен устойчив преход към зелена ресурсно-ефективна, нисковъглеродна икономика.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 xml:space="preserve">Подобрена среда (с работещи регулаторни и финансови инструменти) за еко-иновации, зелени инвестиции и нови работни места, особено в сектори като енергетиката, транспорт, строителство и саниране на сгради.  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Подобрено благосъстояние и здраве на хората.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391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Изменение на нивата на ПГ извън обхвата на ЕСТЕ спрямо 2005 г.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162E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22 326 386 т CO2 екв.*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044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22 326 386 т CO2 екв.*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A86D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Национална система за инвентаризация на емисиите на ПГ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инвентаризация на емисиите на ПГ</w:t>
            </w:r>
          </w:p>
        </w:tc>
      </w:tr>
      <w:tr w:rsidR="00203BE6" w:rsidRPr="00350DEC" w14:paraId="65786AD4" w14:textId="77777777" w:rsidTr="00942568">
        <w:trPr>
          <w:trHeight w:val="87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BFE5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6DA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7D27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Намаление на въглеродната интензивност на икономиката за периода 2021-2030 г., Мт СО2 екв./БВП (PPS)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486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0,586 Мт СО2 екв./БВП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EA2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0,33 Мт СО2 екв./БВП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0BD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Европейска агенция по ОС, Евростат</w:t>
            </w:r>
          </w:p>
        </w:tc>
      </w:tr>
      <w:tr w:rsidR="00203BE6" w:rsidRPr="00350DEC" w14:paraId="3958B4BD" w14:textId="77777777" w:rsidTr="00942568">
        <w:trPr>
          <w:trHeight w:val="123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7244D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87D48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B0EC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Намаление на нивата ПГ в сектор 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„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Енергетика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“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 в сравнение с 1990г. 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613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71568 ктн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F17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36 500 ктн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397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Национална система за инвентаризация на емисиите на ПГ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Национален доклад за инвентаризация на емисиите на ПГ</w:t>
            </w:r>
          </w:p>
        </w:tc>
      </w:tr>
      <w:tr w:rsidR="00203BE6" w:rsidRPr="00CD4B71" w14:paraId="361BB507" w14:textId="77777777" w:rsidTr="00942568">
        <w:trPr>
          <w:trHeight w:val="116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A86D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380D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257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енергията от възобновяеми източници в брутното крайно потребление на енергия през 2030 г. (базова година 2019)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A3F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21.60%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40A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27.09%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CE47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 за напредъка на България в насърчаването и използването на енергия от ВИ</w:t>
            </w:r>
          </w:p>
          <w:p w14:paraId="6224BAB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НСИ</w:t>
            </w:r>
          </w:p>
        </w:tc>
      </w:tr>
      <w:tr w:rsidR="00203BE6" w:rsidRPr="00350DEC" w14:paraId="166F638E" w14:textId="77777777" w:rsidTr="00942568">
        <w:trPr>
          <w:trHeight w:val="87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CB05F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71CC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F5B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потреблението на първична енергия, спрямо референтния сценарий PRIMES 2007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CA8E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24 221 ktoe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37D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17 466 ktoe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A96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МЕ (Бюлетин за състоянието на енергетиката на РБ), 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НСИ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, Евростат</w:t>
            </w:r>
          </w:p>
        </w:tc>
      </w:tr>
      <w:tr w:rsidR="00203BE6" w:rsidRPr="00350DEC" w14:paraId="06D3627D" w14:textId="77777777" w:rsidTr="00942568">
        <w:trPr>
          <w:trHeight w:val="87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B0C9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EB3B4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D8B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крайно потребление на енергия, спрямо референтния сценарий PRIMES 2007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5DB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15 100 ktoe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22E6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10 318 ktoe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52B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МЕ (Бюлетин за състоянието на енергетиката на РБ), 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НСИ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, Евростат</w:t>
            </w:r>
          </w:p>
        </w:tc>
      </w:tr>
      <w:tr w:rsidR="00203BE6" w:rsidRPr="00350DEC" w14:paraId="6DF08BE6" w14:textId="77777777" w:rsidTr="00942568">
        <w:trPr>
          <w:trHeight w:val="1560"/>
        </w:trPr>
        <w:tc>
          <w:tcPr>
            <w:tcW w:w="10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177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2: Постигане на устойчиво към изменението на климата общество, адаптирано към неизбежното въздействие на изменението на климата</w:t>
            </w:r>
          </w:p>
        </w:tc>
        <w:tc>
          <w:tcPr>
            <w:tcW w:w="9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044E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Подобрена адаптивност и устойчивост на икономиката и обществото към последиците от климатичните промени.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Подобрено благосъстояние и здраве на хората.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C6DD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Завършен процес на интегриране на съображенията по климата в секторните законодателство и политики, както и в стратегическите документи на регионално и местно ниво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9B77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5BD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42A1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Отчет за изпълнението на Националната стратегия и Плана за действие към нея</w:t>
            </w:r>
          </w:p>
        </w:tc>
      </w:tr>
      <w:tr w:rsidR="00203BE6" w:rsidRPr="00CD4B71" w14:paraId="33CD7323" w14:textId="77777777" w:rsidTr="00942568">
        <w:trPr>
          <w:trHeight w:val="116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EFF0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ADE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E12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Брой финансови инструменти стимулиращи действия за превенция, реакция и справяне с екстремни климатични явления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1AE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C428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0161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Национален доклад</w:t>
            </w:r>
          </w:p>
        </w:tc>
      </w:tr>
      <w:tr w:rsidR="00203BE6" w:rsidRPr="00CD4B71" w14:paraId="0B834EB4" w14:textId="77777777" w:rsidTr="00942568">
        <w:trPr>
          <w:trHeight w:val="58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DCD1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30F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D06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Намаляване на финансови загуби в резултат на екстремни климатични явления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89E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172 019 хил. лв.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739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120 413 хил. лв.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D17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НСИ, МВР (ГД ПБЗН</w:t>
            </w:r>
            <w:r w:rsidRPr="00CD4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</w:tr>
      <w:tr w:rsidR="00203BE6" w:rsidRPr="00350DEC" w14:paraId="06CAE191" w14:textId="77777777" w:rsidTr="00942568">
        <w:trPr>
          <w:trHeight w:val="1160"/>
        </w:trPr>
        <w:tc>
          <w:tcPr>
            <w:tcW w:w="10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FBE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7C5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93B5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% население, възползвало се от мерки за превенция, реакция и справяне с екстремни климатични явления и/ или мерки за адаптация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971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0** 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BA9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563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 ПОС, МРРБ, Отчет към Националната стратегия</w:t>
            </w:r>
          </w:p>
        </w:tc>
      </w:tr>
      <w:tr w:rsidR="00203BE6" w:rsidRPr="00350DEC" w14:paraId="263742DD" w14:textId="77777777" w:rsidTr="00942568">
        <w:trPr>
          <w:trHeight w:val="29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C19C5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14:paraId="0CB566D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*Решение за изпълнение ЕС2020/2126 зна Комисията за определяне на годишно разпределените количества емисии за ДЧ за периода 2021-2030 в сътветствие с Регламент ЕС 2018/842 </w:t>
            </w:r>
          </w:p>
        </w:tc>
      </w:tr>
      <w:tr w:rsidR="00203BE6" w:rsidRPr="00350DEC" w14:paraId="556D0CEE" w14:textId="77777777" w:rsidTr="00942568">
        <w:trPr>
          <w:trHeight w:val="29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CDC5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** условно, поради липса на систематизирана информация за текущо състояние</w:t>
            </w:r>
          </w:p>
        </w:tc>
      </w:tr>
      <w:tr w:rsidR="00203BE6" w:rsidRPr="00350DEC" w14:paraId="2C7C0A72" w14:textId="77777777" w:rsidTr="00942568">
        <w:trPr>
          <w:trHeight w:val="29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E9D1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</w:p>
          <w:p w14:paraId="3937CB3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Приоритет 4: Управление за ускорено постигане на целите за околната среда</w:t>
            </w:r>
          </w:p>
        </w:tc>
      </w:tr>
      <w:tr w:rsidR="00203BE6" w:rsidRPr="00CD4B71" w14:paraId="479402A7" w14:textId="77777777" w:rsidTr="00942568">
        <w:trPr>
          <w:trHeight w:val="580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8ED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Стратегическа цел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406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Резултат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596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Индикатор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0D36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Б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 xml:space="preserve">азова стойност 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1FF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Ц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елева стойност 2030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8CD2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</w:pPr>
            <w:r w:rsidRPr="00CD4B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И</w:t>
            </w:r>
            <w:r w:rsidRPr="00A17A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bg-BG"/>
              </w:rPr>
              <w:t>зточник</w:t>
            </w:r>
          </w:p>
        </w:tc>
      </w:tr>
      <w:tr w:rsidR="00203BE6" w:rsidRPr="00350DEC" w14:paraId="50825B43" w14:textId="77777777" w:rsidTr="00942568">
        <w:trPr>
          <w:trHeight w:val="98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368934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1: Подобряване нивото на интегриране на политиките по управление на околната среда на всички нива</w:t>
            </w:r>
          </w:p>
        </w:tc>
        <w:tc>
          <w:tcPr>
            <w:tcW w:w="10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B3A3CC7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Националната рамка за планиране и прилагане на политиките за околна среда гарантира интегрирането на целите за околна среда във всички сектори на икономическия и обществен живот при прилагане на принципите на прозрачност, информираност и активно участие.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4A33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Функциониращ интегриран координационен механизъм за оценка, отчитане и актуализация на НСОС и плана за действие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714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06A9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17F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 (протоколи от работни срещи)</w:t>
            </w:r>
          </w:p>
        </w:tc>
      </w:tr>
      <w:tr w:rsidR="00203BE6" w:rsidRPr="00350DEC" w14:paraId="106D9EC8" w14:textId="77777777" w:rsidTr="00942568">
        <w:trPr>
          <w:trHeight w:val="174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3EED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E44E3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57456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 xml:space="preserve">Дял на секторните политики, за които се извършват периодични оценки на съответствието с актуалното международно и европейско законодателство, свързано с околната среда 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BFBD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8DD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B60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МС (Портал за обществени консултации), МОСВ, МРРБ, МЗХГ, МТИТС, МЕ, МИ, МФ, НСИ (Мониторстат)</w:t>
            </w:r>
          </w:p>
        </w:tc>
      </w:tr>
      <w:tr w:rsidR="00203BE6" w:rsidRPr="00350DEC" w14:paraId="7248D3B7" w14:textId="77777777" w:rsidTr="00942568">
        <w:trPr>
          <w:trHeight w:val="1160"/>
        </w:trPr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24A3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7415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0E9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Стратегически и планови документи, за които се прилагат инструменти за оценка и ефективност на разходите, и устойчиви инвестиции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885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F969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446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МС (Портал за обществени консултации)</w:t>
            </w:r>
          </w:p>
        </w:tc>
      </w:tr>
      <w:tr w:rsidR="00203BE6" w:rsidRPr="00CD4B71" w14:paraId="3D091674" w14:textId="77777777" w:rsidTr="00942568">
        <w:trPr>
          <w:trHeight w:val="145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EF003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2: Информираност, обучение и отговорност за околна среда</w:t>
            </w:r>
          </w:p>
        </w:tc>
        <w:tc>
          <w:tcPr>
            <w:tcW w:w="10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E793F2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Националната рамка за планиране и прилагане на политиките за околна среда гарантира интегрирането на целите за околна среда във всички сектори на икономическия и обществен живот при прилагане на принципите на прозрачност, информираност и активно участие.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Моделът на управление на политиките по околна среда осигурява достатъчно ниво на взаимодействие за ускоряване на процеса на постигане на националните цели.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388A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Единна, публично достъпна и интегрирана база данни за напредъка по постигане на основните показатели, свързани с околната среда и прилагане на законодателството в областта на околната среда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E2B0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6C7B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E5E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 (Интернет портал)</w:t>
            </w:r>
          </w:p>
        </w:tc>
      </w:tr>
      <w:tr w:rsidR="00203BE6" w:rsidRPr="00350DEC" w14:paraId="3ABFDB1A" w14:textId="77777777" w:rsidTr="00942568">
        <w:trPr>
          <w:trHeight w:val="87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F2EE4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A6B6F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2A2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съвместните информационни кампании и инициативи от общия брой провеждани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179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CFEE0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20%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AB21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МС, МОСВ, МРРБ, МЗХГ, МТИТС, МЕ, МИ, МФ</w:t>
            </w:r>
          </w:p>
        </w:tc>
      </w:tr>
      <w:tr w:rsidR="00203BE6" w:rsidRPr="00350DEC" w14:paraId="74A46596" w14:textId="77777777" w:rsidTr="00942568">
        <w:trPr>
          <w:trHeight w:val="124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4542B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1E6C1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6360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населението, информирано относно националните цели за околна среда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8BC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*0%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087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40%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CAF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Социологически проучвания, проведени в рамките на Комуникационната стратегия на НСОС</w:t>
            </w:r>
          </w:p>
        </w:tc>
      </w:tr>
      <w:tr w:rsidR="00203BE6" w:rsidRPr="00350DEC" w14:paraId="7463219E" w14:textId="77777777" w:rsidTr="00942568">
        <w:trPr>
          <w:trHeight w:val="116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DA25BC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697A9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4D34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структурите на държавната и общинска администрации с подобрени инструменти за достъп до информация свързана с аспектите на околната среда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72E6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DF4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52%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7C59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Доклади за изпълнение на НСОС</w:t>
            </w:r>
          </w:p>
        </w:tc>
      </w:tr>
      <w:tr w:rsidR="00203BE6" w:rsidRPr="00350DEC" w14:paraId="39B5DB58" w14:textId="77777777" w:rsidTr="00942568">
        <w:trPr>
          <w:trHeight w:val="129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915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F35A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8C6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структурите на държавната и общинска администрации с подобрени механизми и добри практики за съвместно планиране и изпълнение на политики по околна среда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200E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A97B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26%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AFD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Доклади за изпълнение на НСОС</w:t>
            </w:r>
          </w:p>
        </w:tc>
      </w:tr>
      <w:tr w:rsidR="00203BE6" w:rsidRPr="00350DEC" w14:paraId="3D31C96E" w14:textId="77777777" w:rsidTr="00942568">
        <w:trPr>
          <w:trHeight w:val="1030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AC8BB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СЦ 3: Изграждане на капацитет за управление на околната среда</w:t>
            </w:r>
          </w:p>
        </w:tc>
        <w:tc>
          <w:tcPr>
            <w:tcW w:w="10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6780581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Публичните власти разполагат и прилагат ефективни инструменти и ресурси за планиране и надграждане на капацитет за ефективно и споделено управление на всички аспекти на политиките, включително човешки, технически и такива за развитие на компетенции.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F78A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отговорните институции с интегрирани информационни масиви и бази данни, свързани с политики по околна среда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1C2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1F1F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100%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7B403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ДАЕУ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Платформа за достъп до обществена информация</w:t>
            </w:r>
          </w:p>
        </w:tc>
      </w:tr>
      <w:tr w:rsidR="00203BE6" w:rsidRPr="00350DEC" w14:paraId="20CF64F7" w14:textId="77777777" w:rsidTr="00942568">
        <w:trPr>
          <w:trHeight w:val="116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961FE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12FB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E655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Дял на лицата, използващи Интернет с цел взаимодействие с отговорните за политиките по околна среда институции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3D11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**22%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AE7C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50%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A7E2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Евростат</w:t>
            </w: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br/>
              <w:t>Платформа за достъп до обществена информация</w:t>
            </w:r>
          </w:p>
        </w:tc>
      </w:tr>
      <w:tr w:rsidR="00203BE6" w:rsidRPr="00350DEC" w14:paraId="06A5C6F9" w14:textId="77777777" w:rsidTr="00942568">
        <w:trPr>
          <w:trHeight w:val="1450"/>
        </w:trPr>
        <w:tc>
          <w:tcPr>
            <w:tcW w:w="9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125BB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15425" w14:textId="77777777" w:rsidR="00203BE6" w:rsidRPr="00A17A33" w:rsidRDefault="00203BE6" w:rsidP="00942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E7C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Система за провеждане на регулярни оценки и подобряване на капацитета в областта на политиките по околна среда в държавните и общински институции и техните звена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C369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0%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A9898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C607" w14:textId="77777777" w:rsidR="00203BE6" w:rsidRPr="00A17A33" w:rsidRDefault="00203BE6" w:rsidP="0094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A1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/>
              </w:rPr>
              <w:t>МОСВ, МС (Доклад за състояние на администрацията)</w:t>
            </w:r>
          </w:p>
        </w:tc>
      </w:tr>
    </w:tbl>
    <w:p w14:paraId="3F4EFB9C" w14:textId="77777777" w:rsidR="00203BE6" w:rsidRPr="00DF1AE8" w:rsidRDefault="00203BE6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2FA16E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4C642B">
        <w:rPr>
          <w:rFonts w:ascii="Times New Roman" w:eastAsia="Times New Roman" w:hAnsi="Times New Roman" w:cs="Times New Roman"/>
          <w:sz w:val="24"/>
          <w:szCs w:val="24"/>
          <w:lang w:val="bg-BG"/>
        </w:rPr>
        <w:t>ндикаторите, чрез които се измерва постигането на целите са в съответствие с международните и европейски стратегически документи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като отразяват желаното състояние, след изпълнение на мерките в различните области на действие. </w:t>
      </w:r>
    </w:p>
    <w:p w14:paraId="7550CCBA" w14:textId="77777777" w:rsidR="007A4375" w:rsidRPr="00076E63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</w:t>
      </w:r>
      <w:r w:rsidRPr="00E653D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върху всяка заинтересована страна/група заинтересовани страни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)</w:t>
      </w:r>
    </w:p>
    <w:p w14:paraId="37CAFE9F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Отрицателни (икономически/социални/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екологични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) въздействия:</w:t>
      </w:r>
    </w:p>
    <w:p w14:paraId="0196E7C4" w14:textId="77777777" w:rsidR="007A4375" w:rsidRDefault="007A4375" w:rsidP="007A4375">
      <w:pPr>
        <w:pStyle w:val="TableParagraph"/>
        <w:spacing w:before="115"/>
        <w:ind w:left="0" w:right="-47"/>
        <w:jc w:val="both"/>
        <w:rPr>
          <w:sz w:val="24"/>
        </w:rPr>
      </w:pPr>
      <w:r>
        <w:rPr>
          <w:sz w:val="24"/>
        </w:rPr>
        <w:t>Предлаганата промяна чрез приемане на Национална стратегия няма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социални</w:t>
      </w:r>
      <w:r>
        <w:rPr>
          <w:spacing w:val="-3"/>
          <w:sz w:val="24"/>
        </w:rPr>
        <w:t xml:space="preserve"> </w:t>
      </w:r>
      <w:r>
        <w:rPr>
          <w:sz w:val="24"/>
        </w:rPr>
        <w:t>въздействия.</w:t>
      </w:r>
    </w:p>
    <w:p w14:paraId="1546010E" w14:textId="77777777" w:rsidR="007A4375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39A32811" w14:textId="77777777" w:rsidR="007A4375" w:rsidRPr="00076E63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</w:t>
      </w:r>
      <w:r w:rsidRPr="00E653D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върху всяка заинтересована страна/група заинтересовани страни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)</w:t>
      </w:r>
    </w:p>
    <w:p w14:paraId="4344D913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Специфични въздействия:</w:t>
      </w:r>
    </w:p>
    <w:p w14:paraId="4348753C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Въздействия върху малките и средните предприятия:</w:t>
      </w:r>
      <w:r w:rsidRPr="00392A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6E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14:paraId="4DC655A3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 се очаква този вариант да оказва пряко въздействие върху МСП.</w:t>
      </w:r>
    </w:p>
    <w:p w14:paraId="4CD03C0F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Административна тежест:</w:t>
      </w:r>
      <w:r w:rsidRPr="00076E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14:paraId="6B9CF03A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 се очаква този вариант да създаде административна тежест.</w:t>
      </w:r>
    </w:p>
    <w:p w14:paraId="7EB8C6AB" w14:textId="77777777" w:rsidR="007A4375" w:rsidRPr="00076E63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(въздействията върху малките и средните предприятия; административна тежест)</w:t>
      </w:r>
    </w:p>
    <w:p w14:paraId="11AA9A04" w14:textId="77777777" w:rsidR="007A4375" w:rsidRPr="0078311F" w:rsidRDefault="007A4375" w:rsidP="007A4375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78311F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1.1. Опишете качествено (при възможност – и количествено) всички значителни потенциални икономически, социални и екологични въздействия, вкл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ючително</w:t>
      </w:r>
      <w:r w:rsidRPr="0078311F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върху всяка заинтересована страна/група заинтересовани страни. Пояснете кои въздействия се очаква да бъдат значителни и кои второстепенни.</w:t>
      </w:r>
    </w:p>
    <w:p w14:paraId="58E343B9" w14:textId="77777777" w:rsidR="007A4375" w:rsidRDefault="007A4375" w:rsidP="007A4375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78311F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1.2. Опишете специфичните въздействия с акцент върху малките и средните предприятия и административната тежест (задължения за информиране, такси, регулаторни режими, административни услуги и др.)</w:t>
      </w:r>
    </w:p>
    <w:p w14:paraId="21A9F9DC" w14:textId="77777777" w:rsidR="007A4375" w:rsidRPr="006E4112" w:rsidRDefault="007A4375" w:rsidP="007A4375">
      <w:pPr>
        <w:pStyle w:val="Heading2"/>
        <w:rPr>
          <w:rFonts w:ascii="Cambria" w:eastAsia="Times New Roman" w:hAnsi="Cambria"/>
          <w:b/>
          <w:bCs/>
          <w:lang w:val="bg-BG"/>
        </w:rPr>
      </w:pPr>
      <w:r w:rsidRPr="006E4112">
        <w:rPr>
          <w:rFonts w:ascii="Cambria" w:eastAsia="Times New Roman" w:hAnsi="Cambria"/>
          <w:b/>
          <w:bCs/>
          <w:lang w:val="bg-BG"/>
        </w:rPr>
        <w:t>5. Сравняване на вариантите:</w:t>
      </w:r>
    </w:p>
    <w:p w14:paraId="10E324BF" w14:textId="77777777" w:rsidR="007A4375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Степени на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изпълнение по критерии</w:t>
      </w:r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1) висока; 2) средна; 3) ниска.</w:t>
      </w:r>
    </w:p>
    <w:p w14:paraId="75057339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bookmarkStart w:id="1" w:name="_Hlk86178236"/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5.1. По проблем 1:</w:t>
      </w:r>
    </w:p>
    <w:p w14:paraId="6D22489E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tbl>
      <w:tblPr>
        <w:tblW w:w="102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66"/>
      </w:tblGrid>
      <w:tr w:rsidR="007A4375" w:rsidRPr="00DF1AE8" w14:paraId="5DD246B0" w14:textId="77777777" w:rsidTr="009A3DBF">
        <w:tc>
          <w:tcPr>
            <w:tcW w:w="10266" w:type="dxa"/>
          </w:tcPr>
          <w:p w14:paraId="5748B96D" w14:textId="77777777" w:rsidR="007A4375" w:rsidRPr="00076E63" w:rsidRDefault="007A4375" w:rsidP="009A3D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 Сравняване на вариантите:</w:t>
            </w:r>
          </w:p>
          <w:p w14:paraId="1BFE7752" w14:textId="77777777" w:rsidR="007A4375" w:rsidRDefault="007A4375" w:rsidP="009A3D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Степени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изпълнение по критерии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1) висока; 2) средна; 3) ниска.</w:t>
            </w:r>
          </w:p>
          <w:p w14:paraId="0C344DC6" w14:textId="0A0C9FD7" w:rsidR="007A4375" w:rsidRPr="004C642B" w:rsidRDefault="007A4375" w:rsidP="009A3DB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5.1. По проблем 1:</w:t>
            </w:r>
            <w:r w:rsidRPr="004C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Предходната Национална стратегия за околна среда е с </w:t>
            </w:r>
            <w:r w:rsidR="007721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изтекъл срок на действие. </w:t>
            </w:r>
            <w:r w:rsidRPr="004C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Не е актуализирана и няма приета нова стратегия до момента. </w:t>
            </w:r>
          </w:p>
          <w:p w14:paraId="4D985542" w14:textId="77777777" w:rsidR="007A4375" w:rsidRPr="00C93DF1" w:rsidRDefault="007A4375" w:rsidP="009A3D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tbl>
            <w:tblPr>
              <w:tblW w:w="0" w:type="auto"/>
              <w:tblInd w:w="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2809"/>
              <w:gridCol w:w="2351"/>
              <w:gridCol w:w="2790"/>
            </w:tblGrid>
            <w:tr w:rsidR="007A4375" w:rsidRPr="00DF1AE8" w14:paraId="323B3337" w14:textId="77777777" w:rsidTr="009A3DBF">
              <w:trPr>
                <w:trHeight w:val="357"/>
              </w:trPr>
              <w:tc>
                <w:tcPr>
                  <w:tcW w:w="352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tl2br w:val="single" w:sz="12" w:space="0" w:color="auto"/>
                  </w:tcBorders>
                  <w:shd w:val="clear" w:color="auto" w:fill="D9D9D9"/>
                </w:tcPr>
                <w:p w14:paraId="680BA4E2" w14:textId="77777777" w:rsidR="007A4375" w:rsidRPr="00076E63" w:rsidRDefault="007A4375" w:rsidP="009A3DB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21C15F20" w14:textId="21D05D0D" w:rsidR="007A4375" w:rsidRPr="00076E63" w:rsidRDefault="007A4375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</w:t>
                  </w:r>
                  <w:r w:rsidR="00DF1AE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1</w:t>
                  </w:r>
                </w:p>
                <w:p w14:paraId="126B0D1E" w14:textId="77777777" w:rsidR="007A4375" w:rsidRPr="00076E63" w:rsidRDefault="007A4375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„Без действие“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2FE2FE1C" w14:textId="215CBADF" w:rsidR="007A4375" w:rsidRPr="00076E63" w:rsidRDefault="009A3DBF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 „</w:t>
                  </w:r>
                  <w:r w:rsidR="00632DA8" w:rsidRPr="00632DA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Изготвяне, обсъждане и приемане на Национална стратегия за околна среда 2030 и План за действие към нея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“</w:t>
                  </w:r>
                </w:p>
              </w:tc>
            </w:tr>
            <w:tr w:rsidR="007A4375" w:rsidRPr="00886ABE" w14:paraId="2B7EFB0F" w14:textId="77777777" w:rsidTr="009A3DBF">
              <w:trPr>
                <w:trHeight w:val="920"/>
              </w:trPr>
              <w:tc>
                <w:tcPr>
                  <w:tcW w:w="71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14:paraId="2428A3EB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Ефективност</w:t>
                  </w:r>
                </w:p>
              </w:tc>
              <w:tc>
                <w:tcPr>
                  <w:tcW w:w="28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4625272B" w14:textId="77777777" w:rsidR="007A4375" w:rsidRDefault="007A4375" w:rsidP="009A3DBF">
                  <w:pPr>
                    <w:spacing w:before="12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Цел 1. Да се отговори на изискванията на Закона за 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опазване на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околна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та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 среда, като по този начин се изготви Национална стратегия за околна среда до 2030 г.  и план за действие. </w:t>
                  </w:r>
                </w:p>
                <w:p w14:paraId="1A5C6A53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667B37D" w14:textId="7D79C696" w:rsidR="007A4375" w:rsidRPr="0040738A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3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35DAB3C" w14:textId="43C476EE" w:rsidR="007A4375" w:rsidRPr="00076E63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  <w:t>1</w:t>
                  </w:r>
                </w:p>
              </w:tc>
            </w:tr>
            <w:tr w:rsidR="007A4375" w:rsidRPr="00886ABE" w14:paraId="14616964" w14:textId="77777777" w:rsidTr="009A3DBF">
              <w:trPr>
                <w:trHeight w:val="1410"/>
              </w:trPr>
              <w:tc>
                <w:tcPr>
                  <w:tcW w:w="71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41723542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Ефикасност</w:t>
                  </w:r>
                </w:p>
              </w:tc>
              <w:tc>
                <w:tcPr>
                  <w:tcW w:w="28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14:paraId="5571F167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Цел 1. Да се отговори на изискванията на Закона за 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опазване на </w:t>
                  </w: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околна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та</w:t>
                  </w: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 среда, като по този начин се изготви Национална стратегия за околна среда до 2030 г.  и план за действие. </w:t>
                  </w: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F46E0C0" w14:textId="63136DD6" w:rsidR="007A4375" w:rsidRPr="0040738A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3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2D28E18B" w14:textId="7B69A1BA" w:rsidR="007A4375" w:rsidRPr="00076E63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1</w:t>
                  </w:r>
                </w:p>
              </w:tc>
            </w:tr>
            <w:tr w:rsidR="007A4375" w:rsidRPr="00DF1AE8" w14:paraId="24B719F3" w14:textId="77777777" w:rsidTr="009A3DBF">
              <w:trPr>
                <w:trHeight w:val="541"/>
              </w:trPr>
              <w:tc>
                <w:tcPr>
                  <w:tcW w:w="71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7814D746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Съгласуваност</w:t>
                  </w:r>
                </w:p>
              </w:tc>
              <w:tc>
                <w:tcPr>
                  <w:tcW w:w="28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14:paraId="5293903D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Цел 1. Да се отговори на изискванията на Закона за 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опазване на </w:t>
                  </w: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околна</w:t>
                  </w:r>
                  <w:r w:rsidR="00BE6F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>та</w:t>
                  </w:r>
                  <w:r w:rsidRPr="00FD15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EFEFE"/>
                      <w:lang w:val="bg-BG"/>
                    </w:rPr>
                    <w:t xml:space="preserve"> среда, като по този начин се изготви Национална стратегия за околна среда до 2030 г.  и план за действие. </w:t>
                  </w: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2115F16" w14:textId="1E6E477F" w:rsidR="007A4375" w:rsidRPr="0040738A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3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F798A2F" w14:textId="07B98E69" w:rsidR="007A4375" w:rsidRPr="00076E63" w:rsidRDefault="009A3DBF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1</w:t>
                  </w:r>
                </w:p>
              </w:tc>
            </w:tr>
          </w:tbl>
          <w:p w14:paraId="1F6B46D6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71894520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Сравнете вариантите чрез сравняване на ключовите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 положителни и отрицателни въздействия.</w:t>
            </w:r>
          </w:p>
          <w:p w14:paraId="3A2DBE1B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степента, в която вариантите ще изпълнят определените цели, съгласно основните критерии за сравняване на вариантите:</w:t>
            </w:r>
          </w:p>
          <w:p w14:paraId="07E2F7CA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ефективност, чрез която се измерва степента, до която вариантите постигат целите на предложението;</w:t>
            </w:r>
          </w:p>
          <w:p w14:paraId="2948BC07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ефикасност, която отразява степента, до която целите могат да бъдат постигнати при определено ниво на ресурсите или при най-малко разходи;</w:t>
            </w:r>
          </w:p>
          <w:p w14:paraId="6662227F" w14:textId="77777777" w:rsidR="007A4375" w:rsidRPr="00C93DF1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съгласуваност, която показва степента, до която вариантите съответстват на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действащите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стратегически документи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</w:tbl>
    <w:p w14:paraId="66EEC4FF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71085C86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68D2847A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6F3129A3" w14:textId="77777777" w:rsidR="007A4375" w:rsidRPr="004C642B" w:rsidRDefault="007A4375" w:rsidP="007A437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. По проблем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</w:t>
      </w:r>
      <w:r w:rsidRPr="00C93DF1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4C642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Актуализация на политиката по околна среда на европейско и национално ниво. </w:t>
      </w:r>
    </w:p>
    <w:p w14:paraId="4C1752F1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35D5C3CA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tbl>
      <w:tblPr>
        <w:tblW w:w="102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66"/>
      </w:tblGrid>
      <w:tr w:rsidR="007A4375" w:rsidRPr="00DF1AE8" w14:paraId="7FE24AE8" w14:textId="77777777" w:rsidTr="009A3DBF">
        <w:tc>
          <w:tcPr>
            <w:tcW w:w="10266" w:type="dxa"/>
          </w:tcPr>
          <w:p w14:paraId="64C4E6DC" w14:textId="77777777" w:rsidR="007A4375" w:rsidRPr="00076E63" w:rsidRDefault="007A4375" w:rsidP="009A3D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 Сравняване на вариантите:</w:t>
            </w:r>
          </w:p>
          <w:p w14:paraId="70D974E3" w14:textId="77777777" w:rsidR="007A4375" w:rsidRDefault="007A4375" w:rsidP="009A3DB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Степени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изпълнение по критерии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1) висока; 2) средна; 3) ниска.</w:t>
            </w:r>
          </w:p>
          <w:p w14:paraId="6166290A" w14:textId="77777777" w:rsidR="007A4375" w:rsidRPr="004C642B" w:rsidRDefault="007A4375" w:rsidP="009A3DB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. По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Pr="00C93D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</w:t>
            </w:r>
            <w:r w:rsidRPr="004C64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Актуализация на политиката по околна среда на европейско и национално ниво. </w:t>
            </w:r>
          </w:p>
          <w:tbl>
            <w:tblPr>
              <w:tblW w:w="0" w:type="auto"/>
              <w:tblInd w:w="5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7"/>
              <w:gridCol w:w="2951"/>
              <w:gridCol w:w="2351"/>
              <w:gridCol w:w="2790"/>
            </w:tblGrid>
            <w:tr w:rsidR="007A4375" w:rsidRPr="00DF1AE8" w14:paraId="08067DD9" w14:textId="77777777" w:rsidTr="009A3DBF">
              <w:trPr>
                <w:trHeight w:val="357"/>
              </w:trPr>
              <w:tc>
                <w:tcPr>
                  <w:tcW w:w="352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  <w:tl2br w:val="single" w:sz="12" w:space="0" w:color="auto"/>
                  </w:tcBorders>
                  <w:shd w:val="clear" w:color="auto" w:fill="D9D9D9"/>
                </w:tcPr>
                <w:p w14:paraId="27415926" w14:textId="77777777" w:rsidR="007A4375" w:rsidRPr="00076E63" w:rsidRDefault="007A4375" w:rsidP="009A3DB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1105CB98" w14:textId="0293E687" w:rsidR="007A4375" w:rsidRPr="00076E63" w:rsidRDefault="007A4375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Вариант</w:t>
                  </w:r>
                  <w:r w:rsidR="00DF1AE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1</w:t>
                  </w:r>
                </w:p>
                <w:p w14:paraId="26602FF5" w14:textId="77777777" w:rsidR="007A4375" w:rsidRPr="00076E63" w:rsidRDefault="007A4375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 „Без действие“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531C8426" w14:textId="7498F941" w:rsidR="007A4375" w:rsidRPr="00076E63" w:rsidRDefault="007A4375" w:rsidP="009A3DBF">
                  <w:pPr>
                    <w:spacing w:after="0" w:line="240" w:lineRule="auto"/>
                    <w:ind w:left="-1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 xml:space="preserve">Вариант </w:t>
                  </w:r>
                  <w:r w:rsidR="00632DA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„</w:t>
                  </w:r>
                  <w:r w:rsidR="00632DA8" w:rsidRPr="00632DA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Изготвяне, обсъждане и приемане на Национална стратегия за околна среда 2030 и План за действие към нея</w:t>
                  </w:r>
                  <w:r w:rsidR="00632DA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bg-BG"/>
                    </w:rPr>
                    <w:t>“</w:t>
                  </w:r>
                </w:p>
              </w:tc>
            </w:tr>
            <w:tr w:rsidR="007A4375" w:rsidRPr="00886ABE" w14:paraId="023EDBEF" w14:textId="77777777" w:rsidTr="009A3DBF">
              <w:trPr>
                <w:cantSplit/>
                <w:trHeight w:val="1134"/>
              </w:trPr>
              <w:tc>
                <w:tcPr>
                  <w:tcW w:w="577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textDirection w:val="btLr"/>
                  <w:vAlign w:val="center"/>
                </w:tcPr>
                <w:p w14:paraId="7C16B1B7" w14:textId="77777777" w:rsidR="007A4375" w:rsidRPr="002C1B12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w w:val="105"/>
                      <w:sz w:val="20"/>
                      <w:szCs w:val="20"/>
                      <w:lang w:val="bg-BG"/>
                    </w:rPr>
                  </w:pPr>
                  <w:r w:rsidRPr="002C1B1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w w:val="105"/>
                      <w:sz w:val="20"/>
                      <w:szCs w:val="20"/>
                      <w:lang w:val="bg-BG"/>
                    </w:rPr>
                    <w:t>Ефективност</w:t>
                  </w:r>
                </w:p>
              </w:tc>
              <w:tc>
                <w:tcPr>
                  <w:tcW w:w="29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3DE1D08" w14:textId="1F6EBE1F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28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w w:val="105"/>
                      <w:sz w:val="20"/>
                      <w:szCs w:val="20"/>
                      <w:lang w:val="bg-BG"/>
                    </w:rPr>
                  </w:pPr>
                  <w:r w:rsidRPr="002C1B12">
                    <w:rPr>
                      <w:rFonts w:ascii="Times New Roman" w:eastAsia="Times New Roman" w:hAnsi="Times New Roman" w:cs="Times New Roman"/>
                      <w:w w:val="105"/>
                      <w:sz w:val="18"/>
                      <w:szCs w:val="18"/>
                      <w:lang w:val="bg-BG"/>
                    </w:rPr>
                    <w:t xml:space="preserve">Цел 2: 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>Да се изготви интегриран документ, който отразява актуалните предизвикателства, тенденции и приоритети, залегнали в  политиките по отношение на околната среда и климата на международно, европейско и национално равнище с хоризонт до</w:t>
                  </w:r>
                  <w:r w:rsid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 xml:space="preserve"> 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 xml:space="preserve">2030. </w:t>
                  </w: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6B0C966B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  <w:r w:rsidRPr="004073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CF370E5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0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11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</w:tr>
            <w:tr w:rsidR="007A4375" w:rsidRPr="00886ABE" w14:paraId="2512BAB9" w14:textId="77777777" w:rsidTr="009A3DBF">
              <w:trPr>
                <w:cantSplit/>
                <w:trHeight w:val="1134"/>
              </w:trPr>
              <w:tc>
                <w:tcPr>
                  <w:tcW w:w="577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  <w:vAlign w:val="center"/>
                </w:tcPr>
                <w:p w14:paraId="40881207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18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Ефикасност</w:t>
                  </w:r>
                </w:p>
              </w:tc>
              <w:tc>
                <w:tcPr>
                  <w:tcW w:w="29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F2864D9" w14:textId="399C1DD8" w:rsidR="007A4375" w:rsidRPr="002C1B12" w:rsidDel="00512211" w:rsidRDefault="007A4375" w:rsidP="009A3DBF">
                  <w:pPr>
                    <w:spacing w:before="120" w:after="120" w:line="276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</w:pPr>
                  <w:r w:rsidRPr="002C1B12">
                    <w:rPr>
                      <w:rFonts w:ascii="Times New Roman" w:eastAsia="Times New Roman" w:hAnsi="Times New Roman" w:cs="Times New Roman"/>
                      <w:w w:val="105"/>
                      <w:sz w:val="18"/>
                      <w:szCs w:val="18"/>
                      <w:lang w:val="bg-BG"/>
                    </w:rPr>
                    <w:t xml:space="preserve">Цел 2: 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>Да се изготви интегриран документ, който отразява актуалните предизвикателства, тенденции и приоритети, залегнали в  политиките по отношение на околната среда и климата на международно, европейско и национално равнище с хоризонт до</w:t>
                  </w:r>
                  <w:r w:rsid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 xml:space="preserve"> 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>2030.</w:t>
                  </w: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0BB19C32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right="1"/>
                    <w:jc w:val="center"/>
                    <w:rPr>
                      <w:rFonts w:ascii="Times New Roman" w:eastAsia="Times New Roman" w:hAnsi="Times New Roman" w:cs="Times New Roman"/>
                      <w:w w:val="151"/>
                      <w:sz w:val="20"/>
                      <w:szCs w:val="20"/>
                      <w:lang w:val="bg-BG"/>
                    </w:rPr>
                  </w:pPr>
                  <w:r w:rsidRPr="004073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37C1E8F4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21" w:right="21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</w:tr>
            <w:tr w:rsidR="007A4375" w:rsidRPr="00DF1AE8" w14:paraId="1C7ED71F" w14:textId="77777777" w:rsidTr="009A3DBF">
              <w:trPr>
                <w:cantSplit/>
                <w:trHeight w:val="1134"/>
              </w:trPr>
              <w:tc>
                <w:tcPr>
                  <w:tcW w:w="577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D9D9D9"/>
                  <w:textDirection w:val="btLr"/>
                </w:tcPr>
                <w:p w14:paraId="5A921C21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</w:pPr>
                  <w:r w:rsidRPr="00076E6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val="bg-BG"/>
                    </w:rPr>
                    <w:t>Съгласуваност</w:t>
                  </w:r>
                </w:p>
              </w:tc>
              <w:tc>
                <w:tcPr>
                  <w:tcW w:w="29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7526464E" w14:textId="380DECB7" w:rsidR="007A4375" w:rsidRPr="002C1B12" w:rsidDel="00512211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33" w:after="0" w:line="240" w:lineRule="auto"/>
                    <w:ind w:left="113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bg-BG"/>
                    </w:rPr>
                  </w:pPr>
                  <w:r w:rsidRPr="002C1B12">
                    <w:rPr>
                      <w:rFonts w:ascii="Times New Roman" w:eastAsia="Times New Roman" w:hAnsi="Times New Roman" w:cs="Times New Roman"/>
                      <w:w w:val="105"/>
                      <w:sz w:val="18"/>
                      <w:szCs w:val="18"/>
                      <w:lang w:val="bg-BG"/>
                    </w:rPr>
                    <w:t xml:space="preserve">Цел 2: 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>Да се изготви интегриран документ, който отразява актуалните предизвикателства, тенденции и приоритети, залегнали в  политиките по отношение на околната среда и климата на международно, европейско и национално равнище с хоризонт до</w:t>
                  </w:r>
                  <w:r w:rsid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 xml:space="preserve"> 2</w:t>
                  </w:r>
                  <w:r w:rsidR="009A3DBF" w:rsidRPr="009A3DBF">
                    <w:rPr>
                      <w:rFonts w:ascii="Times New Roman" w:eastAsia="Times New Roman" w:hAnsi="Times New Roman" w:cs="Times New Roman"/>
                      <w:sz w:val="18"/>
                      <w:szCs w:val="18"/>
                      <w:shd w:val="clear" w:color="auto" w:fill="FEFEFE"/>
                      <w:lang w:val="bg-BG"/>
                    </w:rPr>
                    <w:t xml:space="preserve">030. </w:t>
                  </w:r>
                </w:p>
              </w:tc>
              <w:tc>
                <w:tcPr>
                  <w:tcW w:w="235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58640CB4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64" w:right="61" w:hanging="4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 w:rsidRPr="004073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ниска</w:t>
                  </w:r>
                </w:p>
              </w:tc>
              <w:tc>
                <w:tcPr>
                  <w:tcW w:w="2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14:paraId="114844AA" w14:textId="77777777" w:rsidR="007A4375" w:rsidRPr="00076E63" w:rsidRDefault="007A4375" w:rsidP="009A3DBF">
                  <w:pPr>
                    <w:widowControl w:val="0"/>
                    <w:kinsoku w:val="0"/>
                    <w:overflowPunct w:val="0"/>
                    <w:autoSpaceDE w:val="0"/>
                    <w:autoSpaceDN w:val="0"/>
                    <w:adjustRightInd w:val="0"/>
                    <w:spacing w:before="47" w:after="0" w:line="247" w:lineRule="auto"/>
                    <w:ind w:left="21" w:right="16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bg-BG"/>
                    </w:rPr>
                    <w:t>висока</w:t>
                  </w:r>
                </w:p>
              </w:tc>
            </w:tr>
          </w:tbl>
          <w:p w14:paraId="490F7DED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g-BG"/>
              </w:rPr>
            </w:pPr>
          </w:p>
          <w:p w14:paraId="725ED9BE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1.1.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Сравнете вариантите чрез сравняване на ключовите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и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м положителни и отрицателни въздействия.</w:t>
            </w:r>
          </w:p>
          <w:p w14:paraId="3BD43666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1.2.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Посочете степента, в която вариантите ще изпълнят определените цели, съгласно основните критерии за сравняване на вариантите:</w:t>
            </w:r>
          </w:p>
          <w:p w14:paraId="5737C1F1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ефективност, чрез която се измерва степента, до която вариантите постигат целите на предложението;</w:t>
            </w:r>
          </w:p>
          <w:p w14:paraId="1118210E" w14:textId="77777777" w:rsidR="007A4375" w:rsidRPr="00076E63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ефикасност, която отразява степента, до която целите могат да бъдат постигнати при определено ниво на ресурсите или при най-малко разходи;</w:t>
            </w:r>
          </w:p>
          <w:p w14:paraId="65B8DC24" w14:textId="77777777" w:rsidR="007A4375" w:rsidRPr="00C93DF1" w:rsidRDefault="007A4375" w:rsidP="009A3DB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bg-BG"/>
              </w:rPr>
            </w:pP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съгласуваност, която показва степента, до която вариантите съответстват на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 xml:space="preserve">действащите </w:t>
            </w:r>
            <w:r w:rsidRPr="00076E63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стратегически документи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bg-BG"/>
              </w:rPr>
              <w:t>.</w:t>
            </w:r>
          </w:p>
        </w:tc>
      </w:tr>
    </w:tbl>
    <w:p w14:paraId="2760B3D3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43DF5DC6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6B1D50A4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bookmarkEnd w:id="1"/>
    <w:p w14:paraId="5EAB8A01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75DA2DE3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4E1F6263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250E52CC" w14:textId="77777777" w:rsidR="007A4375" w:rsidRPr="006E4112" w:rsidRDefault="007A4375" w:rsidP="007A4375">
      <w:pPr>
        <w:pStyle w:val="Heading2"/>
        <w:rPr>
          <w:rFonts w:ascii="Cambria" w:eastAsia="Times New Roman" w:hAnsi="Cambria"/>
          <w:b/>
          <w:bCs/>
          <w:lang w:val="bg-BG"/>
        </w:rPr>
      </w:pPr>
      <w:r w:rsidRPr="006E4112">
        <w:rPr>
          <w:rFonts w:ascii="Cambria" w:eastAsia="Times New Roman" w:hAnsi="Cambria"/>
          <w:b/>
          <w:bCs/>
          <w:lang w:val="bg-BG"/>
        </w:rPr>
        <w:t>6. Избор на препоръчителен вариант:</w:t>
      </w:r>
    </w:p>
    <w:p w14:paraId="318B25FD" w14:textId="77777777" w:rsidR="007A4375" w:rsidRPr="000560E0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560E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по двата формулирани проблема, препоръчителният вариант (2) е този, който предвижда изготвяне, съгласуване и приемане на Национална стратегия </w:t>
      </w:r>
      <w:r w:rsidR="000154CF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 w:rsidRPr="000560E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околна среда 2030 и план за действие. </w:t>
      </w:r>
    </w:p>
    <w:p w14:paraId="423D387F" w14:textId="77777777" w:rsidR="007A4375" w:rsidRPr="000560E0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41AD34F5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1138D1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Посочете препоръчителните варианти за решаване на поставения проблем/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проблем</w:t>
      </w:r>
      <w:r w:rsidRPr="001138D1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и.</w:t>
      </w:r>
    </w:p>
    <w:p w14:paraId="2CD56629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11BCED7E" w14:textId="77777777" w:rsidR="007A4375" w:rsidRPr="00076E63" w:rsidRDefault="007A4375" w:rsidP="007A43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6.1. Промяна в административната тежест за физическите и юридическите лица от прилагането на препоръчителния вариант (включително по отделните проблеми):</w:t>
      </w:r>
    </w:p>
    <w:p w14:paraId="17EFAFE6" w14:textId="77777777" w:rsidR="007A4375" w:rsidRPr="00076E63" w:rsidRDefault="007A4375" w:rsidP="007A437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179A7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108pt;height:18pt" o:ole="">
            <v:imagedata r:id="rId8" o:title=""/>
          </v:shape>
          <w:control r:id="rId9" w:name="OptionButton31" w:shapeid="_x0000_i1043"/>
        </w:object>
      </w:r>
    </w:p>
    <w:p w14:paraId="613BDC13" w14:textId="77777777" w:rsidR="007A4375" w:rsidRPr="00076E63" w:rsidRDefault="007A4375" w:rsidP="007A43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1B4E77B5">
          <v:shape id="_x0000_i1045" type="#_x0000_t75" style="width:108pt;height:18pt" o:ole="">
            <v:imagedata r:id="rId10" o:title=""/>
          </v:shape>
          <w:control r:id="rId11" w:name="OptionButton41" w:shapeid="_x0000_i1045"/>
        </w:object>
      </w:r>
    </w:p>
    <w:p w14:paraId="5076B6B8" w14:textId="77777777" w:rsidR="007A4375" w:rsidRPr="00076E63" w:rsidRDefault="007A4375" w:rsidP="007A437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2C530BAF">
          <v:shape id="_x0000_i1047" type="#_x0000_t75" style="width:108pt;height:18pt" o:ole="">
            <v:imagedata r:id="rId12" o:title=""/>
          </v:shape>
          <w:control r:id="rId13" w:name="OptionButton51" w:shapeid="_x0000_i1047"/>
        </w:object>
      </w:r>
    </w:p>
    <w:p w14:paraId="754C874F" w14:textId="77777777" w:rsidR="007A4375" w:rsidRPr="00076E63" w:rsidRDefault="007A4375" w:rsidP="007A437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 се очаква да се промени административната тежест.</w:t>
      </w:r>
    </w:p>
    <w:p w14:paraId="13EFD312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72810645" w14:textId="77777777" w:rsidR="007A4375" w:rsidRPr="00076E63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1.1. Изборът следва да е съотносим с посочените специфични въздействия на 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препоръчителния 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вариант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за решаване на всеки проблем.</w:t>
      </w:r>
    </w:p>
    <w:p w14:paraId="5ADA6FC3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1.2. Ако се предвижда въвеждането на такса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,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представете образуването на нейния размер съгласно Методиката по чл. 7а от Закона за ограничаване на административното регулиране и административния контрол върху стопанската дейност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</w:t>
      </w:r>
    </w:p>
    <w:p w14:paraId="08FE7EDC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26556A6E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35E0D3C1" w14:textId="77777777" w:rsidR="007A4375" w:rsidRPr="00076E63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6.2. Създават ли се нови/засягат ли се съществуващи регулаторни режими и услуги от прилагането на препоръчителния вариант (включително по отделните проблеми)?</w:t>
      </w:r>
    </w:p>
    <w:p w14:paraId="0D286C22" w14:textId="77777777" w:rsidR="007A4375" w:rsidRPr="00076E63" w:rsidRDefault="007A4375" w:rsidP="007A437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08F40382">
          <v:shape id="_x0000_i1049" type="#_x0000_t75" style="width:108pt;height:18pt" o:ole="">
            <v:imagedata r:id="rId14" o:title=""/>
          </v:shape>
          <w:control r:id="rId15" w:name="OptionButton161" w:shapeid="_x0000_i1049"/>
        </w:object>
      </w:r>
    </w:p>
    <w:p w14:paraId="62C8FFBC" w14:textId="77777777" w:rsidR="007A4375" w:rsidRPr="00076E63" w:rsidRDefault="007A4375" w:rsidP="007A4375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143737EB">
          <v:shape id="_x0000_i1051" type="#_x0000_t75" style="width:108pt;height:18pt" o:ole="">
            <v:imagedata r:id="rId16" o:title=""/>
          </v:shape>
          <w:control r:id="rId17" w:name="OptionButton171" w:shapeid="_x0000_i1051"/>
        </w:object>
      </w:r>
    </w:p>
    <w:p w14:paraId="5407AFA7" w14:textId="77777777" w:rsidR="007A4375" w:rsidRPr="002C1B12" w:rsidRDefault="007A4375" w:rsidP="007A4375">
      <w:pPr>
        <w:spacing w:after="120" w:line="240" w:lineRule="auto"/>
        <w:ind w:right="1214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C1B1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предложения вариант на стратегия и план за действие не се създават нови регулаторни режими, но в областите, в които нормативната уредба е недоразвита или недостатъчна се предвиждат мерки да се </w:t>
      </w:r>
    </w:p>
    <w:p w14:paraId="45EA8A23" w14:textId="77777777" w:rsidR="007A4375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51C22CD7" w14:textId="77777777" w:rsidR="007A4375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1.1.</w:t>
      </w:r>
      <w:r w:rsidRPr="00F04B4E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Изборът следва да е съотносим с посочените специфични въздействия на избрания вариант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</w:t>
      </w:r>
    </w:p>
    <w:p w14:paraId="213F22ED" w14:textId="77777777" w:rsidR="007A4375" w:rsidRPr="00076E63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1.2. 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 случай че се предвижда създаване нов регулаторен режим, посочете неговия вид (за стопанска дейност: лицензионен, регистрационен; за отделна стелка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или действие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: разрешителен, уведомителен; удостоверителен и по какъв начин това съответства с постигането на целите).</w:t>
      </w:r>
    </w:p>
    <w:p w14:paraId="0E2BAA61" w14:textId="77777777" w:rsidR="007A4375" w:rsidRPr="00076E63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3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 Мотивирайте създаването на новия регулаторен режим съгласно изискванията на чл. 3, ал. 4  от Закона за ограничаване на административното регулиране и административния контрол върху стопанската дейност.</w:t>
      </w:r>
    </w:p>
    <w:p w14:paraId="3C33FB45" w14:textId="77777777" w:rsidR="007A4375" w:rsidRPr="00076E63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4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 Посочете предложените нови регулаторни режими отговарят ли на изискванията на чл. 10 – 12 от Закона за дейностите по предоставяне на услуги.</w:t>
      </w:r>
    </w:p>
    <w:p w14:paraId="313B4A1A" w14:textId="77777777" w:rsidR="007A4375" w:rsidRPr="00076E63" w:rsidRDefault="007A4375" w:rsidP="007A4375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5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 Посочете изпълнено ли е изискването на § 2 от Допълнителните разпоредби на Закона за дейностите по предоставяне на услуги.</w:t>
      </w:r>
    </w:p>
    <w:p w14:paraId="4A969E96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1.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6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. В случай че се изменят регулаторни режими или административни услуги, посочете промяната.</w:t>
      </w:r>
    </w:p>
    <w:p w14:paraId="0F4EC3DA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5BBC3020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5D8F22BA" w14:textId="77777777" w:rsidR="007A4375" w:rsidRPr="00076E63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6.3. Създават ли се нови регистри от прилагането на препоръчителния вариант (включително по отделните проблеми)?</w:t>
      </w:r>
    </w:p>
    <w:p w14:paraId="57341103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6E63">
        <w:rPr>
          <w:rFonts w:ascii="Times New Roman" w:eastAsia="Times New Roman" w:hAnsi="Times New Roman" w:cs="Times New Roman"/>
          <w:i/>
          <w:sz w:val="24"/>
          <w:szCs w:val="24"/>
        </w:rPr>
        <w:object w:dxaOrig="1440" w:dyaOrig="1440" w14:anchorId="2568F3DC">
          <v:shape id="_x0000_i1053" type="#_x0000_t75" style="width:108pt;height:18pt" o:ole="">
            <v:imagedata r:id="rId14" o:title=""/>
          </v:shape>
          <w:control r:id="rId18" w:name="OptionButton181" w:shapeid="_x0000_i1053"/>
        </w:object>
      </w:r>
    </w:p>
    <w:p w14:paraId="037D78F5" w14:textId="77777777" w:rsidR="007A4375" w:rsidRPr="00076E63" w:rsidRDefault="007A4375" w:rsidP="007A43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sz w:val="24"/>
          <w:szCs w:val="24"/>
        </w:rPr>
        <w:object w:dxaOrig="1440" w:dyaOrig="1440" w14:anchorId="46600F52">
          <v:shape id="_x0000_i1055" type="#_x0000_t75" style="width:108pt;height:18pt" o:ole="">
            <v:imagedata r:id="rId16" o:title=""/>
          </v:shape>
          <w:control r:id="rId19" w:name="OptionButton191" w:shapeid="_x0000_i1055"/>
        </w:object>
      </w:r>
    </w:p>
    <w:p w14:paraId="7F9612CF" w14:textId="77777777" w:rsidR="007A4375" w:rsidRDefault="007A4375" w:rsidP="007A4375">
      <w:pPr>
        <w:spacing w:before="120" w:after="120" w:line="276" w:lineRule="auto"/>
        <w:ind w:right="-4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Не не се създават нови регистри. Националната стратегия включва области на действие, които засягат работа със съществуващи регистри и информационни системи, както и тяхното надграждане и подобрение, но не и създаване на нови регистри.</w:t>
      </w:r>
    </w:p>
    <w:p w14:paraId="3B5C9E2A" w14:textId="77777777" w:rsidR="007A4375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6B2C7A9C" w14:textId="77777777" w:rsidR="007A4375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2468AC35" w14:textId="77777777" w:rsidR="007A4375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Когато отговорът е „Да“, посочете регистрите, които се създават и по какъв начин те ще бъдат интегрирани в общата регистрова инфраструктура.</w:t>
      </w:r>
    </w:p>
    <w:p w14:paraId="5EA338B5" w14:textId="77777777" w:rsidR="007A4375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36C34E39" w14:textId="77777777" w:rsidR="007A4375" w:rsidRDefault="007A4375" w:rsidP="007A4375">
      <w:pPr>
        <w:spacing w:after="0" w:line="240" w:lineRule="auto"/>
        <w:ind w:right="-47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7D9CABB5" w14:textId="77777777" w:rsidR="007A4375" w:rsidRPr="00076E63" w:rsidRDefault="007A4375" w:rsidP="007A4375">
      <w:pPr>
        <w:spacing w:after="0" w:line="240" w:lineRule="auto"/>
        <w:ind w:right="-47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6.4. По какъв начин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препоръчителният 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вариант въздейства върху микро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-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малките и средните предприятия (МСП)</w:t>
      </w:r>
      <w:r w:rsidRPr="00076E63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</w:t>
      </w: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(включително по отделните проблеми)?</w:t>
      </w:r>
    </w:p>
    <w:p w14:paraId="7E743822" w14:textId="77777777" w:rsidR="007A4375" w:rsidRPr="00076E63" w:rsidRDefault="007A4375" w:rsidP="007A4375">
      <w:pPr>
        <w:spacing w:before="120" w:after="120" w:line="240" w:lineRule="auto"/>
        <w:ind w:right="-47"/>
        <w:rPr>
          <w:rFonts w:ascii="Calibri" w:eastAsia="MS Mincho" w:hAnsi="Calibri" w:cs="MS Mincho"/>
          <w:sz w:val="24"/>
          <w:szCs w:val="24"/>
          <w:lang w:val="bg-BG"/>
        </w:rPr>
      </w:pPr>
      <w:r w:rsidRPr="00076E63">
        <w:rPr>
          <w:rFonts w:ascii="Calibri" w:eastAsia="MS Mincho" w:hAnsi="Calibri" w:cs="MS Mincho"/>
          <w:sz w:val="24"/>
          <w:szCs w:val="24"/>
        </w:rPr>
        <w:object w:dxaOrig="1440" w:dyaOrig="1440" w14:anchorId="6E3892CE">
          <v:shape id="_x0000_i1057" type="#_x0000_t75" style="width:259.5pt;height:18pt" o:ole="">
            <v:imagedata r:id="rId20" o:title=""/>
          </v:shape>
          <w:control r:id="rId21" w:name="OptionButton61" w:shapeid="_x0000_i1057"/>
        </w:object>
      </w:r>
    </w:p>
    <w:p w14:paraId="4B9A7A72" w14:textId="77777777" w:rsidR="007A4375" w:rsidRPr="00076E63" w:rsidRDefault="007A4375" w:rsidP="007A4375">
      <w:pPr>
        <w:spacing w:before="120" w:after="120" w:line="240" w:lineRule="auto"/>
        <w:ind w:right="-47"/>
        <w:rPr>
          <w:rFonts w:ascii="Calibri" w:eastAsia="MS Mincho" w:hAnsi="Calibri" w:cs="MS Mincho"/>
          <w:sz w:val="24"/>
          <w:szCs w:val="24"/>
          <w:lang w:val="bg-BG"/>
        </w:rPr>
      </w:pPr>
      <w:r w:rsidRPr="00076E63">
        <w:rPr>
          <w:rFonts w:ascii="Calibri" w:eastAsia="MS Mincho" w:hAnsi="Calibri" w:cs="MS Mincho"/>
          <w:sz w:val="24"/>
          <w:szCs w:val="24"/>
        </w:rPr>
        <w:object w:dxaOrig="1440" w:dyaOrig="1440" w14:anchorId="0B64D6C2">
          <v:shape id="_x0000_i1059" type="#_x0000_t75" style="width:161.25pt;height:18pt" o:ole="">
            <v:imagedata r:id="rId22" o:title=""/>
          </v:shape>
          <w:control r:id="rId23" w:name="OptionButton71" w:shapeid="_x0000_i1059"/>
        </w:object>
      </w:r>
    </w:p>
    <w:p w14:paraId="00583844" w14:textId="77777777" w:rsidR="007A4375" w:rsidRPr="000560E0" w:rsidRDefault="007A4375" w:rsidP="007A4375">
      <w:pPr>
        <w:spacing w:before="120" w:after="120" w:line="240" w:lineRule="auto"/>
        <w:ind w:right="-47"/>
        <w:rPr>
          <w:rFonts w:ascii="Times New Roman" w:eastAsia="MS Mincho" w:hAnsi="Times New Roman" w:cs="Times New Roman"/>
          <w:sz w:val="24"/>
          <w:szCs w:val="24"/>
          <w:lang w:val="bg-BG"/>
        </w:rPr>
      </w:pPr>
      <w:r w:rsidRPr="000560E0">
        <w:rPr>
          <w:rFonts w:ascii="Times New Roman" w:eastAsia="MS Mincho" w:hAnsi="Times New Roman" w:cs="Times New Roman"/>
          <w:sz w:val="24"/>
          <w:szCs w:val="24"/>
          <w:lang w:val="bg-BG"/>
        </w:rPr>
        <w:t>Националната стратегия за околна среда не влияе пряко върху малките и средните предприятия.</w:t>
      </w:r>
    </w:p>
    <w:p w14:paraId="53733BCE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И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зборът следва да е съотносимост с посочените специфични въздействия на 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препоръчителния вариант.</w:t>
      </w:r>
    </w:p>
    <w:p w14:paraId="06CA2309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13AEBFED" w14:textId="77777777" w:rsidR="007A4375" w:rsidRDefault="007A4375" w:rsidP="007A4375">
      <w:pPr>
        <w:spacing w:before="120" w:after="120" w:line="240" w:lineRule="auto"/>
        <w:ind w:right="-4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76E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6.5. Потенциални рискове от прилагането на препоръчителния вариант (включително по отделните проблеми):</w:t>
      </w:r>
    </w:p>
    <w:p w14:paraId="1A75B14B" w14:textId="77777777" w:rsidR="000A649D" w:rsidRDefault="00FD2E39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Не са отчетени рискове.</w:t>
      </w:r>
    </w:p>
    <w:p w14:paraId="2F0246D1" w14:textId="77777777" w:rsidR="000A649D" w:rsidRDefault="000A649D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681199DD" w14:textId="50502E05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Посочете възможните рискове от прилагането на препоръчителния вариант, различни от отрицателните въздействия, </w:t>
      </w: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напр. </w:t>
      </w:r>
      <w:r w:rsidRPr="00076E63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възникване на съдебни спорове и др.</w:t>
      </w:r>
    </w:p>
    <w:p w14:paraId="0648A9E7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2CAAA4A3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 xml:space="preserve"> </w:t>
      </w:r>
    </w:p>
    <w:p w14:paraId="297AD104" w14:textId="77777777" w:rsidR="007A4375" w:rsidRDefault="007A4375" w:rsidP="007A43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val="bg-BG"/>
        </w:rPr>
      </w:pPr>
    </w:p>
    <w:p w14:paraId="67B14B16" w14:textId="77777777" w:rsidR="007A4375" w:rsidRPr="00DF1AE8" w:rsidRDefault="007A4375">
      <w:pPr>
        <w:rPr>
          <w:lang w:val="ru-RU"/>
        </w:rPr>
      </w:pPr>
    </w:p>
    <w:sectPr w:rsidR="007A4375" w:rsidRPr="00DF1AE8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0FF91" w14:textId="77777777" w:rsidR="009A3DBF" w:rsidRDefault="009A3DBF" w:rsidP="007A4375">
      <w:pPr>
        <w:spacing w:after="0" w:line="240" w:lineRule="auto"/>
      </w:pPr>
      <w:r>
        <w:separator/>
      </w:r>
    </w:p>
  </w:endnote>
  <w:endnote w:type="continuationSeparator" w:id="0">
    <w:p w14:paraId="3C599AD5" w14:textId="77777777" w:rsidR="009A3DBF" w:rsidRDefault="009A3DBF" w:rsidP="007A4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4BEB4" w14:textId="77777777" w:rsidR="009A3DBF" w:rsidRPr="00302530" w:rsidRDefault="009A3DBF" w:rsidP="007A4375">
    <w:pPr>
      <w:spacing w:line="240" w:lineRule="auto"/>
      <w:jc w:val="center"/>
      <w:rPr>
        <w:rFonts w:ascii="Times New Roman" w:hAnsi="Times New Roman" w:cs="Times New Roman"/>
        <w:i/>
        <w:sz w:val="16"/>
        <w:szCs w:val="20"/>
        <w:lang w:val="bg-BG"/>
      </w:rPr>
    </w:pPr>
    <w:r w:rsidRPr="00302530">
      <w:rPr>
        <w:rFonts w:ascii="Times New Roman" w:hAnsi="Times New Roman" w:cs="Times New Roman"/>
        <w:i/>
        <w:sz w:val="16"/>
        <w:szCs w:val="20"/>
        <w:lang w:val="bg-BG"/>
      </w:rPr>
      <w:t>Документът е изготвен по проект  „Разработване на Национална стратегия за околна среда и План за действие към нея“, изпълняван по Оперативна програма „Добро управление“ с подкрепата на Европейски социален фонд</w:t>
    </w:r>
  </w:p>
  <w:p w14:paraId="18C4ACE0" w14:textId="15B81BAC" w:rsidR="009A3DBF" w:rsidRPr="007A4375" w:rsidRDefault="009A3DBF" w:rsidP="007A4375">
    <w:pPr>
      <w:pStyle w:val="Footer"/>
      <w:jc w:val="center"/>
      <w:rPr>
        <w:rFonts w:ascii="Times New Roman" w:hAnsi="Times New Roman" w:cs="Times New Roman"/>
        <w:caps/>
        <w:noProof/>
        <w:color w:val="4472C4" w:themeColor="accent1"/>
      </w:rPr>
    </w:pPr>
    <w:r w:rsidRPr="007A4375">
      <w:rPr>
        <w:rFonts w:ascii="Times New Roman" w:hAnsi="Times New Roman" w:cs="Times New Roman"/>
        <w:caps/>
        <w:color w:val="4472C4" w:themeColor="accent1"/>
      </w:rPr>
      <w:fldChar w:fldCharType="begin"/>
    </w:r>
    <w:r w:rsidRPr="007A4375">
      <w:rPr>
        <w:rFonts w:ascii="Times New Roman" w:hAnsi="Times New Roman" w:cs="Times New Roman"/>
        <w:caps/>
        <w:color w:val="4472C4" w:themeColor="accent1"/>
      </w:rPr>
      <w:instrText xml:space="preserve"> PAGE   \* MERGEFORMAT </w:instrText>
    </w:r>
    <w:r w:rsidRPr="007A4375">
      <w:rPr>
        <w:rFonts w:ascii="Times New Roman" w:hAnsi="Times New Roman" w:cs="Times New Roman"/>
        <w:caps/>
        <w:color w:val="4472C4" w:themeColor="accent1"/>
      </w:rPr>
      <w:fldChar w:fldCharType="separate"/>
    </w:r>
    <w:r w:rsidR="003D2D76">
      <w:rPr>
        <w:rFonts w:ascii="Times New Roman" w:hAnsi="Times New Roman" w:cs="Times New Roman"/>
        <w:caps/>
        <w:noProof/>
        <w:color w:val="4472C4" w:themeColor="accent1"/>
      </w:rPr>
      <w:t>1</w:t>
    </w:r>
    <w:r w:rsidRPr="007A4375">
      <w:rPr>
        <w:rFonts w:ascii="Times New Roman" w:hAnsi="Times New Roman" w:cs="Times New Roman"/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2FA0E" w14:textId="77777777" w:rsidR="009A3DBF" w:rsidRDefault="009A3DBF" w:rsidP="007A4375">
      <w:pPr>
        <w:spacing w:after="0" w:line="240" w:lineRule="auto"/>
      </w:pPr>
      <w:r>
        <w:separator/>
      </w:r>
    </w:p>
  </w:footnote>
  <w:footnote w:type="continuationSeparator" w:id="0">
    <w:p w14:paraId="3E1FF49E" w14:textId="77777777" w:rsidR="009A3DBF" w:rsidRDefault="009A3DBF" w:rsidP="007A4375">
      <w:pPr>
        <w:spacing w:after="0" w:line="240" w:lineRule="auto"/>
      </w:pPr>
      <w:r>
        <w:continuationSeparator/>
      </w:r>
    </w:p>
  </w:footnote>
  <w:footnote w:id="1">
    <w:p w14:paraId="1D5F51C5" w14:textId="77777777" w:rsidR="009A3DBF" w:rsidRPr="00985E8E" w:rsidRDefault="009A3DBF" w:rsidP="007A4375">
      <w:pPr>
        <w:pStyle w:val="FootnoteText"/>
        <w:rPr>
          <w:rFonts w:ascii="Times New Roman" w:hAnsi="Times New Roman"/>
          <w:color w:val="auto"/>
          <w:sz w:val="16"/>
          <w:szCs w:val="16"/>
          <w:lang w:val="de-DE"/>
        </w:rPr>
      </w:pPr>
      <w:r w:rsidRPr="00F260BB">
        <w:rPr>
          <w:rStyle w:val="FootnoteReference"/>
          <w:rFonts w:ascii="Times New Roman" w:hAnsi="Times New Roman"/>
          <w:color w:val="auto"/>
          <w:sz w:val="16"/>
          <w:szCs w:val="16"/>
        </w:rPr>
        <w:footnoteRef/>
      </w:r>
      <w:r w:rsidRPr="00F260BB">
        <w:rPr>
          <w:rFonts w:ascii="Times New Roman" w:hAnsi="Times New Roman"/>
          <w:color w:val="auto"/>
          <w:sz w:val="16"/>
          <w:szCs w:val="16"/>
          <w:lang w:val="ru-RU"/>
        </w:rPr>
        <w:t>СОМ</w:t>
      </w:r>
      <w:r w:rsidRPr="00985E8E">
        <w:rPr>
          <w:rFonts w:ascii="Times New Roman" w:hAnsi="Times New Roman"/>
          <w:color w:val="auto"/>
          <w:sz w:val="16"/>
          <w:szCs w:val="16"/>
          <w:lang w:val="de-DE"/>
        </w:rPr>
        <w:t>(2019)</w:t>
      </w:r>
      <w:r w:rsidRPr="00F260BB">
        <w:rPr>
          <w:rFonts w:ascii="Times New Roman" w:hAnsi="Times New Roman"/>
          <w:color w:val="auto"/>
          <w:sz w:val="16"/>
          <w:szCs w:val="16"/>
        </w:rPr>
        <w:t> </w:t>
      </w:r>
      <w:r w:rsidRPr="00985E8E">
        <w:rPr>
          <w:rFonts w:ascii="Times New Roman" w:hAnsi="Times New Roman"/>
          <w:color w:val="auto"/>
          <w:sz w:val="16"/>
          <w:szCs w:val="16"/>
          <w:lang w:val="de-DE"/>
        </w:rPr>
        <w:t xml:space="preserve">640 </w:t>
      </w:r>
      <w:r w:rsidRPr="00F260BB">
        <w:rPr>
          <w:rFonts w:ascii="Times New Roman" w:hAnsi="Times New Roman"/>
          <w:color w:val="auto"/>
          <w:sz w:val="16"/>
          <w:szCs w:val="16"/>
        </w:rPr>
        <w:t>final</w:t>
      </w:r>
      <w:r w:rsidRPr="00985E8E">
        <w:rPr>
          <w:rFonts w:ascii="Times New Roman" w:hAnsi="Times New Roman"/>
          <w:color w:val="auto"/>
          <w:sz w:val="16"/>
          <w:szCs w:val="16"/>
          <w:lang w:val="de-DE"/>
        </w:rPr>
        <w:t>.</w:t>
      </w:r>
    </w:p>
  </w:footnote>
  <w:footnote w:id="2">
    <w:p w14:paraId="6CD0C236" w14:textId="77777777" w:rsidR="009A3DBF" w:rsidRPr="00AB26B9" w:rsidRDefault="009A3DBF" w:rsidP="007A4375">
      <w:pPr>
        <w:pStyle w:val="FootnoteText"/>
        <w:rPr>
          <w:rFonts w:ascii="Times New Roman" w:hAnsi="Times New Roman"/>
          <w:sz w:val="16"/>
          <w:szCs w:val="16"/>
        </w:rPr>
      </w:pPr>
      <w:r w:rsidRPr="00AB26B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B26B9">
        <w:rPr>
          <w:rFonts w:ascii="Times New Roman" w:hAnsi="Times New Roman"/>
          <w:sz w:val="16"/>
          <w:szCs w:val="16"/>
        </w:rPr>
        <w:t xml:space="preserve"> </w:t>
      </w:r>
      <w:hyperlink r:id="rId1" w:anchor="document2" w:history="1">
        <w:r w:rsidRPr="00AB26B9">
          <w:rPr>
            <w:rStyle w:val="Hyperlink"/>
            <w:rFonts w:ascii="Times New Roman" w:eastAsiaTheme="minorEastAsia" w:hAnsi="Times New Roman"/>
            <w:sz w:val="16"/>
            <w:szCs w:val="16"/>
          </w:rPr>
          <w:t>EUR-Lex - 52019DC0640 - EN - EUR-Lex (europa.eu)</w:t>
        </w:r>
      </w:hyperlink>
    </w:p>
  </w:footnote>
  <w:footnote w:id="3">
    <w:p w14:paraId="1FB7950B" w14:textId="77777777" w:rsidR="009A3DBF" w:rsidRPr="00AB26B9" w:rsidRDefault="009A3DBF" w:rsidP="007A4375">
      <w:pPr>
        <w:pStyle w:val="FootnoteText"/>
        <w:rPr>
          <w:rFonts w:ascii="Times New Roman" w:hAnsi="Times New Roman"/>
          <w:sz w:val="16"/>
          <w:szCs w:val="16"/>
        </w:rPr>
      </w:pPr>
      <w:r w:rsidRPr="00AB26B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AB26B9">
        <w:rPr>
          <w:rFonts w:ascii="Times New Roman" w:hAnsi="Times New Roman"/>
          <w:sz w:val="16"/>
          <w:szCs w:val="16"/>
        </w:rPr>
        <w:t xml:space="preserve"> </w:t>
      </w:r>
      <w:hyperlink r:id="rId2" w:anchor="document2" w:history="1">
        <w:r w:rsidRPr="00AB26B9">
          <w:rPr>
            <w:rStyle w:val="Hyperlink"/>
            <w:rFonts w:ascii="Times New Roman" w:eastAsiaTheme="minorEastAsia" w:hAnsi="Times New Roman"/>
            <w:sz w:val="16"/>
            <w:szCs w:val="16"/>
          </w:rPr>
          <w:t>EUR-Lex - 52019DC0640 - EN - EUR-Lex (europa.eu)</w:t>
        </w:r>
      </w:hyperlink>
    </w:p>
  </w:footnote>
  <w:footnote w:id="4">
    <w:p w14:paraId="60DD918C" w14:textId="77777777" w:rsidR="009A3DBF" w:rsidRPr="00594174" w:rsidRDefault="009A3DBF" w:rsidP="007A4375">
      <w:pPr>
        <w:pStyle w:val="FootnoteText"/>
        <w:rPr>
          <w:rFonts w:ascii="Times New Roman" w:hAnsi="Times New Roman"/>
          <w:color w:val="auto"/>
          <w:sz w:val="16"/>
          <w:szCs w:val="16"/>
          <w:lang w:val="en-US"/>
        </w:rPr>
      </w:pPr>
      <w:r w:rsidRPr="00F260BB">
        <w:rPr>
          <w:rStyle w:val="FootnoteReference"/>
          <w:rFonts w:ascii="Times New Roman" w:hAnsi="Times New Roman"/>
          <w:color w:val="auto"/>
          <w:sz w:val="16"/>
          <w:szCs w:val="16"/>
        </w:rPr>
        <w:footnoteRef/>
      </w:r>
      <w:r w:rsidRPr="00F260BB">
        <w:rPr>
          <w:rFonts w:ascii="Times New Roman" w:hAnsi="Times New Roman"/>
          <w:color w:val="auto"/>
          <w:sz w:val="16"/>
          <w:szCs w:val="16"/>
        </w:rPr>
        <w:t>COM</w:t>
      </w:r>
      <w:r w:rsidRPr="00594174">
        <w:rPr>
          <w:rFonts w:ascii="Times New Roman" w:hAnsi="Times New Roman"/>
          <w:color w:val="auto"/>
          <w:sz w:val="16"/>
          <w:szCs w:val="16"/>
          <w:lang w:val="en-US"/>
        </w:rPr>
        <w:t xml:space="preserve">(2018) 773 </w:t>
      </w:r>
      <w:r w:rsidRPr="00F260BB">
        <w:rPr>
          <w:rFonts w:ascii="Times New Roman" w:hAnsi="Times New Roman"/>
          <w:color w:val="auto"/>
          <w:sz w:val="16"/>
          <w:szCs w:val="16"/>
        </w:rPr>
        <w:t>final</w:t>
      </w:r>
      <w:r w:rsidRPr="00594174">
        <w:rPr>
          <w:rFonts w:ascii="Times New Roman" w:hAnsi="Times New Roman"/>
          <w:color w:val="auto"/>
          <w:sz w:val="16"/>
          <w:szCs w:val="16"/>
          <w:lang w:val="en-US"/>
        </w:rPr>
        <w:t>.</w:t>
      </w:r>
    </w:p>
  </w:footnote>
  <w:footnote w:id="5">
    <w:p w14:paraId="2F259DCC" w14:textId="77777777" w:rsidR="009A3DBF" w:rsidRPr="00F260BB" w:rsidRDefault="009A3DBF" w:rsidP="007A4375">
      <w:pPr>
        <w:pStyle w:val="FootnoteText"/>
        <w:rPr>
          <w:rFonts w:ascii="Times New Roman" w:hAnsi="Times New Roman"/>
          <w:color w:val="auto"/>
          <w:sz w:val="16"/>
          <w:szCs w:val="16"/>
          <w:lang w:val="es-ES"/>
        </w:rPr>
      </w:pPr>
      <w:r w:rsidRPr="00F260BB">
        <w:rPr>
          <w:rStyle w:val="FootnoteReference"/>
          <w:rFonts w:ascii="Times New Roman" w:hAnsi="Times New Roman"/>
          <w:color w:val="auto"/>
          <w:sz w:val="16"/>
          <w:szCs w:val="16"/>
        </w:rPr>
        <w:footnoteRef/>
      </w:r>
      <w:r w:rsidRPr="00F260BB">
        <w:rPr>
          <w:rFonts w:ascii="Times New Roman" w:hAnsi="Times New Roman"/>
          <w:color w:val="auto"/>
          <w:sz w:val="16"/>
          <w:szCs w:val="16"/>
        </w:rPr>
        <w:t>СОМ</w:t>
      </w:r>
      <w:r w:rsidRPr="00F260BB">
        <w:rPr>
          <w:rFonts w:ascii="Times New Roman" w:hAnsi="Times New Roman"/>
          <w:color w:val="auto"/>
          <w:sz w:val="16"/>
          <w:szCs w:val="16"/>
          <w:lang w:val="es-ES"/>
        </w:rPr>
        <w:t>(2020) 80 final.</w:t>
      </w:r>
    </w:p>
  </w:footnote>
  <w:footnote w:id="6">
    <w:p w14:paraId="51237134" w14:textId="77777777" w:rsidR="009A3DBF" w:rsidRPr="00F260BB" w:rsidRDefault="009A3DBF" w:rsidP="007A4375">
      <w:pPr>
        <w:pStyle w:val="FootnoteText"/>
        <w:rPr>
          <w:rFonts w:ascii="Times New Roman" w:hAnsi="Times New Roman"/>
          <w:color w:val="auto"/>
          <w:sz w:val="16"/>
          <w:szCs w:val="16"/>
          <w:lang w:val="es-ES"/>
        </w:rPr>
      </w:pPr>
      <w:r w:rsidRPr="00F260BB">
        <w:rPr>
          <w:rStyle w:val="FootnoteReference"/>
          <w:rFonts w:ascii="Times New Roman" w:hAnsi="Times New Roman"/>
          <w:color w:val="auto"/>
          <w:sz w:val="16"/>
          <w:szCs w:val="16"/>
        </w:rPr>
        <w:footnoteRef/>
      </w:r>
      <w:r w:rsidRPr="00F260BB">
        <w:rPr>
          <w:rFonts w:ascii="Times New Roman" w:hAnsi="Times New Roman"/>
          <w:color w:val="auto"/>
          <w:sz w:val="16"/>
          <w:szCs w:val="16"/>
          <w:lang w:val="es-ES"/>
        </w:rPr>
        <w:t>COM(2020) 98 final.</w:t>
      </w:r>
    </w:p>
  </w:footnote>
  <w:footnote w:id="7">
    <w:p w14:paraId="57BAA66A" w14:textId="77777777" w:rsidR="009A3DBF" w:rsidRPr="00F260BB" w:rsidRDefault="009A3DBF" w:rsidP="007A4375">
      <w:pPr>
        <w:pStyle w:val="FootnoteText"/>
        <w:rPr>
          <w:rStyle w:val="FootnoteReference"/>
          <w:rFonts w:ascii="Times New Roman" w:hAnsi="Times New Roman"/>
          <w:color w:val="auto"/>
          <w:sz w:val="16"/>
          <w:szCs w:val="16"/>
          <w:lang w:val="es-ES"/>
        </w:rPr>
      </w:pPr>
      <w:r w:rsidRPr="00F260BB">
        <w:rPr>
          <w:rStyle w:val="FootnoteReference"/>
          <w:rFonts w:ascii="Times New Roman" w:hAnsi="Times New Roman"/>
          <w:color w:val="auto"/>
          <w:sz w:val="16"/>
          <w:szCs w:val="16"/>
        </w:rPr>
        <w:footnoteRef/>
      </w:r>
      <w:r w:rsidRPr="00F260BB">
        <w:rPr>
          <w:rFonts w:ascii="Times New Roman" w:hAnsi="Times New Roman"/>
          <w:color w:val="auto"/>
          <w:sz w:val="16"/>
          <w:szCs w:val="16"/>
        </w:rPr>
        <w:t>СОМ</w:t>
      </w:r>
      <w:r w:rsidRPr="00F260BB">
        <w:rPr>
          <w:rFonts w:ascii="Times New Roman" w:hAnsi="Times New Roman"/>
          <w:color w:val="auto"/>
          <w:sz w:val="16"/>
          <w:szCs w:val="16"/>
          <w:lang w:val="es-ES"/>
        </w:rPr>
        <w:t>(2020) 380 final.</w:t>
      </w:r>
    </w:p>
  </w:footnote>
  <w:footnote w:id="8">
    <w:p w14:paraId="2E8F1823" w14:textId="77777777" w:rsidR="009A3DBF" w:rsidRPr="0033186D" w:rsidRDefault="009A3DBF" w:rsidP="007A4375">
      <w:pPr>
        <w:pStyle w:val="FootnoteText"/>
        <w:rPr>
          <w:rFonts w:ascii="Times New Roman" w:hAnsi="Times New Roman"/>
          <w:sz w:val="16"/>
          <w:szCs w:val="16"/>
        </w:rPr>
      </w:pPr>
      <w:r w:rsidRPr="0033186D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33186D">
        <w:rPr>
          <w:rFonts w:ascii="Times New Roman" w:hAnsi="Times New Roman"/>
          <w:sz w:val="16"/>
          <w:szCs w:val="16"/>
        </w:rPr>
        <w:t xml:space="preserve"> https://ec.europa.eu/bulgaria/news/circular-economy-action-plan-2020_bg</w:t>
      </w:r>
    </w:p>
  </w:footnote>
  <w:footnote w:id="9">
    <w:p w14:paraId="429DB235" w14:textId="77777777" w:rsidR="009A3DBF" w:rsidRPr="0033186D" w:rsidRDefault="009A3DBF" w:rsidP="007A4375">
      <w:pPr>
        <w:pStyle w:val="FootnoteText"/>
        <w:rPr>
          <w:rFonts w:ascii="Times New Roman" w:hAnsi="Times New Roman"/>
          <w:sz w:val="16"/>
          <w:szCs w:val="16"/>
        </w:rPr>
      </w:pPr>
      <w:r w:rsidRPr="0033186D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33186D">
        <w:rPr>
          <w:rFonts w:ascii="Times New Roman" w:hAnsi="Times New Roman"/>
          <w:sz w:val="16"/>
          <w:szCs w:val="16"/>
        </w:rPr>
        <w:t>https://ec.europa.eu/info/strategy/priorities-2019-2024/european-green-deal/actions-being-taken-eu/farm-fork_bg</w:t>
      </w:r>
    </w:p>
  </w:footnote>
  <w:footnote w:id="10">
    <w:p w14:paraId="36CA7DA3" w14:textId="77777777" w:rsidR="009A3DBF" w:rsidRDefault="009A3DBF" w:rsidP="007A4375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  <w:footnote w:id="11">
    <w:p w14:paraId="11429CA7" w14:textId="77777777" w:rsidR="009A3DBF" w:rsidRPr="00ED7ADA" w:rsidRDefault="009A3DBF" w:rsidP="007A4375">
      <w:pPr>
        <w:pStyle w:val="FootnoteText"/>
        <w:rPr>
          <w:rFonts w:ascii="Times New Roman" w:hAnsi="Times New Roman"/>
          <w:sz w:val="16"/>
          <w:szCs w:val="16"/>
        </w:rPr>
      </w:pPr>
      <w:r w:rsidRPr="00ED7ADA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ED7ADA">
        <w:rPr>
          <w:rFonts w:ascii="Times New Roman" w:hAnsi="Times New Roman"/>
          <w:sz w:val="16"/>
          <w:szCs w:val="16"/>
        </w:rPr>
        <w:t xml:space="preserve"> https://www.minfin.bg/bg/1394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76773" w14:textId="77777777" w:rsidR="009A3DBF" w:rsidRPr="007A4375" w:rsidRDefault="009A3DBF" w:rsidP="007A4375">
    <w:pPr>
      <w:tabs>
        <w:tab w:val="left" w:pos="2618"/>
        <w:tab w:val="left" w:pos="4376"/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b/>
        <w:lang w:eastAsia="bg-BG"/>
      </w:rPr>
    </w:pPr>
    <w:r>
      <w:rPr>
        <w:rFonts w:ascii="Calibri" w:eastAsia="Calibri" w:hAnsi="Calibri" w:cs="Times New Roman"/>
        <w:noProof/>
        <w:lang w:val="en-US"/>
      </w:rPr>
      <w:drawing>
        <wp:inline distT="0" distB="0" distL="0" distR="0" wp14:anchorId="4AE319B7" wp14:editId="055E5A6D">
          <wp:extent cx="1874520" cy="784860"/>
          <wp:effectExtent l="0" t="0" r="0" b="0"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b/>
        <w:lang w:eastAsia="bg-BG"/>
      </w:rPr>
      <w:tab/>
    </w:r>
    <w:r>
      <w:rPr>
        <w:rFonts w:ascii="Calibri" w:eastAsia="Calibri" w:hAnsi="Calibri" w:cs="Times New Roman"/>
        <w:noProof/>
        <w:lang w:val="en-US"/>
      </w:rPr>
      <w:drawing>
        <wp:inline distT="0" distB="0" distL="0" distR="0" wp14:anchorId="0FBFAC04" wp14:editId="4736D392">
          <wp:extent cx="1927860" cy="876300"/>
          <wp:effectExtent l="0" t="0" r="0" b="0"/>
          <wp:docPr id="58" name="Picture 58" descr="logo-bg-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bg-r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DE9"/>
    <w:multiLevelType w:val="hybridMultilevel"/>
    <w:tmpl w:val="67BC1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D54"/>
    <w:multiLevelType w:val="hybridMultilevel"/>
    <w:tmpl w:val="AF9EDAE8"/>
    <w:lvl w:ilvl="0" w:tplc="B79A30B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7554"/>
    <w:multiLevelType w:val="hybridMultilevel"/>
    <w:tmpl w:val="EA5EA9AC"/>
    <w:lvl w:ilvl="0" w:tplc="79286D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E10F4"/>
    <w:multiLevelType w:val="hybridMultilevel"/>
    <w:tmpl w:val="09D23790"/>
    <w:lvl w:ilvl="0" w:tplc="EA427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D04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4C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782A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549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68E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CE5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42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2ED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720135C"/>
    <w:multiLevelType w:val="hybridMultilevel"/>
    <w:tmpl w:val="B1F23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75"/>
    <w:rsid w:val="000154CF"/>
    <w:rsid w:val="0006424E"/>
    <w:rsid w:val="000A649D"/>
    <w:rsid w:val="00100CD5"/>
    <w:rsid w:val="0010264A"/>
    <w:rsid w:val="0013275C"/>
    <w:rsid w:val="0016550F"/>
    <w:rsid w:val="002007DA"/>
    <w:rsid w:val="00200CCE"/>
    <w:rsid w:val="00203BE6"/>
    <w:rsid w:val="0023369A"/>
    <w:rsid w:val="003B7975"/>
    <w:rsid w:val="003D2D76"/>
    <w:rsid w:val="004063CC"/>
    <w:rsid w:val="00422AD4"/>
    <w:rsid w:val="004439CA"/>
    <w:rsid w:val="004E2A53"/>
    <w:rsid w:val="005F4188"/>
    <w:rsid w:val="00622FE7"/>
    <w:rsid w:val="00632DA8"/>
    <w:rsid w:val="00745F81"/>
    <w:rsid w:val="007721EB"/>
    <w:rsid w:val="007A4375"/>
    <w:rsid w:val="00921772"/>
    <w:rsid w:val="009A3DBF"/>
    <w:rsid w:val="009B53D4"/>
    <w:rsid w:val="009D3DDB"/>
    <w:rsid w:val="00A41D21"/>
    <w:rsid w:val="00BE6FBC"/>
    <w:rsid w:val="00DA6770"/>
    <w:rsid w:val="00DF1AE8"/>
    <w:rsid w:val="00E20433"/>
    <w:rsid w:val="00E80742"/>
    <w:rsid w:val="00EA4B3D"/>
    <w:rsid w:val="00ED5184"/>
    <w:rsid w:val="00F6776A"/>
    <w:rsid w:val="00F84176"/>
    <w:rsid w:val="00FD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35A775C"/>
  <w15:docId w15:val="{73EABA9A-DEFE-4B32-8097-ECB15434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375"/>
    <w:pPr>
      <w:keepNext/>
      <w:keepLines/>
      <w:spacing w:before="40" w:after="0" w:line="36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375"/>
  </w:style>
  <w:style w:type="paragraph" w:styleId="Footer">
    <w:name w:val="footer"/>
    <w:basedOn w:val="Normal"/>
    <w:link w:val="FooterChar"/>
    <w:uiPriority w:val="99"/>
    <w:unhideWhenUsed/>
    <w:rsid w:val="007A4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375"/>
  </w:style>
  <w:style w:type="paragraph" w:styleId="NormalWeb">
    <w:name w:val="Normal (Web)"/>
    <w:basedOn w:val="Normal"/>
    <w:link w:val="NormalWebChar"/>
    <w:unhideWhenUsed/>
    <w:rsid w:val="007A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link w:val="NormalWeb"/>
    <w:locked/>
    <w:rsid w:val="007A437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A43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7A437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qFormat/>
    <w:rsid w:val="007A4375"/>
    <w:rPr>
      <w:color w:val="0563C1" w:themeColor="hyperlink"/>
      <w:u w:val="single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f,Char,fn"/>
    <w:basedOn w:val="Normal"/>
    <w:link w:val="FootnoteTextChar"/>
    <w:uiPriority w:val="99"/>
    <w:unhideWhenUsed/>
    <w:qFormat/>
    <w:rsid w:val="007A4375"/>
    <w:pPr>
      <w:spacing w:after="0" w:line="240" w:lineRule="auto"/>
      <w:jc w:val="both"/>
    </w:pPr>
    <w:rPr>
      <w:rFonts w:asciiTheme="majorHAnsi" w:eastAsia="Times New Roman" w:hAnsiTheme="majorHAnsi" w:cs="Times New Roman"/>
      <w:color w:val="0070C0"/>
      <w:sz w:val="20"/>
      <w:szCs w:val="20"/>
      <w:lang w:val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,f Char"/>
    <w:basedOn w:val="DefaultParagraphFont"/>
    <w:link w:val="FootnoteText"/>
    <w:uiPriority w:val="99"/>
    <w:qFormat/>
    <w:rsid w:val="007A4375"/>
    <w:rPr>
      <w:rFonts w:asciiTheme="majorHAnsi" w:eastAsia="Times New Roman" w:hAnsiTheme="majorHAnsi" w:cs="Times New Roman"/>
      <w:color w:val="0070C0"/>
      <w:sz w:val="20"/>
      <w:szCs w:val="20"/>
      <w:lang w:val="bg-BG"/>
    </w:rPr>
  </w:style>
  <w:style w:type="character" w:styleId="FootnoteReference">
    <w:name w:val="footnote reference"/>
    <w:aliases w:val="Footnote symbol,Footnote Reference Superscript,SUPERS,BVI fnr,Appel note de bas de p,Nota,(NECG) Footnote Reference,Voetnootverwijzing,Lábjegyzet-hivatkozás,L?bjegyzet-hivatkoz?s,Char1 Char Char Char Char,ftref, BVI fnr,note TESI,Ref"/>
    <w:basedOn w:val="DefaultParagraphFont"/>
    <w:link w:val="FootnotesymbolCarZchn"/>
    <w:uiPriority w:val="99"/>
    <w:unhideWhenUsed/>
    <w:qFormat/>
    <w:rsid w:val="007A4375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qFormat/>
    <w:rsid w:val="007A4375"/>
    <w:pPr>
      <w:spacing w:line="240" w:lineRule="exact"/>
      <w:jc w:val="both"/>
    </w:pPr>
    <w:rPr>
      <w:vertAlign w:val="superscript"/>
    </w:rPr>
  </w:style>
  <w:style w:type="paragraph" w:customStyle="1" w:styleId="Point1">
    <w:name w:val="Point 1"/>
    <w:basedOn w:val="Normal"/>
    <w:rsid w:val="007A4375"/>
    <w:pPr>
      <w:spacing w:before="120" w:after="120" w:line="240" w:lineRule="auto"/>
      <w:ind w:left="1417" w:hanging="567"/>
      <w:jc w:val="both"/>
    </w:pPr>
    <w:rPr>
      <w:rFonts w:ascii="Times New Roman" w:hAnsi="Times New Roman" w:cs="Times New Roman"/>
      <w:sz w:val="24"/>
      <w:lang w:val="bg-BG"/>
    </w:rPr>
  </w:style>
  <w:style w:type="paragraph" w:styleId="ListParagraph">
    <w:name w:val="List Paragraph"/>
    <w:aliases w:val="ПАРАГРАФ,Colorful List - Accent 11,List1,List Paragraph compact,Normal bullet 2,Paragraphe de liste 2,Reference list,Bullet list,Numbered List,Paragraph,Bullet EY,List Paragraph11,Normal bullet 21,List L1,Resume Title,Citation List,Ha,lp1"/>
    <w:basedOn w:val="Normal"/>
    <w:link w:val="ListParagraphChar"/>
    <w:uiPriority w:val="34"/>
    <w:qFormat/>
    <w:rsid w:val="007A437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ПАРАГРАФ Char,Colorful List - Accent 11 Char,List1 Char,List Paragraph compact Char,Normal bullet 2 Char,Paragraphe de liste 2 Char,Reference list Char,Bullet list Char,Numbered List Char,Paragraph Char,Bullet EY Char,List L1 Char"/>
    <w:link w:val="ListParagraph"/>
    <w:uiPriority w:val="34"/>
    <w:qFormat/>
    <w:locked/>
    <w:rsid w:val="007A437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7A437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4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2A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A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A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A53"/>
    <w:rPr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E6FBC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E6FB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E6FBC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E6FBC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8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9.xml"/><Relationship Id="rId10" Type="http://schemas.openxmlformats.org/officeDocument/2006/relationships/image" Target="media/image2.wmf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BG/TXT/?qid=1596443911913&amp;uri=CELEX:52019DC0640" TargetMode="External"/><Relationship Id="rId1" Type="http://schemas.openxmlformats.org/officeDocument/2006/relationships/hyperlink" Target="https://eur-lex.europa.eu/legal-content/BG/TXT/?qid=1596443911913&amp;uri=CELEX:52019DC064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81891-127B-4C1C-8614-F58CC270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7464</Words>
  <Characters>42547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kamelia</dc:creator>
  <cp:lastModifiedBy>Kamelia</cp:lastModifiedBy>
  <cp:revision>2</cp:revision>
  <dcterms:created xsi:type="dcterms:W3CDTF">2021-12-15T12:04:00Z</dcterms:created>
  <dcterms:modified xsi:type="dcterms:W3CDTF">2021-12-15T12:04:00Z</dcterms:modified>
</cp:coreProperties>
</file>