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55FAE2" w14:textId="77777777" w:rsidR="008B1EFF" w:rsidRPr="00D1534D" w:rsidRDefault="0042190C">
      <w:pPr>
        <w:pStyle w:val="a0"/>
        <w:keepNext/>
        <w:keepLines/>
        <w:spacing w:before="40"/>
        <w:rPr>
          <w:color w:val="0070C0"/>
        </w:rPr>
      </w:pPr>
      <w:proofErr w:type="spellStart"/>
      <w:r w:rsidRPr="00D1534D">
        <w:rPr>
          <w:rFonts w:eastAsiaTheme="majorEastAsia"/>
          <w:b/>
          <w:bCs/>
          <w:color w:val="4472C4" w:themeColor="accent1"/>
          <w:sz w:val="28"/>
          <w:szCs w:val="28"/>
          <w:lang w:val="en-US" w:eastAsia="en-US"/>
        </w:rPr>
        <w:t>Приложение</w:t>
      </w:r>
      <w:proofErr w:type="spellEnd"/>
      <w:r w:rsidRPr="00D1534D">
        <w:rPr>
          <w:rFonts w:eastAsiaTheme="majorEastAsia"/>
          <w:b/>
          <w:bCs/>
          <w:color w:val="4472C4" w:themeColor="accent1"/>
          <w:sz w:val="28"/>
          <w:szCs w:val="28"/>
          <w:lang w:val="en-US" w:eastAsia="en-US"/>
        </w:rPr>
        <w:t xml:space="preserve"> II.1.2. </w:t>
      </w:r>
      <w:proofErr w:type="spellStart"/>
      <w:r w:rsidRPr="00D1534D">
        <w:rPr>
          <w:rFonts w:eastAsiaTheme="majorEastAsia"/>
          <w:b/>
          <w:bCs/>
          <w:color w:val="4472C4" w:themeColor="accent1"/>
          <w:sz w:val="28"/>
          <w:szCs w:val="28"/>
          <w:lang w:val="en-US" w:eastAsia="en-US"/>
        </w:rPr>
        <w:t>Изменение</w:t>
      </w:r>
      <w:proofErr w:type="spellEnd"/>
      <w:r w:rsidRPr="00D1534D">
        <w:rPr>
          <w:rFonts w:eastAsiaTheme="majorEastAsia"/>
          <w:b/>
          <w:bCs/>
          <w:color w:val="4472C4" w:themeColor="accent1"/>
          <w:sz w:val="28"/>
          <w:szCs w:val="28"/>
          <w:lang w:val="en-US" w:eastAsia="en-US"/>
        </w:rPr>
        <w:t xml:space="preserve"> </w:t>
      </w:r>
      <w:proofErr w:type="spellStart"/>
      <w:r w:rsidRPr="00D1534D">
        <w:rPr>
          <w:rFonts w:eastAsiaTheme="majorEastAsia"/>
          <w:b/>
          <w:bCs/>
          <w:color w:val="4472C4" w:themeColor="accent1"/>
          <w:sz w:val="28"/>
          <w:szCs w:val="28"/>
          <w:lang w:val="en-US" w:eastAsia="en-US"/>
        </w:rPr>
        <w:t>на</w:t>
      </w:r>
      <w:proofErr w:type="spellEnd"/>
      <w:r w:rsidRPr="00D1534D">
        <w:rPr>
          <w:rFonts w:eastAsiaTheme="majorEastAsia"/>
          <w:b/>
          <w:bCs/>
          <w:color w:val="4472C4" w:themeColor="accent1"/>
          <w:sz w:val="28"/>
          <w:szCs w:val="28"/>
          <w:lang w:val="en-US" w:eastAsia="en-US"/>
        </w:rPr>
        <w:t xml:space="preserve"> </w:t>
      </w:r>
      <w:proofErr w:type="spellStart"/>
      <w:r w:rsidRPr="00D1534D">
        <w:rPr>
          <w:rFonts w:eastAsiaTheme="majorEastAsia"/>
          <w:b/>
          <w:bCs/>
          <w:color w:val="4472C4" w:themeColor="accent1"/>
          <w:sz w:val="28"/>
          <w:szCs w:val="28"/>
          <w:lang w:val="en-US" w:eastAsia="en-US"/>
        </w:rPr>
        <w:t>климат</w:t>
      </w:r>
      <w:r w:rsidRPr="00D1534D">
        <w:rPr>
          <w:rFonts w:eastAsiaTheme="majorEastAsia"/>
          <w:b/>
          <w:bCs/>
          <w:color w:val="0070C0"/>
          <w:sz w:val="28"/>
          <w:szCs w:val="28"/>
          <w:lang w:val="en-US" w:eastAsia="en-US"/>
        </w:rPr>
        <w:t>а</w:t>
      </w:r>
      <w:proofErr w:type="spellEnd"/>
      <w:r w:rsidRPr="00D1534D">
        <w:rPr>
          <w:rStyle w:val="a1"/>
          <w:b/>
          <w:color w:val="0070C0"/>
          <w:sz w:val="28"/>
          <w:szCs w:val="28"/>
          <w:vertAlign w:val="superscript"/>
        </w:rPr>
        <w:footnoteReference w:id="1"/>
      </w:r>
    </w:p>
    <w:p w14:paraId="11866EAB" w14:textId="77777777" w:rsidR="008B1EFF" w:rsidRDefault="008B1EFF">
      <w:pPr>
        <w:pStyle w:val="a0"/>
        <w:keepNext/>
        <w:keepLines/>
        <w:spacing w:before="40"/>
        <w:rPr>
          <w:lang w:val="en-GB"/>
        </w:rPr>
      </w:pPr>
    </w:p>
    <w:sdt>
      <w:sdtPr>
        <w:rPr>
          <w:rFonts w:ascii="Calibri" w:eastAsia="Calibri" w:hAnsi="Calibri" w:cs="Times New Roman"/>
          <w:b w:val="0"/>
          <w:bCs w:val="0"/>
          <w:color w:val="auto"/>
          <w:sz w:val="22"/>
          <w:szCs w:val="22"/>
          <w:lang w:eastAsia="en-US"/>
        </w:rPr>
        <w:id w:val="1338570597"/>
        <w:docPartObj>
          <w:docPartGallery w:val="Table of Contents"/>
          <w:docPartUnique/>
        </w:docPartObj>
      </w:sdtPr>
      <w:sdtEndPr>
        <w:rPr>
          <w:noProof/>
        </w:rPr>
      </w:sdtEndPr>
      <w:sdtContent>
        <w:p w14:paraId="13F0320F" w14:textId="272AC970" w:rsidR="002700D9" w:rsidRPr="000C34CE" w:rsidRDefault="002700D9">
          <w:pPr>
            <w:pStyle w:val="TOCHeading"/>
            <w:rPr>
              <w:rFonts w:ascii="Times New Roman" w:hAnsi="Times New Roman" w:cs="Times New Roman"/>
              <w:sz w:val="24"/>
              <w:szCs w:val="24"/>
              <w:lang w:val="bg-BG"/>
            </w:rPr>
          </w:pPr>
          <w:r w:rsidRPr="000C34CE">
            <w:rPr>
              <w:rFonts w:ascii="Times New Roman" w:hAnsi="Times New Roman" w:cs="Times New Roman"/>
              <w:sz w:val="24"/>
              <w:szCs w:val="24"/>
              <w:lang w:val="bg-BG"/>
            </w:rPr>
            <w:t>СЪДЪРЖАНИЕ</w:t>
          </w:r>
        </w:p>
        <w:p w14:paraId="3EB7FB6A" w14:textId="77777777" w:rsidR="002700D9" w:rsidRPr="000C34CE" w:rsidRDefault="002700D9">
          <w:pPr>
            <w:pStyle w:val="TOC2"/>
            <w:tabs>
              <w:tab w:val="right" w:leader="dot" w:pos="9350"/>
            </w:tabs>
            <w:rPr>
              <w:rFonts w:ascii="Times New Roman" w:eastAsiaTheme="minorEastAsia" w:hAnsi="Times New Roman"/>
              <w:noProof/>
              <w:sz w:val="24"/>
              <w:szCs w:val="24"/>
              <w:lang w:val="en-GB" w:eastAsia="en-GB"/>
            </w:rPr>
          </w:pPr>
          <w:r w:rsidRPr="000C34CE">
            <w:rPr>
              <w:rFonts w:ascii="Times New Roman" w:hAnsi="Times New Roman"/>
              <w:sz w:val="24"/>
              <w:szCs w:val="24"/>
            </w:rPr>
            <w:fldChar w:fldCharType="begin"/>
          </w:r>
          <w:r w:rsidRPr="000C34CE">
            <w:rPr>
              <w:rFonts w:ascii="Times New Roman" w:hAnsi="Times New Roman"/>
              <w:sz w:val="24"/>
              <w:szCs w:val="24"/>
            </w:rPr>
            <w:instrText xml:space="preserve"> TOC \o "1-3" \h \z \u </w:instrText>
          </w:r>
          <w:r w:rsidRPr="000C34CE">
            <w:rPr>
              <w:rFonts w:ascii="Times New Roman" w:hAnsi="Times New Roman"/>
              <w:sz w:val="24"/>
              <w:szCs w:val="24"/>
            </w:rPr>
            <w:fldChar w:fldCharType="separate"/>
          </w:r>
          <w:hyperlink w:anchor="_Toc72910308" w:history="1">
            <w:r w:rsidRPr="000C34CE">
              <w:rPr>
                <w:rStyle w:val="Hyperlink"/>
                <w:rFonts w:ascii="Times New Roman" w:hAnsi="Times New Roman"/>
                <w:noProof/>
                <w:sz w:val="24"/>
                <w:szCs w:val="24"/>
              </w:rPr>
              <w:t>Въведение</w:t>
            </w:r>
            <w:r w:rsidRPr="000C34CE">
              <w:rPr>
                <w:rFonts w:ascii="Times New Roman" w:hAnsi="Times New Roman"/>
                <w:noProof/>
                <w:webHidden/>
                <w:sz w:val="24"/>
                <w:szCs w:val="24"/>
              </w:rPr>
              <w:tab/>
            </w:r>
            <w:r w:rsidRPr="000C34CE">
              <w:rPr>
                <w:rFonts w:ascii="Times New Roman" w:hAnsi="Times New Roman"/>
                <w:noProof/>
                <w:webHidden/>
                <w:sz w:val="24"/>
                <w:szCs w:val="24"/>
              </w:rPr>
              <w:fldChar w:fldCharType="begin"/>
            </w:r>
            <w:r w:rsidRPr="000C34CE">
              <w:rPr>
                <w:rFonts w:ascii="Times New Roman" w:hAnsi="Times New Roman"/>
                <w:noProof/>
                <w:webHidden/>
                <w:sz w:val="24"/>
                <w:szCs w:val="24"/>
              </w:rPr>
              <w:instrText xml:space="preserve"> PAGEREF _Toc72910308 \h </w:instrText>
            </w:r>
            <w:r w:rsidRPr="000C34CE">
              <w:rPr>
                <w:rFonts w:ascii="Times New Roman" w:hAnsi="Times New Roman"/>
                <w:noProof/>
                <w:webHidden/>
                <w:sz w:val="24"/>
                <w:szCs w:val="24"/>
              </w:rPr>
            </w:r>
            <w:r w:rsidRPr="000C34CE">
              <w:rPr>
                <w:rFonts w:ascii="Times New Roman" w:hAnsi="Times New Roman"/>
                <w:noProof/>
                <w:webHidden/>
                <w:sz w:val="24"/>
                <w:szCs w:val="24"/>
              </w:rPr>
              <w:fldChar w:fldCharType="separate"/>
            </w:r>
            <w:r w:rsidRPr="000C34CE">
              <w:rPr>
                <w:rFonts w:ascii="Times New Roman" w:hAnsi="Times New Roman"/>
                <w:noProof/>
                <w:webHidden/>
                <w:sz w:val="24"/>
                <w:szCs w:val="24"/>
              </w:rPr>
              <w:t>3</w:t>
            </w:r>
            <w:r w:rsidRPr="000C34CE">
              <w:rPr>
                <w:rFonts w:ascii="Times New Roman" w:hAnsi="Times New Roman"/>
                <w:noProof/>
                <w:webHidden/>
                <w:sz w:val="24"/>
                <w:szCs w:val="24"/>
              </w:rPr>
              <w:fldChar w:fldCharType="end"/>
            </w:r>
          </w:hyperlink>
        </w:p>
        <w:p w14:paraId="3334F16B" w14:textId="77777777" w:rsidR="002700D9" w:rsidRPr="000C34CE" w:rsidRDefault="00D5703A">
          <w:pPr>
            <w:pStyle w:val="TOC2"/>
            <w:tabs>
              <w:tab w:val="right" w:leader="dot" w:pos="9350"/>
            </w:tabs>
            <w:rPr>
              <w:rFonts w:ascii="Times New Roman" w:eastAsiaTheme="minorEastAsia" w:hAnsi="Times New Roman"/>
              <w:noProof/>
              <w:sz w:val="24"/>
              <w:szCs w:val="24"/>
              <w:lang w:val="en-GB" w:eastAsia="en-GB"/>
            </w:rPr>
          </w:pPr>
          <w:hyperlink w:anchor="_Toc72910309" w:history="1">
            <w:r w:rsidR="002700D9" w:rsidRPr="000C34CE">
              <w:rPr>
                <w:rStyle w:val="Hyperlink"/>
                <w:rFonts w:ascii="Times New Roman" w:hAnsi="Times New Roman"/>
                <w:noProof/>
                <w:sz w:val="24"/>
                <w:szCs w:val="24"/>
              </w:rPr>
              <w:t>Тенденции в изменението на климатичните индикатори</w:t>
            </w:r>
            <w:r w:rsidR="002700D9" w:rsidRPr="000C34CE">
              <w:rPr>
                <w:rFonts w:ascii="Times New Roman" w:hAnsi="Times New Roman"/>
                <w:noProof/>
                <w:webHidden/>
                <w:sz w:val="24"/>
                <w:szCs w:val="24"/>
              </w:rPr>
              <w:tab/>
            </w:r>
            <w:r w:rsidR="002700D9" w:rsidRPr="000C34CE">
              <w:rPr>
                <w:rFonts w:ascii="Times New Roman" w:hAnsi="Times New Roman"/>
                <w:noProof/>
                <w:webHidden/>
                <w:sz w:val="24"/>
                <w:szCs w:val="24"/>
              </w:rPr>
              <w:fldChar w:fldCharType="begin"/>
            </w:r>
            <w:r w:rsidR="002700D9" w:rsidRPr="000C34CE">
              <w:rPr>
                <w:rFonts w:ascii="Times New Roman" w:hAnsi="Times New Roman"/>
                <w:noProof/>
                <w:webHidden/>
                <w:sz w:val="24"/>
                <w:szCs w:val="24"/>
              </w:rPr>
              <w:instrText xml:space="preserve"> PAGEREF _Toc72910309 \h </w:instrText>
            </w:r>
            <w:r w:rsidR="002700D9" w:rsidRPr="000C34CE">
              <w:rPr>
                <w:rFonts w:ascii="Times New Roman" w:hAnsi="Times New Roman"/>
                <w:noProof/>
                <w:webHidden/>
                <w:sz w:val="24"/>
                <w:szCs w:val="24"/>
              </w:rPr>
            </w:r>
            <w:r w:rsidR="002700D9" w:rsidRPr="000C34CE">
              <w:rPr>
                <w:rFonts w:ascii="Times New Roman" w:hAnsi="Times New Roman"/>
                <w:noProof/>
                <w:webHidden/>
                <w:sz w:val="24"/>
                <w:szCs w:val="24"/>
              </w:rPr>
              <w:fldChar w:fldCharType="separate"/>
            </w:r>
            <w:r w:rsidR="002700D9" w:rsidRPr="000C34CE">
              <w:rPr>
                <w:rFonts w:ascii="Times New Roman" w:hAnsi="Times New Roman"/>
                <w:noProof/>
                <w:webHidden/>
                <w:sz w:val="24"/>
                <w:szCs w:val="24"/>
              </w:rPr>
              <w:t>3</w:t>
            </w:r>
            <w:r w:rsidR="002700D9" w:rsidRPr="000C34CE">
              <w:rPr>
                <w:rFonts w:ascii="Times New Roman" w:hAnsi="Times New Roman"/>
                <w:noProof/>
                <w:webHidden/>
                <w:sz w:val="24"/>
                <w:szCs w:val="24"/>
              </w:rPr>
              <w:fldChar w:fldCharType="end"/>
            </w:r>
          </w:hyperlink>
        </w:p>
        <w:p w14:paraId="111E5C88" w14:textId="77777777" w:rsidR="002700D9" w:rsidRPr="000C34CE" w:rsidRDefault="00D5703A">
          <w:pPr>
            <w:pStyle w:val="TOC2"/>
            <w:tabs>
              <w:tab w:val="right" w:leader="dot" w:pos="9350"/>
            </w:tabs>
            <w:rPr>
              <w:rFonts w:ascii="Times New Roman" w:eastAsiaTheme="minorEastAsia" w:hAnsi="Times New Roman"/>
              <w:noProof/>
              <w:sz w:val="24"/>
              <w:szCs w:val="24"/>
              <w:lang w:val="en-GB" w:eastAsia="en-GB"/>
            </w:rPr>
          </w:pPr>
          <w:hyperlink w:anchor="_Toc72910310" w:history="1">
            <w:r w:rsidR="002700D9" w:rsidRPr="000C34CE">
              <w:rPr>
                <w:rStyle w:val="Hyperlink"/>
                <w:rFonts w:ascii="Times New Roman" w:hAnsi="Times New Roman"/>
                <w:noProof/>
                <w:sz w:val="24"/>
                <w:szCs w:val="24"/>
              </w:rPr>
              <w:t>Контекст и цели на политиката по климата – международен, европейски и национален контекст</w:t>
            </w:r>
            <w:r w:rsidR="002700D9" w:rsidRPr="000C34CE">
              <w:rPr>
                <w:rFonts w:ascii="Times New Roman" w:hAnsi="Times New Roman"/>
                <w:noProof/>
                <w:webHidden/>
                <w:sz w:val="24"/>
                <w:szCs w:val="24"/>
              </w:rPr>
              <w:tab/>
            </w:r>
            <w:r w:rsidR="002700D9" w:rsidRPr="000C34CE">
              <w:rPr>
                <w:rFonts w:ascii="Times New Roman" w:hAnsi="Times New Roman"/>
                <w:noProof/>
                <w:webHidden/>
                <w:sz w:val="24"/>
                <w:szCs w:val="24"/>
              </w:rPr>
              <w:fldChar w:fldCharType="begin"/>
            </w:r>
            <w:r w:rsidR="002700D9" w:rsidRPr="000C34CE">
              <w:rPr>
                <w:rFonts w:ascii="Times New Roman" w:hAnsi="Times New Roman"/>
                <w:noProof/>
                <w:webHidden/>
                <w:sz w:val="24"/>
                <w:szCs w:val="24"/>
              </w:rPr>
              <w:instrText xml:space="preserve"> PAGEREF _Toc72910310 \h </w:instrText>
            </w:r>
            <w:r w:rsidR="002700D9" w:rsidRPr="000C34CE">
              <w:rPr>
                <w:rFonts w:ascii="Times New Roman" w:hAnsi="Times New Roman"/>
                <w:noProof/>
                <w:webHidden/>
                <w:sz w:val="24"/>
                <w:szCs w:val="24"/>
              </w:rPr>
            </w:r>
            <w:r w:rsidR="002700D9" w:rsidRPr="000C34CE">
              <w:rPr>
                <w:rFonts w:ascii="Times New Roman" w:hAnsi="Times New Roman"/>
                <w:noProof/>
                <w:webHidden/>
                <w:sz w:val="24"/>
                <w:szCs w:val="24"/>
              </w:rPr>
              <w:fldChar w:fldCharType="separate"/>
            </w:r>
            <w:r w:rsidR="002700D9" w:rsidRPr="000C34CE">
              <w:rPr>
                <w:rFonts w:ascii="Times New Roman" w:hAnsi="Times New Roman"/>
                <w:noProof/>
                <w:webHidden/>
                <w:sz w:val="24"/>
                <w:szCs w:val="24"/>
              </w:rPr>
              <w:t>8</w:t>
            </w:r>
            <w:r w:rsidR="002700D9" w:rsidRPr="000C34CE">
              <w:rPr>
                <w:rFonts w:ascii="Times New Roman" w:hAnsi="Times New Roman"/>
                <w:noProof/>
                <w:webHidden/>
                <w:sz w:val="24"/>
                <w:szCs w:val="24"/>
              </w:rPr>
              <w:fldChar w:fldCharType="end"/>
            </w:r>
          </w:hyperlink>
        </w:p>
        <w:p w14:paraId="54D08BE5" w14:textId="77777777" w:rsidR="002700D9" w:rsidRPr="000C34CE" w:rsidRDefault="00D5703A">
          <w:pPr>
            <w:pStyle w:val="TOC2"/>
            <w:tabs>
              <w:tab w:val="right" w:leader="dot" w:pos="9350"/>
            </w:tabs>
            <w:rPr>
              <w:rFonts w:ascii="Times New Roman" w:eastAsiaTheme="minorEastAsia" w:hAnsi="Times New Roman"/>
              <w:noProof/>
              <w:sz w:val="24"/>
              <w:szCs w:val="24"/>
              <w:lang w:val="en-GB" w:eastAsia="en-GB"/>
            </w:rPr>
          </w:pPr>
          <w:hyperlink w:anchor="_Toc72910311" w:history="1">
            <w:r w:rsidR="002700D9" w:rsidRPr="000C34CE">
              <w:rPr>
                <w:rStyle w:val="Hyperlink"/>
                <w:rFonts w:ascii="Times New Roman" w:hAnsi="Times New Roman"/>
                <w:noProof/>
                <w:sz w:val="24"/>
                <w:szCs w:val="24"/>
              </w:rPr>
              <w:t>Състояние и тенденции</w:t>
            </w:r>
            <w:r w:rsidR="002700D9" w:rsidRPr="000C34CE">
              <w:rPr>
                <w:rFonts w:ascii="Times New Roman" w:hAnsi="Times New Roman"/>
                <w:noProof/>
                <w:webHidden/>
                <w:sz w:val="24"/>
                <w:szCs w:val="24"/>
              </w:rPr>
              <w:tab/>
            </w:r>
            <w:r w:rsidR="002700D9" w:rsidRPr="000C34CE">
              <w:rPr>
                <w:rFonts w:ascii="Times New Roman" w:hAnsi="Times New Roman"/>
                <w:noProof/>
                <w:webHidden/>
                <w:sz w:val="24"/>
                <w:szCs w:val="24"/>
              </w:rPr>
              <w:fldChar w:fldCharType="begin"/>
            </w:r>
            <w:r w:rsidR="002700D9" w:rsidRPr="000C34CE">
              <w:rPr>
                <w:rFonts w:ascii="Times New Roman" w:hAnsi="Times New Roman"/>
                <w:noProof/>
                <w:webHidden/>
                <w:sz w:val="24"/>
                <w:szCs w:val="24"/>
              </w:rPr>
              <w:instrText xml:space="preserve"> PAGEREF _Toc72910311 \h </w:instrText>
            </w:r>
            <w:r w:rsidR="002700D9" w:rsidRPr="000C34CE">
              <w:rPr>
                <w:rFonts w:ascii="Times New Roman" w:hAnsi="Times New Roman"/>
                <w:noProof/>
                <w:webHidden/>
                <w:sz w:val="24"/>
                <w:szCs w:val="24"/>
              </w:rPr>
            </w:r>
            <w:r w:rsidR="002700D9" w:rsidRPr="000C34CE">
              <w:rPr>
                <w:rFonts w:ascii="Times New Roman" w:hAnsi="Times New Roman"/>
                <w:noProof/>
                <w:webHidden/>
                <w:sz w:val="24"/>
                <w:szCs w:val="24"/>
              </w:rPr>
              <w:fldChar w:fldCharType="separate"/>
            </w:r>
            <w:r w:rsidR="002700D9" w:rsidRPr="000C34CE">
              <w:rPr>
                <w:rFonts w:ascii="Times New Roman" w:hAnsi="Times New Roman"/>
                <w:noProof/>
                <w:webHidden/>
                <w:sz w:val="24"/>
                <w:szCs w:val="24"/>
              </w:rPr>
              <w:t>21</w:t>
            </w:r>
            <w:r w:rsidR="002700D9" w:rsidRPr="000C34CE">
              <w:rPr>
                <w:rFonts w:ascii="Times New Roman" w:hAnsi="Times New Roman"/>
                <w:noProof/>
                <w:webHidden/>
                <w:sz w:val="24"/>
                <w:szCs w:val="24"/>
              </w:rPr>
              <w:fldChar w:fldCharType="end"/>
            </w:r>
          </w:hyperlink>
        </w:p>
        <w:p w14:paraId="5F93BCC3" w14:textId="77777777" w:rsidR="002700D9" w:rsidRPr="000C34CE" w:rsidRDefault="00D5703A">
          <w:pPr>
            <w:pStyle w:val="TOC2"/>
            <w:tabs>
              <w:tab w:val="right" w:leader="dot" w:pos="9350"/>
            </w:tabs>
            <w:rPr>
              <w:rFonts w:ascii="Times New Roman" w:eastAsiaTheme="minorEastAsia" w:hAnsi="Times New Roman"/>
              <w:noProof/>
              <w:sz w:val="24"/>
              <w:szCs w:val="24"/>
              <w:lang w:val="en-GB" w:eastAsia="en-GB"/>
            </w:rPr>
          </w:pPr>
          <w:hyperlink w:anchor="_Toc72910312" w:history="1">
            <w:r w:rsidR="002700D9" w:rsidRPr="000C34CE">
              <w:rPr>
                <w:rStyle w:val="Hyperlink"/>
                <w:rFonts w:ascii="Times New Roman" w:hAnsi="Times New Roman"/>
                <w:noProof/>
                <w:sz w:val="24"/>
                <w:szCs w:val="24"/>
              </w:rPr>
              <w:t>Движещи сили и фактори на натиск</w:t>
            </w:r>
            <w:r w:rsidR="002700D9" w:rsidRPr="000C34CE">
              <w:rPr>
                <w:rFonts w:ascii="Times New Roman" w:hAnsi="Times New Roman"/>
                <w:noProof/>
                <w:webHidden/>
                <w:sz w:val="24"/>
                <w:szCs w:val="24"/>
              </w:rPr>
              <w:tab/>
            </w:r>
            <w:r w:rsidR="002700D9" w:rsidRPr="000C34CE">
              <w:rPr>
                <w:rFonts w:ascii="Times New Roman" w:hAnsi="Times New Roman"/>
                <w:noProof/>
                <w:webHidden/>
                <w:sz w:val="24"/>
                <w:szCs w:val="24"/>
              </w:rPr>
              <w:fldChar w:fldCharType="begin"/>
            </w:r>
            <w:r w:rsidR="002700D9" w:rsidRPr="000C34CE">
              <w:rPr>
                <w:rFonts w:ascii="Times New Roman" w:hAnsi="Times New Roman"/>
                <w:noProof/>
                <w:webHidden/>
                <w:sz w:val="24"/>
                <w:szCs w:val="24"/>
              </w:rPr>
              <w:instrText xml:space="preserve"> PAGEREF _Toc72910312 \h </w:instrText>
            </w:r>
            <w:r w:rsidR="002700D9" w:rsidRPr="000C34CE">
              <w:rPr>
                <w:rFonts w:ascii="Times New Roman" w:hAnsi="Times New Roman"/>
                <w:noProof/>
                <w:webHidden/>
                <w:sz w:val="24"/>
                <w:szCs w:val="24"/>
              </w:rPr>
            </w:r>
            <w:r w:rsidR="002700D9" w:rsidRPr="000C34CE">
              <w:rPr>
                <w:rFonts w:ascii="Times New Roman" w:hAnsi="Times New Roman"/>
                <w:noProof/>
                <w:webHidden/>
                <w:sz w:val="24"/>
                <w:szCs w:val="24"/>
              </w:rPr>
              <w:fldChar w:fldCharType="separate"/>
            </w:r>
            <w:r w:rsidR="002700D9" w:rsidRPr="000C34CE">
              <w:rPr>
                <w:rFonts w:ascii="Times New Roman" w:hAnsi="Times New Roman"/>
                <w:noProof/>
                <w:webHidden/>
                <w:sz w:val="24"/>
                <w:szCs w:val="24"/>
              </w:rPr>
              <w:t>29</w:t>
            </w:r>
            <w:r w:rsidR="002700D9" w:rsidRPr="000C34CE">
              <w:rPr>
                <w:rFonts w:ascii="Times New Roman" w:hAnsi="Times New Roman"/>
                <w:noProof/>
                <w:webHidden/>
                <w:sz w:val="24"/>
                <w:szCs w:val="24"/>
              </w:rPr>
              <w:fldChar w:fldCharType="end"/>
            </w:r>
          </w:hyperlink>
        </w:p>
        <w:p w14:paraId="41BD663F" w14:textId="77777777" w:rsidR="002700D9" w:rsidRPr="000C34CE" w:rsidRDefault="00D5703A">
          <w:pPr>
            <w:pStyle w:val="TOC2"/>
            <w:tabs>
              <w:tab w:val="right" w:leader="dot" w:pos="9350"/>
            </w:tabs>
            <w:rPr>
              <w:rFonts w:ascii="Times New Roman" w:eastAsiaTheme="minorEastAsia" w:hAnsi="Times New Roman"/>
              <w:noProof/>
              <w:sz w:val="24"/>
              <w:szCs w:val="24"/>
              <w:lang w:val="en-GB" w:eastAsia="en-GB"/>
            </w:rPr>
          </w:pPr>
          <w:hyperlink w:anchor="_Toc72910313" w:history="1">
            <w:r w:rsidR="002700D9" w:rsidRPr="000C34CE">
              <w:rPr>
                <w:rStyle w:val="Hyperlink"/>
                <w:rFonts w:ascii="Times New Roman" w:hAnsi="Times New Roman"/>
                <w:noProof/>
                <w:sz w:val="24"/>
                <w:szCs w:val="24"/>
              </w:rPr>
              <w:t>Перспективи и препоръки за постигане на целите</w:t>
            </w:r>
            <w:r w:rsidR="002700D9" w:rsidRPr="000C34CE">
              <w:rPr>
                <w:rFonts w:ascii="Times New Roman" w:hAnsi="Times New Roman"/>
                <w:noProof/>
                <w:webHidden/>
                <w:sz w:val="24"/>
                <w:szCs w:val="24"/>
              </w:rPr>
              <w:tab/>
            </w:r>
            <w:r w:rsidR="002700D9" w:rsidRPr="000C34CE">
              <w:rPr>
                <w:rFonts w:ascii="Times New Roman" w:hAnsi="Times New Roman"/>
                <w:noProof/>
                <w:webHidden/>
                <w:sz w:val="24"/>
                <w:szCs w:val="24"/>
              </w:rPr>
              <w:fldChar w:fldCharType="begin"/>
            </w:r>
            <w:r w:rsidR="002700D9" w:rsidRPr="000C34CE">
              <w:rPr>
                <w:rFonts w:ascii="Times New Roman" w:hAnsi="Times New Roman"/>
                <w:noProof/>
                <w:webHidden/>
                <w:sz w:val="24"/>
                <w:szCs w:val="24"/>
              </w:rPr>
              <w:instrText xml:space="preserve"> PAGEREF _Toc72910313 \h </w:instrText>
            </w:r>
            <w:r w:rsidR="002700D9" w:rsidRPr="000C34CE">
              <w:rPr>
                <w:rFonts w:ascii="Times New Roman" w:hAnsi="Times New Roman"/>
                <w:noProof/>
                <w:webHidden/>
                <w:sz w:val="24"/>
                <w:szCs w:val="24"/>
              </w:rPr>
            </w:r>
            <w:r w:rsidR="002700D9" w:rsidRPr="000C34CE">
              <w:rPr>
                <w:rFonts w:ascii="Times New Roman" w:hAnsi="Times New Roman"/>
                <w:noProof/>
                <w:webHidden/>
                <w:sz w:val="24"/>
                <w:szCs w:val="24"/>
              </w:rPr>
              <w:fldChar w:fldCharType="separate"/>
            </w:r>
            <w:r w:rsidR="002700D9" w:rsidRPr="000C34CE">
              <w:rPr>
                <w:rFonts w:ascii="Times New Roman" w:hAnsi="Times New Roman"/>
                <w:noProof/>
                <w:webHidden/>
                <w:sz w:val="24"/>
                <w:szCs w:val="24"/>
              </w:rPr>
              <w:t>35</w:t>
            </w:r>
            <w:r w:rsidR="002700D9" w:rsidRPr="000C34CE">
              <w:rPr>
                <w:rFonts w:ascii="Times New Roman" w:hAnsi="Times New Roman"/>
                <w:noProof/>
                <w:webHidden/>
                <w:sz w:val="24"/>
                <w:szCs w:val="24"/>
              </w:rPr>
              <w:fldChar w:fldCharType="end"/>
            </w:r>
          </w:hyperlink>
        </w:p>
        <w:p w14:paraId="00BD246C" w14:textId="4DB4CF80" w:rsidR="002700D9" w:rsidRDefault="002700D9">
          <w:r w:rsidRPr="000C34CE">
            <w:rPr>
              <w:rFonts w:ascii="Times New Roman" w:hAnsi="Times New Roman"/>
              <w:b/>
              <w:bCs/>
              <w:noProof/>
              <w:sz w:val="24"/>
              <w:szCs w:val="24"/>
            </w:rPr>
            <w:fldChar w:fldCharType="end"/>
          </w:r>
        </w:p>
      </w:sdtContent>
    </w:sdt>
    <w:p w14:paraId="4E48EF10" w14:textId="4B7301D5" w:rsidR="002700D9" w:rsidRPr="002700D9" w:rsidRDefault="002700D9" w:rsidP="002700D9">
      <w:pPr>
        <w:pStyle w:val="a0"/>
        <w:keepNext/>
        <w:keepLines/>
        <w:pageBreakBefore/>
        <w:spacing w:before="40"/>
      </w:pPr>
      <w:r w:rsidRPr="002700D9">
        <w:rPr>
          <w:rFonts w:eastAsiaTheme="majorEastAsia"/>
          <w:b/>
          <w:bCs/>
          <w:color w:val="2F5496" w:themeColor="accent1" w:themeShade="BF"/>
          <w:sz w:val="22"/>
          <w:szCs w:val="22"/>
          <w:lang w:eastAsia="ja-JP"/>
        </w:rPr>
        <w:lastRenderedPageBreak/>
        <w:t>СПИСЪК НА ТАБЛИЦИТЕ</w:t>
      </w:r>
    </w:p>
    <w:p w14:paraId="4CAB1799" w14:textId="77777777" w:rsidR="002700D9" w:rsidRDefault="002700D9">
      <w:pPr>
        <w:pStyle w:val="TableofFigures"/>
        <w:tabs>
          <w:tab w:val="right" w:leader="dot" w:pos="9350"/>
        </w:tabs>
        <w:rPr>
          <w:rFonts w:asciiTheme="minorHAnsi" w:eastAsiaTheme="minorEastAsia" w:hAnsiTheme="minorHAnsi" w:cstheme="minorBidi"/>
          <w:i w:val="0"/>
          <w:noProof/>
          <w:lang w:val="en-GB" w:eastAsia="en-GB"/>
        </w:rPr>
      </w:pPr>
      <w:r>
        <w:rPr>
          <w:lang w:val="en-GB"/>
        </w:rPr>
        <w:fldChar w:fldCharType="begin"/>
      </w:r>
      <w:r>
        <w:rPr>
          <w:lang w:val="en-GB"/>
        </w:rPr>
        <w:instrText xml:space="preserve"> TOC \h \z \c "Таблица " </w:instrText>
      </w:r>
      <w:r>
        <w:rPr>
          <w:lang w:val="en-GB"/>
        </w:rPr>
        <w:fldChar w:fldCharType="separate"/>
      </w:r>
      <w:hyperlink w:anchor="_Toc72910349" w:history="1">
        <w:r w:rsidRPr="003C7678">
          <w:rPr>
            <w:rStyle w:val="Hyperlink"/>
            <w:noProof/>
            <w:lang w:val="bg-BG" w:eastAsia="bg-BG"/>
          </w:rPr>
          <w:t>Таблица  1 . Разпределение на очакваните и спестени емисии по сектори</w:t>
        </w:r>
        <w:r>
          <w:rPr>
            <w:noProof/>
            <w:webHidden/>
          </w:rPr>
          <w:tab/>
        </w:r>
        <w:r>
          <w:rPr>
            <w:noProof/>
            <w:webHidden/>
          </w:rPr>
          <w:fldChar w:fldCharType="begin"/>
        </w:r>
        <w:r>
          <w:rPr>
            <w:noProof/>
            <w:webHidden/>
          </w:rPr>
          <w:instrText xml:space="preserve"> PAGEREF _Toc72910349 \h </w:instrText>
        </w:r>
        <w:r>
          <w:rPr>
            <w:noProof/>
            <w:webHidden/>
          </w:rPr>
        </w:r>
        <w:r>
          <w:rPr>
            <w:noProof/>
            <w:webHidden/>
          </w:rPr>
          <w:fldChar w:fldCharType="separate"/>
        </w:r>
        <w:r>
          <w:rPr>
            <w:noProof/>
            <w:webHidden/>
          </w:rPr>
          <w:t>14</w:t>
        </w:r>
        <w:r>
          <w:rPr>
            <w:noProof/>
            <w:webHidden/>
          </w:rPr>
          <w:fldChar w:fldCharType="end"/>
        </w:r>
      </w:hyperlink>
    </w:p>
    <w:p w14:paraId="5AB5287D"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50" w:history="1">
        <w:r w:rsidR="002700D9" w:rsidRPr="003C7678">
          <w:rPr>
            <w:rStyle w:val="Hyperlink"/>
            <w:rFonts w:eastAsia="Times New Roman"/>
            <w:noProof/>
            <w:lang w:val="bg-BG" w:eastAsia="bg-BG"/>
          </w:rPr>
          <w:t>Таблица 2 Агрегирани емисии на ПГ (без сектор “Земеползване, промяна в земеползването и горско стопанство”), Gg CO2-екв. и дял в проценти на общите годишни емисии спрямо базовата година</w:t>
        </w:r>
        <w:r w:rsidR="002700D9">
          <w:rPr>
            <w:noProof/>
            <w:webHidden/>
          </w:rPr>
          <w:tab/>
        </w:r>
        <w:r w:rsidR="002700D9">
          <w:rPr>
            <w:noProof/>
            <w:webHidden/>
          </w:rPr>
          <w:fldChar w:fldCharType="begin"/>
        </w:r>
        <w:r w:rsidR="002700D9">
          <w:rPr>
            <w:noProof/>
            <w:webHidden/>
          </w:rPr>
          <w:instrText xml:space="preserve"> PAGEREF _Toc72910350 \h </w:instrText>
        </w:r>
        <w:r w:rsidR="002700D9">
          <w:rPr>
            <w:noProof/>
            <w:webHidden/>
          </w:rPr>
        </w:r>
        <w:r w:rsidR="002700D9">
          <w:rPr>
            <w:noProof/>
            <w:webHidden/>
          </w:rPr>
          <w:fldChar w:fldCharType="separate"/>
        </w:r>
        <w:r w:rsidR="002700D9">
          <w:rPr>
            <w:noProof/>
            <w:webHidden/>
          </w:rPr>
          <w:t>21</w:t>
        </w:r>
        <w:r w:rsidR="002700D9">
          <w:rPr>
            <w:noProof/>
            <w:webHidden/>
          </w:rPr>
          <w:fldChar w:fldCharType="end"/>
        </w:r>
      </w:hyperlink>
    </w:p>
    <w:p w14:paraId="72DF306E"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51" w:history="1">
        <w:r w:rsidR="002700D9" w:rsidRPr="003C7678">
          <w:rPr>
            <w:rStyle w:val="Hyperlink"/>
            <w:rFonts w:eastAsia="Times New Roman"/>
            <w:noProof/>
            <w:lang w:val="bg-BG" w:eastAsia="bg-BG"/>
          </w:rPr>
          <w:t>Таблица  3</w:t>
        </w:r>
        <w:r w:rsidR="002700D9" w:rsidRPr="003C7678">
          <w:rPr>
            <w:rStyle w:val="Hyperlink"/>
            <w:rFonts w:eastAsia="Times New Roman"/>
            <w:noProof/>
            <w:lang w:eastAsia="bg-BG"/>
          </w:rPr>
          <w:t xml:space="preserve"> </w:t>
        </w:r>
        <w:r w:rsidR="002700D9" w:rsidRPr="003C7678">
          <w:rPr>
            <w:rStyle w:val="Hyperlink"/>
            <w:rFonts w:eastAsia="Times New Roman"/>
            <w:noProof/>
            <w:lang w:val="bg-BG" w:eastAsia="bg-BG"/>
          </w:rPr>
          <w:t>Брутно вътрешно потребление на енергия в периода 2014 – 2018 г., кtoe</w:t>
        </w:r>
        <w:r w:rsidR="002700D9">
          <w:rPr>
            <w:noProof/>
            <w:webHidden/>
          </w:rPr>
          <w:tab/>
        </w:r>
        <w:r w:rsidR="002700D9">
          <w:rPr>
            <w:noProof/>
            <w:webHidden/>
          </w:rPr>
          <w:fldChar w:fldCharType="begin"/>
        </w:r>
        <w:r w:rsidR="002700D9">
          <w:rPr>
            <w:noProof/>
            <w:webHidden/>
          </w:rPr>
          <w:instrText xml:space="preserve"> PAGEREF _Toc72910351 \h </w:instrText>
        </w:r>
        <w:r w:rsidR="002700D9">
          <w:rPr>
            <w:noProof/>
            <w:webHidden/>
          </w:rPr>
        </w:r>
        <w:r w:rsidR="002700D9">
          <w:rPr>
            <w:noProof/>
            <w:webHidden/>
          </w:rPr>
          <w:fldChar w:fldCharType="separate"/>
        </w:r>
        <w:r w:rsidR="002700D9">
          <w:rPr>
            <w:noProof/>
            <w:webHidden/>
          </w:rPr>
          <w:t>31</w:t>
        </w:r>
        <w:r w:rsidR="002700D9">
          <w:rPr>
            <w:noProof/>
            <w:webHidden/>
          </w:rPr>
          <w:fldChar w:fldCharType="end"/>
        </w:r>
      </w:hyperlink>
    </w:p>
    <w:p w14:paraId="7751D0D0"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52" w:history="1">
        <w:r w:rsidR="002700D9" w:rsidRPr="003C7678">
          <w:rPr>
            <w:rStyle w:val="Hyperlink"/>
            <w:rFonts w:eastAsia="Times New Roman"/>
            <w:noProof/>
            <w:lang w:val="bg-BG" w:eastAsia="bg-BG"/>
          </w:rPr>
          <w:t>Таблица  4 Дял на енергията от възобновяеми източници в брутно крайно потребление на енергия (БКПЕ) през периода 2010 – 2018 г.</w:t>
        </w:r>
        <w:r w:rsidR="002700D9">
          <w:rPr>
            <w:noProof/>
            <w:webHidden/>
          </w:rPr>
          <w:tab/>
        </w:r>
        <w:r w:rsidR="002700D9">
          <w:rPr>
            <w:noProof/>
            <w:webHidden/>
          </w:rPr>
          <w:fldChar w:fldCharType="begin"/>
        </w:r>
        <w:r w:rsidR="002700D9">
          <w:rPr>
            <w:noProof/>
            <w:webHidden/>
          </w:rPr>
          <w:instrText xml:space="preserve"> PAGEREF _Toc72910352 \h </w:instrText>
        </w:r>
        <w:r w:rsidR="002700D9">
          <w:rPr>
            <w:noProof/>
            <w:webHidden/>
          </w:rPr>
        </w:r>
        <w:r w:rsidR="002700D9">
          <w:rPr>
            <w:noProof/>
            <w:webHidden/>
          </w:rPr>
          <w:fldChar w:fldCharType="separate"/>
        </w:r>
        <w:r w:rsidR="002700D9">
          <w:rPr>
            <w:noProof/>
            <w:webHidden/>
          </w:rPr>
          <w:t>32</w:t>
        </w:r>
        <w:r w:rsidR="002700D9">
          <w:rPr>
            <w:noProof/>
            <w:webHidden/>
          </w:rPr>
          <w:fldChar w:fldCharType="end"/>
        </w:r>
      </w:hyperlink>
    </w:p>
    <w:p w14:paraId="18C4A823"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53" w:history="1">
        <w:r w:rsidR="002700D9" w:rsidRPr="003C7678">
          <w:rPr>
            <w:rStyle w:val="Hyperlink"/>
            <w:iCs/>
            <w:noProof/>
            <w:lang w:eastAsia="ar-SA"/>
          </w:rPr>
          <w:t>Таблица  5 Обобщение на тенденции и перспективи за постигане на целите на политиката по климата на национално ниво</w:t>
        </w:r>
        <w:r w:rsidR="002700D9">
          <w:rPr>
            <w:noProof/>
            <w:webHidden/>
          </w:rPr>
          <w:tab/>
        </w:r>
        <w:r w:rsidR="002700D9">
          <w:rPr>
            <w:noProof/>
            <w:webHidden/>
          </w:rPr>
          <w:fldChar w:fldCharType="begin"/>
        </w:r>
        <w:r w:rsidR="002700D9">
          <w:rPr>
            <w:noProof/>
            <w:webHidden/>
          </w:rPr>
          <w:instrText xml:space="preserve"> PAGEREF _Toc72910353 \h </w:instrText>
        </w:r>
        <w:r w:rsidR="002700D9">
          <w:rPr>
            <w:noProof/>
            <w:webHidden/>
          </w:rPr>
        </w:r>
        <w:r w:rsidR="002700D9">
          <w:rPr>
            <w:noProof/>
            <w:webHidden/>
          </w:rPr>
          <w:fldChar w:fldCharType="separate"/>
        </w:r>
        <w:r w:rsidR="002700D9">
          <w:rPr>
            <w:noProof/>
            <w:webHidden/>
          </w:rPr>
          <w:t>34</w:t>
        </w:r>
        <w:r w:rsidR="002700D9">
          <w:rPr>
            <w:noProof/>
            <w:webHidden/>
          </w:rPr>
          <w:fldChar w:fldCharType="end"/>
        </w:r>
      </w:hyperlink>
    </w:p>
    <w:p w14:paraId="5F081CFD" w14:textId="77777777" w:rsidR="002700D9" w:rsidRDefault="002700D9">
      <w:pPr>
        <w:pStyle w:val="a0"/>
        <w:keepNext/>
        <w:keepLines/>
        <w:spacing w:before="40"/>
      </w:pPr>
      <w:r>
        <w:rPr>
          <w:lang w:val="en-GB"/>
        </w:rPr>
        <w:fldChar w:fldCharType="end"/>
      </w:r>
    </w:p>
    <w:p w14:paraId="7E2C15E1" w14:textId="66779C24" w:rsidR="002700D9" w:rsidRPr="002700D9" w:rsidRDefault="002700D9" w:rsidP="002700D9">
      <w:pPr>
        <w:pStyle w:val="a0"/>
        <w:keepNext/>
        <w:keepLines/>
        <w:spacing w:before="40"/>
      </w:pPr>
      <w:r w:rsidRPr="002700D9">
        <w:rPr>
          <w:rFonts w:eastAsiaTheme="majorEastAsia"/>
          <w:b/>
          <w:bCs/>
          <w:color w:val="2F5496" w:themeColor="accent1" w:themeShade="BF"/>
          <w:sz w:val="22"/>
          <w:szCs w:val="22"/>
          <w:lang w:eastAsia="ja-JP"/>
        </w:rPr>
        <w:t xml:space="preserve">СПИСЪК НА </w:t>
      </w:r>
      <w:r>
        <w:rPr>
          <w:rFonts w:eastAsiaTheme="majorEastAsia"/>
          <w:b/>
          <w:bCs/>
          <w:color w:val="2F5496" w:themeColor="accent1" w:themeShade="BF"/>
          <w:sz w:val="22"/>
          <w:szCs w:val="22"/>
          <w:lang w:eastAsia="ja-JP"/>
        </w:rPr>
        <w:t>ФИГУРИТЕ</w:t>
      </w:r>
    </w:p>
    <w:p w14:paraId="0A791168" w14:textId="77777777" w:rsidR="002700D9" w:rsidRDefault="002700D9">
      <w:pPr>
        <w:pStyle w:val="TableofFigures"/>
        <w:tabs>
          <w:tab w:val="right" w:leader="dot" w:pos="9350"/>
        </w:tabs>
        <w:rPr>
          <w:rFonts w:asciiTheme="minorHAnsi" w:eastAsiaTheme="minorEastAsia" w:hAnsiTheme="minorHAnsi" w:cstheme="minorBidi"/>
          <w:i w:val="0"/>
          <w:noProof/>
          <w:lang w:val="en-GB" w:eastAsia="en-GB"/>
        </w:rPr>
      </w:pPr>
      <w:r>
        <w:rPr>
          <w:lang w:val="en-GB"/>
        </w:rPr>
        <w:fldChar w:fldCharType="begin"/>
      </w:r>
      <w:r>
        <w:rPr>
          <w:lang w:val="en-GB"/>
        </w:rPr>
        <w:instrText xml:space="preserve"> TOC \h \z \c "Фигура" </w:instrText>
      </w:r>
      <w:r>
        <w:rPr>
          <w:lang w:val="en-GB"/>
        </w:rPr>
        <w:fldChar w:fldCharType="separate"/>
      </w:r>
      <w:hyperlink w:anchor="_Toc72910384" w:history="1">
        <w:r w:rsidRPr="00DE6D3B">
          <w:rPr>
            <w:rStyle w:val="Hyperlink"/>
            <w:noProof/>
          </w:rPr>
          <w:t xml:space="preserve">Фигура 1 </w:t>
        </w:r>
        <w:r w:rsidRPr="00DE6D3B">
          <w:rPr>
            <w:rStyle w:val="Hyperlink"/>
            <w:noProof/>
            <w:lang w:eastAsia="ar-SA"/>
          </w:rPr>
          <w:t>Колебания на средната годишна температура на въздуха (</w:t>
        </w:r>
        <w:r w:rsidRPr="00DE6D3B">
          <w:rPr>
            <w:rStyle w:val="Hyperlink"/>
            <w:noProof/>
            <w:vertAlign w:val="superscript"/>
            <w:lang w:eastAsia="ar-SA"/>
          </w:rPr>
          <w:t>о</w:t>
        </w:r>
        <w:r w:rsidRPr="00DE6D3B">
          <w:rPr>
            <w:rStyle w:val="Hyperlink"/>
            <w:noProof/>
            <w:lang w:eastAsia="ar-SA"/>
          </w:rPr>
          <w:t>С) през периода 1988-2018 г.</w:t>
        </w:r>
        <w:r>
          <w:rPr>
            <w:noProof/>
            <w:webHidden/>
          </w:rPr>
          <w:tab/>
        </w:r>
        <w:r>
          <w:rPr>
            <w:noProof/>
            <w:webHidden/>
          </w:rPr>
          <w:fldChar w:fldCharType="begin"/>
        </w:r>
        <w:r>
          <w:rPr>
            <w:noProof/>
            <w:webHidden/>
          </w:rPr>
          <w:instrText xml:space="preserve"> PAGEREF _Toc72910384 \h </w:instrText>
        </w:r>
        <w:r>
          <w:rPr>
            <w:noProof/>
            <w:webHidden/>
          </w:rPr>
        </w:r>
        <w:r>
          <w:rPr>
            <w:noProof/>
            <w:webHidden/>
          </w:rPr>
          <w:fldChar w:fldCharType="separate"/>
        </w:r>
        <w:r>
          <w:rPr>
            <w:noProof/>
            <w:webHidden/>
          </w:rPr>
          <w:t>3</w:t>
        </w:r>
        <w:r>
          <w:rPr>
            <w:noProof/>
            <w:webHidden/>
          </w:rPr>
          <w:fldChar w:fldCharType="end"/>
        </w:r>
      </w:hyperlink>
    </w:p>
    <w:p w14:paraId="619D768E"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85" w:history="1">
        <w:r w:rsidR="002700D9" w:rsidRPr="00DE6D3B">
          <w:rPr>
            <w:rStyle w:val="Hyperlink"/>
            <w:noProof/>
            <w:lang w:eastAsia="ar-SA"/>
          </w:rPr>
          <w:t>Фигура 2 Колебания на средногодишната сума на валежа (в mm) през периода 1988-2018 г.</w:t>
        </w:r>
        <w:r w:rsidR="002700D9">
          <w:rPr>
            <w:noProof/>
            <w:webHidden/>
          </w:rPr>
          <w:tab/>
        </w:r>
        <w:r w:rsidR="002700D9">
          <w:rPr>
            <w:noProof/>
            <w:webHidden/>
          </w:rPr>
          <w:fldChar w:fldCharType="begin"/>
        </w:r>
        <w:r w:rsidR="002700D9">
          <w:rPr>
            <w:noProof/>
            <w:webHidden/>
          </w:rPr>
          <w:instrText xml:space="preserve"> PAGEREF _Toc72910385 \h </w:instrText>
        </w:r>
        <w:r w:rsidR="002700D9">
          <w:rPr>
            <w:noProof/>
            <w:webHidden/>
          </w:rPr>
        </w:r>
        <w:r w:rsidR="002700D9">
          <w:rPr>
            <w:noProof/>
            <w:webHidden/>
          </w:rPr>
          <w:fldChar w:fldCharType="separate"/>
        </w:r>
        <w:r w:rsidR="002700D9">
          <w:rPr>
            <w:noProof/>
            <w:webHidden/>
          </w:rPr>
          <w:t>4</w:t>
        </w:r>
        <w:r w:rsidR="002700D9">
          <w:rPr>
            <w:noProof/>
            <w:webHidden/>
          </w:rPr>
          <w:fldChar w:fldCharType="end"/>
        </w:r>
      </w:hyperlink>
    </w:p>
    <w:p w14:paraId="70DA1321"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86" w:history="1">
        <w:r w:rsidR="002700D9" w:rsidRPr="00DE6D3B">
          <w:rPr>
            <w:rStyle w:val="Hyperlink"/>
            <w:noProof/>
            <w:lang w:eastAsia="ar-SA"/>
          </w:rPr>
          <w:t>Фигура 3. Колебания на максималния 24-часов валеж (mm) през периода 1988-2018 г.</w:t>
        </w:r>
        <w:r w:rsidR="002700D9">
          <w:rPr>
            <w:noProof/>
            <w:webHidden/>
          </w:rPr>
          <w:tab/>
        </w:r>
        <w:r w:rsidR="002700D9">
          <w:rPr>
            <w:noProof/>
            <w:webHidden/>
          </w:rPr>
          <w:fldChar w:fldCharType="begin"/>
        </w:r>
        <w:r w:rsidR="002700D9">
          <w:rPr>
            <w:noProof/>
            <w:webHidden/>
          </w:rPr>
          <w:instrText xml:space="preserve"> PAGEREF _Toc72910386 \h </w:instrText>
        </w:r>
        <w:r w:rsidR="002700D9">
          <w:rPr>
            <w:noProof/>
            <w:webHidden/>
          </w:rPr>
        </w:r>
        <w:r w:rsidR="002700D9">
          <w:rPr>
            <w:noProof/>
            <w:webHidden/>
          </w:rPr>
          <w:fldChar w:fldCharType="separate"/>
        </w:r>
        <w:r w:rsidR="002700D9">
          <w:rPr>
            <w:noProof/>
            <w:webHidden/>
          </w:rPr>
          <w:t>4</w:t>
        </w:r>
        <w:r w:rsidR="002700D9">
          <w:rPr>
            <w:noProof/>
            <w:webHidden/>
          </w:rPr>
          <w:fldChar w:fldCharType="end"/>
        </w:r>
      </w:hyperlink>
    </w:p>
    <w:p w14:paraId="791CC841"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87" w:history="1">
        <w:r w:rsidR="002700D9" w:rsidRPr="00DE6D3B">
          <w:rPr>
            <w:rStyle w:val="Hyperlink"/>
            <w:noProof/>
            <w:lang w:eastAsia="ar-SA"/>
          </w:rPr>
          <w:t>Фигура 4  Колебания на средната максимална височина на снежната покривка (cm) за районите с надморска височина 800 - 1800 m през периода 1988 - 2018 г.</w:t>
        </w:r>
        <w:r w:rsidR="002700D9">
          <w:rPr>
            <w:noProof/>
            <w:webHidden/>
          </w:rPr>
          <w:tab/>
        </w:r>
        <w:r w:rsidR="002700D9">
          <w:rPr>
            <w:noProof/>
            <w:webHidden/>
          </w:rPr>
          <w:fldChar w:fldCharType="begin"/>
        </w:r>
        <w:r w:rsidR="002700D9">
          <w:rPr>
            <w:noProof/>
            <w:webHidden/>
          </w:rPr>
          <w:instrText xml:space="preserve"> PAGEREF _Toc72910387 \h </w:instrText>
        </w:r>
        <w:r w:rsidR="002700D9">
          <w:rPr>
            <w:noProof/>
            <w:webHidden/>
          </w:rPr>
        </w:r>
        <w:r w:rsidR="002700D9">
          <w:rPr>
            <w:noProof/>
            <w:webHidden/>
          </w:rPr>
          <w:fldChar w:fldCharType="separate"/>
        </w:r>
        <w:r w:rsidR="002700D9">
          <w:rPr>
            <w:noProof/>
            <w:webHidden/>
          </w:rPr>
          <w:t>5</w:t>
        </w:r>
        <w:r w:rsidR="002700D9">
          <w:rPr>
            <w:noProof/>
            <w:webHidden/>
          </w:rPr>
          <w:fldChar w:fldCharType="end"/>
        </w:r>
      </w:hyperlink>
    </w:p>
    <w:p w14:paraId="603B5BC6"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88" w:history="1">
        <w:r w:rsidR="002700D9" w:rsidRPr="00DE6D3B">
          <w:rPr>
            <w:rStyle w:val="Hyperlink"/>
            <w:noProof/>
            <w:lang w:eastAsia="ar-SA"/>
          </w:rPr>
          <w:t>Фигура 5  Тенденция на средногодишната температура (отклонения в oС от нормата 1961 - 1990 г.)</w:t>
        </w:r>
        <w:r w:rsidR="002700D9">
          <w:rPr>
            <w:noProof/>
            <w:webHidden/>
          </w:rPr>
          <w:tab/>
        </w:r>
        <w:r w:rsidR="002700D9">
          <w:rPr>
            <w:noProof/>
            <w:webHidden/>
          </w:rPr>
          <w:fldChar w:fldCharType="begin"/>
        </w:r>
        <w:r w:rsidR="002700D9">
          <w:rPr>
            <w:noProof/>
            <w:webHidden/>
          </w:rPr>
          <w:instrText xml:space="preserve"> PAGEREF _Toc72910388 \h </w:instrText>
        </w:r>
        <w:r w:rsidR="002700D9">
          <w:rPr>
            <w:noProof/>
            <w:webHidden/>
          </w:rPr>
        </w:r>
        <w:r w:rsidR="002700D9">
          <w:rPr>
            <w:noProof/>
            <w:webHidden/>
          </w:rPr>
          <w:fldChar w:fldCharType="separate"/>
        </w:r>
        <w:r w:rsidR="002700D9">
          <w:rPr>
            <w:noProof/>
            <w:webHidden/>
          </w:rPr>
          <w:t>6</w:t>
        </w:r>
        <w:r w:rsidR="002700D9">
          <w:rPr>
            <w:noProof/>
            <w:webHidden/>
          </w:rPr>
          <w:fldChar w:fldCharType="end"/>
        </w:r>
      </w:hyperlink>
    </w:p>
    <w:p w14:paraId="603CA600"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89" w:history="1">
        <w:r w:rsidR="002700D9" w:rsidRPr="00DE6D3B">
          <w:rPr>
            <w:rStyle w:val="Hyperlink"/>
            <w:noProof/>
            <w:lang w:eastAsia="ar-SA"/>
          </w:rPr>
          <w:t>Фигура 6 Тенденция на средногодишната валежна сума (отклонения в mm от нормата 1961 - 1990 г.)</w:t>
        </w:r>
        <w:r w:rsidR="002700D9">
          <w:rPr>
            <w:noProof/>
            <w:webHidden/>
          </w:rPr>
          <w:tab/>
        </w:r>
        <w:r w:rsidR="002700D9">
          <w:rPr>
            <w:noProof/>
            <w:webHidden/>
          </w:rPr>
          <w:fldChar w:fldCharType="begin"/>
        </w:r>
        <w:r w:rsidR="002700D9">
          <w:rPr>
            <w:noProof/>
            <w:webHidden/>
          </w:rPr>
          <w:instrText xml:space="preserve"> PAGEREF _Toc72910389 \h </w:instrText>
        </w:r>
        <w:r w:rsidR="002700D9">
          <w:rPr>
            <w:noProof/>
            <w:webHidden/>
          </w:rPr>
        </w:r>
        <w:r w:rsidR="002700D9">
          <w:rPr>
            <w:noProof/>
            <w:webHidden/>
          </w:rPr>
          <w:fldChar w:fldCharType="separate"/>
        </w:r>
        <w:r w:rsidR="002700D9">
          <w:rPr>
            <w:noProof/>
            <w:webHidden/>
          </w:rPr>
          <w:t>6</w:t>
        </w:r>
        <w:r w:rsidR="002700D9">
          <w:rPr>
            <w:noProof/>
            <w:webHidden/>
          </w:rPr>
          <w:fldChar w:fldCharType="end"/>
        </w:r>
      </w:hyperlink>
    </w:p>
    <w:p w14:paraId="11B93D7F"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0" w:history="1">
        <w:r w:rsidR="002700D9" w:rsidRPr="00DE6D3B">
          <w:rPr>
            <w:rStyle w:val="Hyperlink"/>
            <w:noProof/>
            <w:lang w:eastAsia="ar-SA"/>
          </w:rPr>
          <w:t>Фигура 7 Обща концепция на WGII AR5</w:t>
        </w:r>
        <w:r w:rsidR="002700D9">
          <w:rPr>
            <w:noProof/>
            <w:webHidden/>
          </w:rPr>
          <w:tab/>
        </w:r>
        <w:r w:rsidR="002700D9">
          <w:rPr>
            <w:noProof/>
            <w:webHidden/>
          </w:rPr>
          <w:fldChar w:fldCharType="begin"/>
        </w:r>
        <w:r w:rsidR="002700D9">
          <w:rPr>
            <w:noProof/>
            <w:webHidden/>
          </w:rPr>
          <w:instrText xml:space="preserve"> PAGEREF _Toc72910390 \h </w:instrText>
        </w:r>
        <w:r w:rsidR="002700D9">
          <w:rPr>
            <w:noProof/>
            <w:webHidden/>
          </w:rPr>
        </w:r>
        <w:r w:rsidR="002700D9">
          <w:rPr>
            <w:noProof/>
            <w:webHidden/>
          </w:rPr>
          <w:fldChar w:fldCharType="separate"/>
        </w:r>
        <w:r w:rsidR="002700D9">
          <w:rPr>
            <w:noProof/>
            <w:webHidden/>
          </w:rPr>
          <w:t>10</w:t>
        </w:r>
        <w:r w:rsidR="002700D9">
          <w:rPr>
            <w:noProof/>
            <w:webHidden/>
          </w:rPr>
          <w:fldChar w:fldCharType="end"/>
        </w:r>
      </w:hyperlink>
    </w:p>
    <w:p w14:paraId="0A78EF68"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1" w:history="1">
        <w:r w:rsidR="002700D9" w:rsidRPr="00DE6D3B">
          <w:rPr>
            <w:rStyle w:val="Hyperlink"/>
            <w:rFonts w:eastAsia="Times New Roman"/>
            <w:noProof/>
            <w:lang w:val="bg-BG" w:eastAsia="bg-BG"/>
          </w:rPr>
          <w:t>Фигура 8 Тенденция на емисиите на основните ПГ - CO2, CH4 и N2O и общата емисия на ПГ (в това число HFCs, PFCs и SF6) за периода 1988-2018 г., Gg CO2 – екв.</w:t>
        </w:r>
        <w:r w:rsidR="002700D9">
          <w:rPr>
            <w:noProof/>
            <w:webHidden/>
          </w:rPr>
          <w:tab/>
        </w:r>
        <w:r w:rsidR="002700D9">
          <w:rPr>
            <w:noProof/>
            <w:webHidden/>
          </w:rPr>
          <w:fldChar w:fldCharType="begin"/>
        </w:r>
        <w:r w:rsidR="002700D9">
          <w:rPr>
            <w:noProof/>
            <w:webHidden/>
          </w:rPr>
          <w:instrText xml:space="preserve"> PAGEREF _Toc72910391 \h </w:instrText>
        </w:r>
        <w:r w:rsidR="002700D9">
          <w:rPr>
            <w:noProof/>
            <w:webHidden/>
          </w:rPr>
        </w:r>
        <w:r w:rsidR="002700D9">
          <w:rPr>
            <w:noProof/>
            <w:webHidden/>
          </w:rPr>
          <w:fldChar w:fldCharType="separate"/>
        </w:r>
        <w:r w:rsidR="002700D9">
          <w:rPr>
            <w:noProof/>
            <w:webHidden/>
          </w:rPr>
          <w:t>22</w:t>
        </w:r>
        <w:r w:rsidR="002700D9">
          <w:rPr>
            <w:noProof/>
            <w:webHidden/>
          </w:rPr>
          <w:fldChar w:fldCharType="end"/>
        </w:r>
      </w:hyperlink>
    </w:p>
    <w:p w14:paraId="5C851A15"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2" w:history="1">
        <w:r w:rsidR="002700D9" w:rsidRPr="00DE6D3B">
          <w:rPr>
            <w:rStyle w:val="Hyperlink"/>
            <w:rFonts w:eastAsia="Times New Roman"/>
            <w:noProof/>
            <w:lang w:val="bg-BG" w:eastAsia="bg-BG"/>
          </w:rPr>
          <w:t>Фигура 9 Общи емисии на парникови газове (Gg CO2-екв.) от изгаряне по видове горива</w:t>
        </w:r>
        <w:r w:rsidR="002700D9">
          <w:rPr>
            <w:noProof/>
            <w:webHidden/>
          </w:rPr>
          <w:tab/>
        </w:r>
        <w:r w:rsidR="002700D9">
          <w:rPr>
            <w:noProof/>
            <w:webHidden/>
          </w:rPr>
          <w:fldChar w:fldCharType="begin"/>
        </w:r>
        <w:r w:rsidR="002700D9">
          <w:rPr>
            <w:noProof/>
            <w:webHidden/>
          </w:rPr>
          <w:instrText xml:space="preserve"> PAGEREF _Toc72910392 \h </w:instrText>
        </w:r>
        <w:r w:rsidR="002700D9">
          <w:rPr>
            <w:noProof/>
            <w:webHidden/>
          </w:rPr>
        </w:r>
        <w:r w:rsidR="002700D9">
          <w:rPr>
            <w:noProof/>
            <w:webHidden/>
          </w:rPr>
          <w:fldChar w:fldCharType="separate"/>
        </w:r>
        <w:r w:rsidR="002700D9">
          <w:rPr>
            <w:noProof/>
            <w:webHidden/>
          </w:rPr>
          <w:t>23</w:t>
        </w:r>
        <w:r w:rsidR="002700D9">
          <w:rPr>
            <w:noProof/>
            <w:webHidden/>
          </w:rPr>
          <w:fldChar w:fldCharType="end"/>
        </w:r>
      </w:hyperlink>
    </w:p>
    <w:p w14:paraId="79468565"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3" w:history="1">
        <w:r w:rsidR="002700D9" w:rsidRPr="00DE6D3B">
          <w:rPr>
            <w:rStyle w:val="Hyperlink"/>
            <w:rFonts w:eastAsia="DejaVu Sans"/>
            <w:noProof/>
            <w:lang w:val="bg-BG" w:eastAsia="bg-BG"/>
          </w:rPr>
          <w:t>Фигура 10. Нетни емисии (Gg CO2 eq.) на парникови газове от сектор ЗПЗГС</w:t>
        </w:r>
        <w:r w:rsidR="002700D9">
          <w:rPr>
            <w:noProof/>
            <w:webHidden/>
          </w:rPr>
          <w:tab/>
        </w:r>
        <w:r w:rsidR="002700D9">
          <w:rPr>
            <w:noProof/>
            <w:webHidden/>
          </w:rPr>
          <w:fldChar w:fldCharType="begin"/>
        </w:r>
        <w:r w:rsidR="002700D9">
          <w:rPr>
            <w:noProof/>
            <w:webHidden/>
          </w:rPr>
          <w:instrText xml:space="preserve"> PAGEREF _Toc72910393 \h </w:instrText>
        </w:r>
        <w:r w:rsidR="002700D9">
          <w:rPr>
            <w:noProof/>
            <w:webHidden/>
          </w:rPr>
        </w:r>
        <w:r w:rsidR="002700D9">
          <w:rPr>
            <w:noProof/>
            <w:webHidden/>
          </w:rPr>
          <w:fldChar w:fldCharType="separate"/>
        </w:r>
        <w:r w:rsidR="002700D9">
          <w:rPr>
            <w:noProof/>
            <w:webHidden/>
          </w:rPr>
          <w:t>25</w:t>
        </w:r>
        <w:r w:rsidR="002700D9">
          <w:rPr>
            <w:noProof/>
            <w:webHidden/>
          </w:rPr>
          <w:fldChar w:fldCharType="end"/>
        </w:r>
      </w:hyperlink>
    </w:p>
    <w:p w14:paraId="217877DE"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4" w:history="1">
        <w:r w:rsidR="002700D9" w:rsidRPr="00DE6D3B">
          <w:rPr>
            <w:rStyle w:val="Hyperlink"/>
            <w:rFonts w:eastAsia="Times New Roman"/>
            <w:noProof/>
            <w:lang w:val="bg-BG" w:eastAsia="bg-BG"/>
          </w:rPr>
          <w:t>Фигура 11 Общи емисии на парникови газове по сектори за периода 1988 – 2018 г., Gg CO2 - екв.</w:t>
        </w:r>
        <w:r w:rsidR="002700D9">
          <w:rPr>
            <w:noProof/>
            <w:webHidden/>
          </w:rPr>
          <w:tab/>
        </w:r>
        <w:r w:rsidR="002700D9">
          <w:rPr>
            <w:noProof/>
            <w:webHidden/>
          </w:rPr>
          <w:fldChar w:fldCharType="begin"/>
        </w:r>
        <w:r w:rsidR="002700D9">
          <w:rPr>
            <w:noProof/>
            <w:webHidden/>
          </w:rPr>
          <w:instrText xml:space="preserve"> PAGEREF _Toc72910394 \h </w:instrText>
        </w:r>
        <w:r w:rsidR="002700D9">
          <w:rPr>
            <w:noProof/>
            <w:webHidden/>
          </w:rPr>
        </w:r>
        <w:r w:rsidR="002700D9">
          <w:rPr>
            <w:noProof/>
            <w:webHidden/>
          </w:rPr>
          <w:fldChar w:fldCharType="separate"/>
        </w:r>
        <w:r w:rsidR="002700D9">
          <w:rPr>
            <w:noProof/>
            <w:webHidden/>
          </w:rPr>
          <w:t>26</w:t>
        </w:r>
        <w:r w:rsidR="002700D9">
          <w:rPr>
            <w:noProof/>
            <w:webHidden/>
          </w:rPr>
          <w:fldChar w:fldCharType="end"/>
        </w:r>
      </w:hyperlink>
    </w:p>
    <w:p w14:paraId="259B4303"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5" w:history="1">
        <w:r w:rsidR="002700D9" w:rsidRPr="00DE6D3B">
          <w:rPr>
            <w:rStyle w:val="Hyperlink"/>
            <w:rFonts w:eastAsia="Times New Roman"/>
            <w:noProof/>
            <w:lang w:val="bg-BG" w:eastAsia="bg-BG"/>
          </w:rPr>
          <w:t>Фигура 12 Дял на основните източници на емисии на ПГ през 2018 г.,%</w:t>
        </w:r>
        <w:r w:rsidR="002700D9">
          <w:rPr>
            <w:noProof/>
            <w:webHidden/>
          </w:rPr>
          <w:tab/>
        </w:r>
        <w:r w:rsidR="002700D9">
          <w:rPr>
            <w:noProof/>
            <w:webHidden/>
          </w:rPr>
          <w:fldChar w:fldCharType="begin"/>
        </w:r>
        <w:r w:rsidR="002700D9">
          <w:rPr>
            <w:noProof/>
            <w:webHidden/>
          </w:rPr>
          <w:instrText xml:space="preserve"> PAGEREF _Toc72910395 \h </w:instrText>
        </w:r>
        <w:r w:rsidR="002700D9">
          <w:rPr>
            <w:noProof/>
            <w:webHidden/>
          </w:rPr>
        </w:r>
        <w:r w:rsidR="002700D9">
          <w:rPr>
            <w:noProof/>
            <w:webHidden/>
          </w:rPr>
          <w:fldChar w:fldCharType="separate"/>
        </w:r>
        <w:r w:rsidR="002700D9">
          <w:rPr>
            <w:noProof/>
            <w:webHidden/>
          </w:rPr>
          <w:t>27</w:t>
        </w:r>
        <w:r w:rsidR="002700D9">
          <w:rPr>
            <w:noProof/>
            <w:webHidden/>
          </w:rPr>
          <w:fldChar w:fldCharType="end"/>
        </w:r>
      </w:hyperlink>
    </w:p>
    <w:p w14:paraId="506688E1"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6" w:history="1">
        <w:r w:rsidR="002700D9" w:rsidRPr="00DE6D3B">
          <w:rPr>
            <w:rStyle w:val="Hyperlink"/>
            <w:rFonts w:eastAsia="Times New Roman"/>
            <w:noProof/>
            <w:lang w:val="bg-BG" w:eastAsia="bg-BG"/>
          </w:rPr>
          <w:t>Фигура 13 Годишни емисии на парникови газове на човек от населението, тона СО2 - екв.</w:t>
        </w:r>
        <w:r w:rsidR="002700D9">
          <w:rPr>
            <w:noProof/>
            <w:webHidden/>
          </w:rPr>
          <w:tab/>
        </w:r>
        <w:r w:rsidR="002700D9">
          <w:rPr>
            <w:noProof/>
            <w:webHidden/>
          </w:rPr>
          <w:fldChar w:fldCharType="begin"/>
        </w:r>
        <w:r w:rsidR="002700D9">
          <w:rPr>
            <w:noProof/>
            <w:webHidden/>
          </w:rPr>
          <w:instrText xml:space="preserve"> PAGEREF _Toc72910396 \h </w:instrText>
        </w:r>
        <w:r w:rsidR="002700D9">
          <w:rPr>
            <w:noProof/>
            <w:webHidden/>
          </w:rPr>
        </w:r>
        <w:r w:rsidR="002700D9">
          <w:rPr>
            <w:noProof/>
            <w:webHidden/>
          </w:rPr>
          <w:fldChar w:fldCharType="separate"/>
        </w:r>
        <w:r w:rsidR="002700D9">
          <w:rPr>
            <w:noProof/>
            <w:webHidden/>
          </w:rPr>
          <w:t>28</w:t>
        </w:r>
        <w:r w:rsidR="002700D9">
          <w:rPr>
            <w:noProof/>
            <w:webHidden/>
          </w:rPr>
          <w:fldChar w:fldCharType="end"/>
        </w:r>
      </w:hyperlink>
    </w:p>
    <w:p w14:paraId="089E01D3"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7" w:history="1">
        <w:r w:rsidR="002700D9" w:rsidRPr="00DE6D3B">
          <w:rPr>
            <w:rStyle w:val="Hyperlink"/>
            <w:rFonts w:eastAsia="Times New Roman"/>
            <w:noProof/>
            <w:lang w:val="bg-BG" w:eastAsia="bg-BG"/>
          </w:rPr>
          <w:t>Фигура 14 Годишни емисии на парникови газове за единица БВП, тона СО2 - екв. за 1000 лева</w:t>
        </w:r>
        <w:r w:rsidR="002700D9">
          <w:rPr>
            <w:noProof/>
            <w:webHidden/>
          </w:rPr>
          <w:tab/>
        </w:r>
        <w:r w:rsidR="002700D9">
          <w:rPr>
            <w:noProof/>
            <w:webHidden/>
          </w:rPr>
          <w:fldChar w:fldCharType="begin"/>
        </w:r>
        <w:r w:rsidR="002700D9">
          <w:rPr>
            <w:noProof/>
            <w:webHidden/>
          </w:rPr>
          <w:instrText xml:space="preserve"> PAGEREF _Toc72910397 \h </w:instrText>
        </w:r>
        <w:r w:rsidR="002700D9">
          <w:rPr>
            <w:noProof/>
            <w:webHidden/>
          </w:rPr>
        </w:r>
        <w:r w:rsidR="002700D9">
          <w:rPr>
            <w:noProof/>
            <w:webHidden/>
          </w:rPr>
          <w:fldChar w:fldCharType="separate"/>
        </w:r>
        <w:r w:rsidR="002700D9">
          <w:rPr>
            <w:noProof/>
            <w:webHidden/>
          </w:rPr>
          <w:t>28</w:t>
        </w:r>
        <w:r w:rsidR="002700D9">
          <w:rPr>
            <w:noProof/>
            <w:webHidden/>
          </w:rPr>
          <w:fldChar w:fldCharType="end"/>
        </w:r>
      </w:hyperlink>
    </w:p>
    <w:p w14:paraId="30B8A636"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8" w:history="1">
        <w:r w:rsidR="002700D9" w:rsidRPr="00DE6D3B">
          <w:rPr>
            <w:rStyle w:val="Hyperlink"/>
            <w:rFonts w:eastAsia="Times New Roman"/>
            <w:noProof/>
            <w:lang w:val="bg-BG" w:eastAsia="bg-BG"/>
          </w:rPr>
          <w:t>Фигура 15 Крайно енергийно потребление, ktoe</w:t>
        </w:r>
        <w:r w:rsidR="002700D9">
          <w:rPr>
            <w:noProof/>
            <w:webHidden/>
          </w:rPr>
          <w:tab/>
        </w:r>
        <w:r w:rsidR="002700D9">
          <w:rPr>
            <w:noProof/>
            <w:webHidden/>
          </w:rPr>
          <w:fldChar w:fldCharType="begin"/>
        </w:r>
        <w:r w:rsidR="002700D9">
          <w:rPr>
            <w:noProof/>
            <w:webHidden/>
          </w:rPr>
          <w:instrText xml:space="preserve"> PAGEREF _Toc72910398 \h </w:instrText>
        </w:r>
        <w:r w:rsidR="002700D9">
          <w:rPr>
            <w:noProof/>
            <w:webHidden/>
          </w:rPr>
        </w:r>
        <w:r w:rsidR="002700D9">
          <w:rPr>
            <w:noProof/>
            <w:webHidden/>
          </w:rPr>
          <w:fldChar w:fldCharType="separate"/>
        </w:r>
        <w:r w:rsidR="002700D9">
          <w:rPr>
            <w:noProof/>
            <w:webHidden/>
          </w:rPr>
          <w:t>29</w:t>
        </w:r>
        <w:r w:rsidR="002700D9">
          <w:rPr>
            <w:noProof/>
            <w:webHidden/>
          </w:rPr>
          <w:fldChar w:fldCharType="end"/>
        </w:r>
      </w:hyperlink>
    </w:p>
    <w:p w14:paraId="36CD460D"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399" w:history="1">
        <w:r w:rsidR="002700D9" w:rsidRPr="00DE6D3B">
          <w:rPr>
            <w:rStyle w:val="Hyperlink"/>
            <w:rFonts w:eastAsia="Times New Roman"/>
            <w:noProof/>
            <w:lang w:val="bg-BG" w:eastAsia="bg-BG"/>
          </w:rPr>
          <w:t>Фигура 16 Изменение на крайното енергийно потребление по сектори, ktoe</w:t>
        </w:r>
        <w:r w:rsidR="002700D9">
          <w:rPr>
            <w:noProof/>
            <w:webHidden/>
          </w:rPr>
          <w:tab/>
        </w:r>
        <w:r w:rsidR="002700D9">
          <w:rPr>
            <w:noProof/>
            <w:webHidden/>
          </w:rPr>
          <w:fldChar w:fldCharType="begin"/>
        </w:r>
        <w:r w:rsidR="002700D9">
          <w:rPr>
            <w:noProof/>
            <w:webHidden/>
          </w:rPr>
          <w:instrText xml:space="preserve"> PAGEREF _Toc72910399 \h </w:instrText>
        </w:r>
        <w:r w:rsidR="002700D9">
          <w:rPr>
            <w:noProof/>
            <w:webHidden/>
          </w:rPr>
        </w:r>
        <w:r w:rsidR="002700D9">
          <w:rPr>
            <w:noProof/>
            <w:webHidden/>
          </w:rPr>
          <w:fldChar w:fldCharType="separate"/>
        </w:r>
        <w:r w:rsidR="002700D9">
          <w:rPr>
            <w:noProof/>
            <w:webHidden/>
          </w:rPr>
          <w:t>29</w:t>
        </w:r>
        <w:r w:rsidR="002700D9">
          <w:rPr>
            <w:noProof/>
            <w:webHidden/>
          </w:rPr>
          <w:fldChar w:fldCharType="end"/>
        </w:r>
      </w:hyperlink>
    </w:p>
    <w:p w14:paraId="7C0531CB"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400" w:history="1">
        <w:r w:rsidR="002700D9" w:rsidRPr="00DE6D3B">
          <w:rPr>
            <w:rStyle w:val="Hyperlink"/>
            <w:rFonts w:eastAsia="Times New Roman"/>
            <w:noProof/>
            <w:lang w:val="bg-BG" w:eastAsia="bg-BG"/>
          </w:rPr>
          <w:t>Фигура 17 Енергийна интензивност за периода 2013 – 2017  кг.н.е/лв.</w:t>
        </w:r>
        <w:r w:rsidR="002700D9">
          <w:rPr>
            <w:noProof/>
            <w:webHidden/>
          </w:rPr>
          <w:tab/>
        </w:r>
        <w:r w:rsidR="002700D9">
          <w:rPr>
            <w:noProof/>
            <w:webHidden/>
          </w:rPr>
          <w:fldChar w:fldCharType="begin"/>
        </w:r>
        <w:r w:rsidR="002700D9">
          <w:rPr>
            <w:noProof/>
            <w:webHidden/>
          </w:rPr>
          <w:instrText xml:space="preserve"> PAGEREF _Toc72910400 \h </w:instrText>
        </w:r>
        <w:r w:rsidR="002700D9">
          <w:rPr>
            <w:noProof/>
            <w:webHidden/>
          </w:rPr>
        </w:r>
        <w:r w:rsidR="002700D9">
          <w:rPr>
            <w:noProof/>
            <w:webHidden/>
          </w:rPr>
          <w:fldChar w:fldCharType="separate"/>
        </w:r>
        <w:r w:rsidR="002700D9">
          <w:rPr>
            <w:noProof/>
            <w:webHidden/>
          </w:rPr>
          <w:t>30</w:t>
        </w:r>
        <w:r w:rsidR="002700D9">
          <w:rPr>
            <w:noProof/>
            <w:webHidden/>
          </w:rPr>
          <w:fldChar w:fldCharType="end"/>
        </w:r>
      </w:hyperlink>
    </w:p>
    <w:p w14:paraId="6E54271D"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401" w:history="1">
        <w:r w:rsidR="002700D9" w:rsidRPr="00DE6D3B">
          <w:rPr>
            <w:rStyle w:val="Hyperlink"/>
            <w:rFonts w:eastAsia="Times New Roman"/>
            <w:noProof/>
            <w:lang w:val="bg-BG" w:eastAsia="bg-BG"/>
          </w:rPr>
          <w:t>Фигура 18</w:t>
        </w:r>
        <w:r w:rsidR="002700D9" w:rsidRPr="00DE6D3B">
          <w:rPr>
            <w:rStyle w:val="Hyperlink"/>
            <w:rFonts w:eastAsia="Times New Roman"/>
            <w:noProof/>
            <w:lang w:eastAsia="bg-BG"/>
          </w:rPr>
          <w:t xml:space="preserve"> </w:t>
        </w:r>
        <w:r w:rsidR="002700D9" w:rsidRPr="00DE6D3B">
          <w:rPr>
            <w:rStyle w:val="Hyperlink"/>
            <w:rFonts w:eastAsia="Times New Roman"/>
            <w:noProof/>
            <w:lang w:val="bg-BG" w:eastAsia="bg-BG"/>
          </w:rPr>
          <w:t>Крайно енергийно потребление общо* и по видове транспорт** в периода 2000 – 2018 г. (1000 toe)</w:t>
        </w:r>
        <w:r w:rsidR="002700D9">
          <w:rPr>
            <w:noProof/>
            <w:webHidden/>
          </w:rPr>
          <w:tab/>
        </w:r>
        <w:r w:rsidR="002700D9">
          <w:rPr>
            <w:noProof/>
            <w:webHidden/>
          </w:rPr>
          <w:fldChar w:fldCharType="begin"/>
        </w:r>
        <w:r w:rsidR="002700D9">
          <w:rPr>
            <w:noProof/>
            <w:webHidden/>
          </w:rPr>
          <w:instrText xml:space="preserve"> PAGEREF _Toc72910401 \h </w:instrText>
        </w:r>
        <w:r w:rsidR="002700D9">
          <w:rPr>
            <w:noProof/>
            <w:webHidden/>
          </w:rPr>
        </w:r>
        <w:r w:rsidR="002700D9">
          <w:rPr>
            <w:noProof/>
            <w:webHidden/>
          </w:rPr>
          <w:fldChar w:fldCharType="separate"/>
        </w:r>
        <w:r w:rsidR="002700D9">
          <w:rPr>
            <w:noProof/>
            <w:webHidden/>
          </w:rPr>
          <w:t>33</w:t>
        </w:r>
        <w:r w:rsidR="002700D9">
          <w:rPr>
            <w:noProof/>
            <w:webHidden/>
          </w:rPr>
          <w:fldChar w:fldCharType="end"/>
        </w:r>
      </w:hyperlink>
    </w:p>
    <w:p w14:paraId="2D6D72CE" w14:textId="77777777" w:rsidR="002700D9" w:rsidRDefault="00D5703A">
      <w:pPr>
        <w:pStyle w:val="TableofFigures"/>
        <w:tabs>
          <w:tab w:val="right" w:leader="dot" w:pos="9350"/>
        </w:tabs>
        <w:rPr>
          <w:rFonts w:asciiTheme="minorHAnsi" w:eastAsiaTheme="minorEastAsia" w:hAnsiTheme="minorHAnsi" w:cstheme="minorBidi"/>
          <w:i w:val="0"/>
          <w:noProof/>
          <w:lang w:val="en-GB" w:eastAsia="en-GB"/>
        </w:rPr>
      </w:pPr>
      <w:hyperlink w:anchor="_Toc72910402" w:history="1">
        <w:r w:rsidR="002700D9" w:rsidRPr="00DE6D3B">
          <w:rPr>
            <w:rStyle w:val="Hyperlink"/>
            <w:rFonts w:eastAsia="Times New Roman"/>
            <w:noProof/>
            <w:lang w:eastAsia="bg-BG"/>
          </w:rPr>
          <w:t>Фигура 19 Разпределение на товарните превози по видове транспорт (% от общо изпълнени тонкилометри)</w:t>
        </w:r>
        <w:r w:rsidR="002700D9">
          <w:rPr>
            <w:noProof/>
            <w:webHidden/>
          </w:rPr>
          <w:tab/>
        </w:r>
        <w:r w:rsidR="002700D9">
          <w:rPr>
            <w:noProof/>
            <w:webHidden/>
          </w:rPr>
          <w:fldChar w:fldCharType="begin"/>
        </w:r>
        <w:r w:rsidR="002700D9">
          <w:rPr>
            <w:noProof/>
            <w:webHidden/>
          </w:rPr>
          <w:instrText xml:space="preserve"> PAGEREF _Toc72910402 \h </w:instrText>
        </w:r>
        <w:r w:rsidR="002700D9">
          <w:rPr>
            <w:noProof/>
            <w:webHidden/>
          </w:rPr>
        </w:r>
        <w:r w:rsidR="002700D9">
          <w:rPr>
            <w:noProof/>
            <w:webHidden/>
          </w:rPr>
          <w:fldChar w:fldCharType="separate"/>
        </w:r>
        <w:r w:rsidR="002700D9">
          <w:rPr>
            <w:noProof/>
            <w:webHidden/>
          </w:rPr>
          <w:t>34</w:t>
        </w:r>
        <w:r w:rsidR="002700D9">
          <w:rPr>
            <w:noProof/>
            <w:webHidden/>
          </w:rPr>
          <w:fldChar w:fldCharType="end"/>
        </w:r>
      </w:hyperlink>
    </w:p>
    <w:p w14:paraId="554D107E" w14:textId="77777777" w:rsidR="002700D9" w:rsidRPr="002700D9" w:rsidRDefault="002700D9">
      <w:pPr>
        <w:pStyle w:val="a0"/>
        <w:keepNext/>
        <w:keepLines/>
        <w:spacing w:before="40"/>
        <w:rPr>
          <w:lang w:val="en-GB"/>
        </w:rPr>
      </w:pPr>
      <w:r>
        <w:rPr>
          <w:lang w:val="en-GB"/>
        </w:rPr>
        <w:fldChar w:fldCharType="end"/>
      </w:r>
    </w:p>
    <w:p w14:paraId="6D50634B" w14:textId="77777777" w:rsidR="008B1EFF" w:rsidRPr="00607F56" w:rsidRDefault="0042190C" w:rsidP="002700D9">
      <w:pPr>
        <w:pStyle w:val="Heading2"/>
        <w:pageBreakBefore/>
      </w:pPr>
      <w:bookmarkStart w:id="0" w:name="_Toc72910308"/>
      <w:proofErr w:type="spellStart"/>
      <w:r w:rsidRPr="00607F56">
        <w:lastRenderedPageBreak/>
        <w:t>Въведение</w:t>
      </w:r>
      <w:bookmarkEnd w:id="0"/>
      <w:proofErr w:type="spellEnd"/>
    </w:p>
    <w:p w14:paraId="3FFE37E5" w14:textId="77777777" w:rsidR="008B1EFF" w:rsidRPr="002E54A0" w:rsidRDefault="0042190C" w:rsidP="002E54A0">
      <w:pPr>
        <w:pStyle w:val="a0"/>
        <w:spacing w:before="120" w:after="120" w:line="276" w:lineRule="auto"/>
        <w:jc w:val="both"/>
        <w:rPr>
          <w:sz w:val="22"/>
          <w:szCs w:val="22"/>
        </w:rPr>
      </w:pPr>
      <w:r w:rsidRPr="002E54A0">
        <w:rPr>
          <w:sz w:val="22"/>
          <w:szCs w:val="22"/>
        </w:rPr>
        <w:t>Едно от най-значимите предизвикателства пред човечеството е изменението на климата в глобален мащаб.</w:t>
      </w:r>
      <w:r w:rsidRPr="002E54A0">
        <w:rPr>
          <w:rStyle w:val="a1"/>
          <w:rFonts w:eastAsia="Calibri"/>
          <w:sz w:val="22"/>
          <w:szCs w:val="22"/>
        </w:rPr>
        <w:t xml:space="preserve"> През последните две десетилетия са регистрирани 18-те най-топли години, откакто съществуват измервания, а екстремните метеорологични явления, като горски пожари, големи горещини и наводнения, зачестяват все повече.</w:t>
      </w:r>
      <w:r w:rsidRPr="002E54A0">
        <w:rPr>
          <w:rStyle w:val="a1"/>
          <w:color w:val="FF0000"/>
          <w:sz w:val="22"/>
          <w:szCs w:val="22"/>
        </w:rPr>
        <w:t xml:space="preserve"> </w:t>
      </w:r>
      <w:r w:rsidRPr="002E54A0">
        <w:rPr>
          <w:sz w:val="22"/>
          <w:szCs w:val="22"/>
        </w:rPr>
        <w:t>Наблюдаваните промени в климата вече оказват значително въздействие върху екосистемите, икономиката, върху човешкото здраве и благосъстояние в Европа, според доклада „Изменение на климата, въздействия и уязвимост в Европа 2016“</w:t>
      </w:r>
      <w:r w:rsidRPr="002E54A0">
        <w:rPr>
          <w:rStyle w:val="a1"/>
          <w:sz w:val="22"/>
          <w:szCs w:val="22"/>
          <w:vertAlign w:val="superscript"/>
        </w:rPr>
        <w:footnoteReference w:id="2"/>
      </w:r>
      <w:r w:rsidRPr="002E54A0">
        <w:rPr>
          <w:sz w:val="22"/>
          <w:szCs w:val="22"/>
        </w:rPr>
        <w:t xml:space="preserve">. </w:t>
      </w:r>
    </w:p>
    <w:p w14:paraId="16B32B94" w14:textId="77777777" w:rsidR="008B1EFF" w:rsidRPr="002E54A0" w:rsidRDefault="0042190C" w:rsidP="002E54A0">
      <w:pPr>
        <w:pStyle w:val="a0"/>
        <w:spacing w:before="120" w:after="120" w:line="276" w:lineRule="auto"/>
        <w:jc w:val="both"/>
        <w:rPr>
          <w:sz w:val="22"/>
          <w:szCs w:val="22"/>
        </w:rPr>
      </w:pPr>
      <w:r w:rsidRPr="002E54A0">
        <w:rPr>
          <w:rStyle w:val="a1"/>
          <w:rFonts w:eastAsia="Calibri"/>
          <w:bCs/>
          <w:sz w:val="22"/>
          <w:szCs w:val="22"/>
        </w:rPr>
        <w:t>Учените предупреждават, че без спешни и ефективни действия, още през 2060 г. глобалното затопляне ще достигне 2°C над нивата от периода преди индустриализацията, а към края на века може дори да достигне 5°C</w:t>
      </w:r>
      <w:r w:rsidRPr="002E54A0">
        <w:rPr>
          <w:rStyle w:val="a1"/>
          <w:rFonts w:eastAsia="Calibri"/>
          <w:b/>
          <w:bCs/>
          <w:sz w:val="22"/>
          <w:szCs w:val="22"/>
        </w:rPr>
        <w:t>.</w:t>
      </w:r>
      <w:r w:rsidRPr="002E54A0">
        <w:rPr>
          <w:rStyle w:val="ab"/>
          <w:rFonts w:eastAsia="Calibri"/>
          <w:b/>
          <w:sz w:val="22"/>
          <w:szCs w:val="22"/>
        </w:rPr>
        <w:footnoteReference w:id="3"/>
      </w:r>
      <w:r w:rsidRPr="002E54A0">
        <w:rPr>
          <w:rStyle w:val="a1"/>
          <w:rFonts w:eastAsia="Calibri"/>
          <w:b/>
          <w:bCs/>
          <w:sz w:val="22"/>
          <w:szCs w:val="22"/>
        </w:rPr>
        <w:t xml:space="preserve"> </w:t>
      </w:r>
      <w:r w:rsidRPr="002E54A0">
        <w:rPr>
          <w:sz w:val="22"/>
          <w:szCs w:val="22"/>
        </w:rPr>
        <w:t xml:space="preserve">Изменението на климата е глобално предизвикателство, което изисква глобален отговор. </w:t>
      </w:r>
    </w:p>
    <w:p w14:paraId="729B8901" w14:textId="77777777" w:rsidR="008B1EFF" w:rsidRPr="002700D9" w:rsidRDefault="0042190C" w:rsidP="002700D9">
      <w:pPr>
        <w:pStyle w:val="Heading2"/>
      </w:pPr>
      <w:bookmarkStart w:id="1" w:name="_Toc72910309"/>
      <w:proofErr w:type="spellStart"/>
      <w:r w:rsidRPr="002700D9">
        <w:t>Тенденции</w:t>
      </w:r>
      <w:proofErr w:type="spellEnd"/>
      <w:r w:rsidRPr="002700D9">
        <w:t xml:space="preserve"> в </w:t>
      </w:r>
      <w:proofErr w:type="spellStart"/>
      <w:r w:rsidRPr="002700D9">
        <w:t>изменението</w:t>
      </w:r>
      <w:proofErr w:type="spellEnd"/>
      <w:r w:rsidRPr="002700D9">
        <w:t xml:space="preserve"> </w:t>
      </w:r>
      <w:proofErr w:type="spellStart"/>
      <w:r w:rsidRPr="002700D9">
        <w:t>на</w:t>
      </w:r>
      <w:proofErr w:type="spellEnd"/>
      <w:r w:rsidRPr="002700D9">
        <w:t xml:space="preserve"> </w:t>
      </w:r>
      <w:proofErr w:type="spellStart"/>
      <w:r w:rsidRPr="002700D9">
        <w:t>климатичните</w:t>
      </w:r>
      <w:proofErr w:type="spellEnd"/>
      <w:r w:rsidRPr="002700D9">
        <w:t xml:space="preserve"> </w:t>
      </w:r>
      <w:proofErr w:type="spellStart"/>
      <w:r w:rsidRPr="002700D9">
        <w:t>индикатори</w:t>
      </w:r>
      <w:bookmarkEnd w:id="1"/>
      <w:proofErr w:type="spellEnd"/>
    </w:p>
    <w:p w14:paraId="53E3ED10" w14:textId="77777777" w:rsidR="008B1EFF" w:rsidRPr="002E54A0" w:rsidRDefault="0042190C">
      <w:pPr>
        <w:pStyle w:val="a0"/>
        <w:spacing w:before="120" w:line="276" w:lineRule="auto"/>
        <w:jc w:val="both"/>
        <w:rPr>
          <w:rFonts w:eastAsia="ヒラギノ角ゴ Pro W3"/>
          <w:color w:val="000000"/>
          <w:sz w:val="22"/>
          <w:szCs w:val="22"/>
          <w:lang w:bidi="bg-BG"/>
        </w:rPr>
      </w:pPr>
      <w:r w:rsidRPr="002E54A0">
        <w:rPr>
          <w:rFonts w:eastAsia="ヒラギノ角ゴ Pro W3"/>
          <w:color w:val="000000"/>
          <w:sz w:val="22"/>
          <w:szCs w:val="22"/>
          <w:lang w:bidi="bg-BG"/>
        </w:rPr>
        <w:t>Климатичните и метеорологичните условия влияят на природните и антропогенни процеси, които въздействат върху състоянието на околната среда. Те влияят също и на цялостната икономика на страната като подсилват натиска върху околната среда от нейните под-сектори. Екстремните метеорологични условия, като наводнения, дългосрочни периоди на суша и силни ветрове, могат да причинят големи щети на националната икономика.</w:t>
      </w:r>
    </w:p>
    <w:p w14:paraId="6A0A68D5" w14:textId="77777777" w:rsidR="008B1EFF" w:rsidRPr="002E54A0" w:rsidRDefault="0042190C">
      <w:pPr>
        <w:pStyle w:val="a0"/>
        <w:spacing w:before="120" w:line="264" w:lineRule="auto"/>
        <w:jc w:val="both"/>
        <w:rPr>
          <w:rFonts w:eastAsia="ヒラギノ角ゴ Pro W3"/>
          <w:color w:val="000000"/>
          <w:sz w:val="22"/>
          <w:szCs w:val="22"/>
          <w:lang w:bidi="bg-BG"/>
        </w:rPr>
      </w:pPr>
      <w:r w:rsidRPr="002E54A0">
        <w:rPr>
          <w:rFonts w:eastAsia="ヒラギノ角ゴ Pro W3"/>
          <w:color w:val="000000"/>
          <w:sz w:val="22"/>
          <w:szCs w:val="22"/>
          <w:lang w:bidi="bg-BG"/>
        </w:rPr>
        <w:t>Рекордно високите температури през последните десетилетия, топенето на ледниците, по-влажният въздух и още седем ключови индикатора показват, че глобалното затопляне е неоспорим факт. Десетте ключови индикатора, показващи изменението в климата са:</w:t>
      </w:r>
    </w:p>
    <w:p w14:paraId="2C64B468"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по-високите температури над сушата;</w:t>
      </w:r>
    </w:p>
    <w:p w14:paraId="2E69CB61"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по-високите температури над океаните;</w:t>
      </w:r>
    </w:p>
    <w:p w14:paraId="2BAC1AA9"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високото съдържание на топлина в океаните;</w:t>
      </w:r>
    </w:p>
    <w:p w14:paraId="048797BF"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по-високите температури на въздуха близо до повърхността на земята;</w:t>
      </w:r>
    </w:p>
    <w:p w14:paraId="60D51F66"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по-високата влажност;</w:t>
      </w:r>
    </w:p>
    <w:p w14:paraId="6B2281EA"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по-високите температури на морската повърхност;</w:t>
      </w:r>
    </w:p>
    <w:p w14:paraId="25DEE37F"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покачването на морското равнище;</w:t>
      </w:r>
    </w:p>
    <w:p w14:paraId="72CA51C8"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намаляването на морския лед;</w:t>
      </w:r>
    </w:p>
    <w:p w14:paraId="56B04CE8"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намаляването на снежната покривка;</w:t>
      </w:r>
    </w:p>
    <w:p w14:paraId="448345CF" w14:textId="77777777" w:rsidR="008B1EFF" w:rsidRPr="002E54A0" w:rsidRDefault="0042190C">
      <w:pPr>
        <w:pStyle w:val="a0"/>
        <w:numPr>
          <w:ilvl w:val="0"/>
          <w:numId w:val="9"/>
        </w:numPr>
        <w:spacing w:line="264" w:lineRule="auto"/>
        <w:ind w:left="1268" w:hanging="562"/>
        <w:jc w:val="both"/>
        <w:rPr>
          <w:rFonts w:eastAsia="ヒラギノ角ゴ Pro W3"/>
          <w:color w:val="000000"/>
          <w:sz w:val="22"/>
          <w:szCs w:val="22"/>
          <w:lang w:eastAsia="de-AT" w:bidi="bg-BG"/>
        </w:rPr>
      </w:pPr>
      <w:r w:rsidRPr="002E54A0">
        <w:rPr>
          <w:rFonts w:eastAsia="ヒラギノ角ゴ Pro W3"/>
          <w:color w:val="000000"/>
          <w:sz w:val="22"/>
          <w:szCs w:val="22"/>
          <w:lang w:eastAsia="de-AT" w:bidi="bg-BG"/>
        </w:rPr>
        <w:t>свиването на ледниците.</w:t>
      </w:r>
    </w:p>
    <w:p w14:paraId="7B19F4C1" w14:textId="77777777" w:rsidR="008B1EFF" w:rsidRPr="002E54A0" w:rsidRDefault="0042190C">
      <w:pPr>
        <w:pStyle w:val="a0"/>
        <w:spacing w:before="120" w:after="120" w:line="264" w:lineRule="auto"/>
        <w:jc w:val="both"/>
        <w:rPr>
          <w:sz w:val="22"/>
          <w:szCs w:val="22"/>
        </w:rPr>
      </w:pPr>
      <w:r w:rsidRPr="002E54A0">
        <w:rPr>
          <w:rStyle w:val="a1"/>
          <w:rFonts w:eastAsia="ヒラギノ角ゴ Pro W3"/>
          <w:color w:val="000000"/>
          <w:sz w:val="22"/>
          <w:szCs w:val="22"/>
          <w:lang w:bidi="bg-BG"/>
        </w:rPr>
        <w:t>Относителното движение на всеки от тези показатели – повишаване при първите седем и спад при последните три от тях – доказва, че несъмнено планетата ни търпи затопляне през последния половин век, както и че всяко десетилетие на Земята от 1980 г. насам е по-горещо от предходното</w:t>
      </w:r>
      <w:r w:rsidRPr="002E54A0">
        <w:rPr>
          <w:rStyle w:val="ab"/>
          <w:rFonts w:eastAsia="ヒラギノ角ゴ Pro W3"/>
          <w:color w:val="000000"/>
          <w:sz w:val="22"/>
          <w:szCs w:val="22"/>
          <w:lang w:bidi="bg-BG"/>
        </w:rPr>
        <w:footnoteReference w:id="4"/>
      </w:r>
      <w:r w:rsidRPr="002E54A0">
        <w:rPr>
          <w:rStyle w:val="a1"/>
          <w:rFonts w:eastAsia="ヒラギノ角ゴ Pro W3"/>
          <w:color w:val="000000"/>
          <w:sz w:val="22"/>
          <w:szCs w:val="22"/>
          <w:lang w:bidi="bg-BG"/>
        </w:rPr>
        <w:t>.</w:t>
      </w:r>
    </w:p>
    <w:p w14:paraId="2DCF9929" w14:textId="77777777" w:rsidR="008B1EFF" w:rsidRPr="002E54A0" w:rsidRDefault="0042190C">
      <w:pPr>
        <w:pStyle w:val="a0"/>
        <w:spacing w:before="120" w:line="276" w:lineRule="auto"/>
        <w:jc w:val="both"/>
        <w:rPr>
          <w:b/>
          <w:sz w:val="22"/>
          <w:szCs w:val="22"/>
        </w:rPr>
      </w:pPr>
      <w:r w:rsidRPr="002E54A0">
        <w:rPr>
          <w:b/>
          <w:sz w:val="22"/>
          <w:szCs w:val="22"/>
        </w:rPr>
        <w:t>Средна годишна температура </w:t>
      </w:r>
    </w:p>
    <w:p w14:paraId="103375EA" w14:textId="06B0DC9E" w:rsidR="008B1EFF" w:rsidRPr="00607F56" w:rsidRDefault="0042190C">
      <w:pPr>
        <w:pStyle w:val="a0"/>
        <w:spacing w:before="120" w:line="276" w:lineRule="auto"/>
        <w:jc w:val="both"/>
        <w:rPr>
          <w:sz w:val="22"/>
          <w:szCs w:val="22"/>
        </w:rPr>
      </w:pPr>
      <w:r w:rsidRPr="002E54A0">
        <w:rPr>
          <w:rStyle w:val="a1"/>
          <w:bCs/>
          <w:sz w:val="22"/>
          <w:szCs w:val="22"/>
        </w:rPr>
        <w:lastRenderedPageBreak/>
        <w:t>2018 г. e сред петте най-топли години за периода 1988-2018 г. за България, със средна годишна температура от 12.6</w:t>
      </w:r>
      <w:r w:rsidRPr="002E54A0">
        <w:rPr>
          <w:rStyle w:val="a1"/>
          <w:bCs/>
          <w:sz w:val="22"/>
          <w:szCs w:val="22"/>
          <w:vertAlign w:val="superscript"/>
        </w:rPr>
        <w:t>o</w:t>
      </w:r>
      <w:r>
        <w:rPr>
          <w:rStyle w:val="a1"/>
          <w:bCs/>
          <w:sz w:val="22"/>
          <w:szCs w:val="22"/>
          <w:vertAlign w:val="superscript"/>
        </w:rPr>
        <w:t xml:space="preserve"> </w:t>
      </w:r>
      <w:r w:rsidRPr="002E54A0">
        <w:rPr>
          <w:rStyle w:val="a1"/>
          <w:bCs/>
          <w:sz w:val="22"/>
          <w:szCs w:val="22"/>
        </w:rPr>
        <w:t>С.</w:t>
      </w:r>
      <w:r w:rsidRPr="002E54A0">
        <w:rPr>
          <w:sz w:val="22"/>
          <w:szCs w:val="22"/>
        </w:rPr>
        <w:t xml:space="preserve"> В периода 1988-2018 г. средната годишна температура на въздуха за ниска</w:t>
      </w:r>
      <w:r w:rsidRPr="00607F56">
        <w:rPr>
          <w:sz w:val="22"/>
          <w:szCs w:val="22"/>
        </w:rPr>
        <w:t xml:space="preserve">та част от страната (за районите с </w:t>
      </w:r>
      <w:proofErr w:type="spellStart"/>
      <w:r w:rsidRPr="00607F56">
        <w:rPr>
          <w:sz w:val="22"/>
          <w:szCs w:val="22"/>
        </w:rPr>
        <w:t>н.в.</w:t>
      </w:r>
      <w:proofErr w:type="spellEnd"/>
      <w:r w:rsidRPr="00607F56">
        <w:rPr>
          <w:sz w:val="22"/>
          <w:szCs w:val="22"/>
        </w:rPr>
        <w:t xml:space="preserve"> до 800 m) </w:t>
      </w:r>
      <w:r w:rsidRPr="00607F56">
        <w:t>е нараснала средно с 0.87 °С</w:t>
      </w:r>
      <w:r w:rsidRPr="00607F56">
        <w:rPr>
          <w:sz w:val="22"/>
          <w:szCs w:val="22"/>
        </w:rPr>
        <w:t xml:space="preserve"> спрямо нормата за референтния климатичен период 1961-1990 г., като се изменя в границите от 10.6 °С до 13.0°С (Фиг</w:t>
      </w:r>
      <w:r w:rsidR="001B4346">
        <w:rPr>
          <w:sz w:val="22"/>
          <w:szCs w:val="22"/>
        </w:rPr>
        <w:t>.</w:t>
      </w:r>
      <w:r w:rsidR="00607F56" w:rsidRPr="00607F56">
        <w:rPr>
          <w:sz w:val="22"/>
          <w:szCs w:val="22"/>
        </w:rPr>
        <w:t xml:space="preserve"> 1</w:t>
      </w:r>
      <w:r w:rsidRPr="00607F56">
        <w:rPr>
          <w:sz w:val="22"/>
          <w:szCs w:val="22"/>
        </w:rPr>
        <w:t>). Запазва се нарастващата тенденция на колебанията на средната годишна температура на въздуха</w:t>
      </w:r>
      <w:r w:rsidRPr="002E54A0">
        <w:rPr>
          <w:sz w:val="22"/>
          <w:szCs w:val="22"/>
        </w:rPr>
        <w:t xml:space="preserve">, а температурните аномалии за всички години след 2007 г. (с изключение </w:t>
      </w:r>
      <w:r w:rsidRPr="00607F56">
        <w:rPr>
          <w:sz w:val="22"/>
          <w:szCs w:val="22"/>
        </w:rPr>
        <w:t>на 2011</w:t>
      </w:r>
      <w:r w:rsidR="001B4346">
        <w:rPr>
          <w:sz w:val="22"/>
          <w:szCs w:val="22"/>
        </w:rPr>
        <w:t xml:space="preserve"> </w:t>
      </w:r>
      <w:r w:rsidRPr="00607F56">
        <w:rPr>
          <w:sz w:val="22"/>
          <w:szCs w:val="22"/>
        </w:rPr>
        <w:t>г.) са над +1°С.</w:t>
      </w:r>
    </w:p>
    <w:p w14:paraId="213F5871" w14:textId="173E87F2" w:rsidR="008B1EFF" w:rsidRPr="00607F56" w:rsidRDefault="00607F56" w:rsidP="00607F56">
      <w:pPr>
        <w:pStyle w:val="Caption"/>
        <w:rPr>
          <w:rFonts w:ascii="Times New Roman" w:hAnsi="Times New Roman"/>
          <w:b w:val="0"/>
          <w:i/>
          <w:color w:val="auto"/>
          <w:sz w:val="22"/>
          <w:szCs w:val="22"/>
        </w:rPr>
      </w:pPr>
      <w:bookmarkStart w:id="2" w:name="_Toc71529773"/>
      <w:bookmarkStart w:id="3" w:name="_Toc72910384"/>
      <w:proofErr w:type="spellStart"/>
      <w:r w:rsidRPr="00607F56">
        <w:rPr>
          <w:rFonts w:ascii="Times New Roman" w:hAnsi="Times New Roman"/>
          <w:b w:val="0"/>
          <w:i/>
          <w:color w:val="auto"/>
          <w:sz w:val="22"/>
          <w:szCs w:val="22"/>
        </w:rPr>
        <w:t>Фигура</w:t>
      </w:r>
      <w:proofErr w:type="spellEnd"/>
      <w:r w:rsidRPr="00607F56">
        <w:rPr>
          <w:rFonts w:ascii="Times New Roman" w:hAnsi="Times New Roman"/>
          <w:b w:val="0"/>
          <w:i/>
          <w:color w:val="auto"/>
          <w:sz w:val="22"/>
          <w:szCs w:val="22"/>
        </w:rPr>
        <w:t xml:space="preserve"> </w:t>
      </w:r>
      <w:r w:rsidRPr="00607F56">
        <w:rPr>
          <w:rFonts w:ascii="Times New Roman" w:hAnsi="Times New Roman"/>
          <w:b w:val="0"/>
          <w:i/>
          <w:color w:val="auto"/>
          <w:sz w:val="22"/>
          <w:szCs w:val="22"/>
        </w:rPr>
        <w:fldChar w:fldCharType="begin"/>
      </w:r>
      <w:r w:rsidRPr="00607F56">
        <w:rPr>
          <w:rFonts w:ascii="Times New Roman" w:hAnsi="Times New Roman"/>
          <w:b w:val="0"/>
          <w:i/>
          <w:color w:val="auto"/>
          <w:sz w:val="22"/>
          <w:szCs w:val="22"/>
        </w:rPr>
        <w:instrText xml:space="preserve"> SEQ Фигура \* ARABIC </w:instrText>
      </w:r>
      <w:r w:rsidRPr="00607F56">
        <w:rPr>
          <w:rFonts w:ascii="Times New Roman" w:hAnsi="Times New Roman"/>
          <w:b w:val="0"/>
          <w:i/>
          <w:color w:val="auto"/>
          <w:sz w:val="22"/>
          <w:szCs w:val="22"/>
        </w:rPr>
        <w:fldChar w:fldCharType="separate"/>
      </w:r>
      <w:r w:rsidR="008059A7">
        <w:rPr>
          <w:rFonts w:ascii="Times New Roman" w:hAnsi="Times New Roman"/>
          <w:b w:val="0"/>
          <w:i/>
          <w:noProof/>
          <w:color w:val="auto"/>
          <w:sz w:val="22"/>
          <w:szCs w:val="22"/>
        </w:rPr>
        <w:t>1</w:t>
      </w:r>
      <w:r w:rsidRPr="00607F56">
        <w:rPr>
          <w:rFonts w:ascii="Times New Roman" w:hAnsi="Times New Roman"/>
          <w:b w:val="0"/>
          <w:i/>
          <w:color w:val="auto"/>
          <w:sz w:val="22"/>
          <w:szCs w:val="22"/>
        </w:rPr>
        <w:fldChar w:fldCharType="end"/>
      </w:r>
      <w:r w:rsidRPr="00607F56">
        <w:rPr>
          <w:rFonts w:ascii="Times New Roman" w:hAnsi="Times New Roman"/>
          <w:b w:val="0"/>
          <w:i/>
          <w:color w:val="auto"/>
          <w:sz w:val="22"/>
          <w:szCs w:val="22"/>
        </w:rPr>
        <w:t xml:space="preserve"> </w:t>
      </w:r>
      <w:proofErr w:type="spellStart"/>
      <w:r w:rsidR="0042190C" w:rsidRPr="00607F56">
        <w:rPr>
          <w:rStyle w:val="a1"/>
          <w:rFonts w:ascii="Times New Roman" w:hAnsi="Times New Roman"/>
          <w:b w:val="0"/>
          <w:i/>
          <w:color w:val="auto"/>
          <w:sz w:val="22"/>
          <w:szCs w:val="22"/>
          <w:lang w:eastAsia="ar-SA"/>
        </w:rPr>
        <w:t>Колебания</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средната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годишна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температура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въздуха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vertAlign w:val="superscript"/>
          <w:lang w:eastAsia="ar-SA"/>
        </w:rPr>
        <w:t>о</w:t>
      </w:r>
      <w:r w:rsidR="0042190C" w:rsidRPr="00607F56">
        <w:rPr>
          <w:rStyle w:val="a1"/>
          <w:rFonts w:ascii="Times New Roman" w:hAnsi="Times New Roman"/>
          <w:b w:val="0"/>
          <w:i/>
          <w:color w:val="auto"/>
          <w:sz w:val="22"/>
          <w:szCs w:val="22"/>
          <w:lang w:eastAsia="ar-SA"/>
        </w:rPr>
        <w:t>С</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през</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периода</w:t>
      </w:r>
      <w:proofErr w:type="spellEnd"/>
      <w:r w:rsidR="0042190C" w:rsidRPr="00607F56">
        <w:rPr>
          <w:rStyle w:val="a1"/>
          <w:rFonts w:ascii="Times New Roman" w:hAnsi="Times New Roman"/>
          <w:b w:val="0"/>
          <w:i/>
          <w:color w:val="auto"/>
          <w:sz w:val="22"/>
          <w:szCs w:val="22"/>
          <w:lang w:eastAsia="ar-SA"/>
        </w:rPr>
        <w:t xml:space="preserve"> 1988-2018 г.</w:t>
      </w:r>
      <w:bookmarkEnd w:id="2"/>
      <w:bookmarkEnd w:id="3"/>
    </w:p>
    <w:p w14:paraId="1630B701" w14:textId="77777777" w:rsidR="008B1EFF" w:rsidRDefault="0042190C">
      <w:pPr>
        <w:pStyle w:val="a0"/>
        <w:spacing w:before="120" w:line="276" w:lineRule="auto"/>
        <w:jc w:val="center"/>
      </w:pPr>
      <w:r>
        <w:rPr>
          <w:rStyle w:val="a1"/>
          <w:b/>
          <w:bCs/>
          <w:noProof/>
          <w:lang w:val="en-GB" w:eastAsia="en-GB"/>
        </w:rPr>
        <w:drawing>
          <wp:inline distT="0" distB="0" distL="0" distR="0" wp14:anchorId="069ACB76" wp14:editId="7B7C1AAC">
            <wp:extent cx="5026054" cy="1998668"/>
            <wp:effectExtent l="0" t="0" r="3146" b="1582"/>
            <wp:docPr id="1" name="Picture 160" descr="http://eea.government.bg/bg/soer/2018/climate/figuri/climat1.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rcRect/>
                    <a:stretch>
                      <a:fillRect/>
                    </a:stretch>
                  </pic:blipFill>
                  <pic:spPr>
                    <a:xfrm>
                      <a:off x="0" y="0"/>
                      <a:ext cx="5026054" cy="1998668"/>
                    </a:xfrm>
                    <a:prstGeom prst="rect">
                      <a:avLst/>
                    </a:prstGeom>
                    <a:noFill/>
                    <a:ln>
                      <a:noFill/>
                      <a:prstDash/>
                    </a:ln>
                  </pic:spPr>
                </pic:pic>
              </a:graphicData>
            </a:graphic>
          </wp:inline>
        </w:drawing>
      </w:r>
    </w:p>
    <w:p w14:paraId="65E94D92" w14:textId="77777777" w:rsidR="008B1EFF" w:rsidRPr="002E54A0" w:rsidRDefault="0042190C">
      <w:pPr>
        <w:pStyle w:val="a0"/>
        <w:spacing w:before="120" w:line="276" w:lineRule="auto"/>
        <w:rPr>
          <w:sz w:val="22"/>
          <w:szCs w:val="22"/>
        </w:rPr>
      </w:pPr>
      <w:r w:rsidRPr="002E54A0">
        <w:rPr>
          <w:rStyle w:val="a1"/>
          <w:i/>
          <w:iCs/>
          <w:sz w:val="22"/>
          <w:szCs w:val="22"/>
        </w:rPr>
        <w:t>Източник: НИМХ</w:t>
      </w:r>
    </w:p>
    <w:p w14:paraId="4251BA52" w14:textId="77777777" w:rsidR="008B1EFF" w:rsidRPr="002E54A0" w:rsidRDefault="0042190C">
      <w:pPr>
        <w:pStyle w:val="a0"/>
        <w:spacing w:before="120" w:after="120" w:line="264" w:lineRule="auto"/>
        <w:jc w:val="both"/>
        <w:rPr>
          <w:sz w:val="22"/>
          <w:szCs w:val="22"/>
        </w:rPr>
      </w:pPr>
      <w:r w:rsidRPr="002E54A0">
        <w:rPr>
          <w:sz w:val="22"/>
          <w:szCs w:val="22"/>
        </w:rPr>
        <w:t xml:space="preserve">През 2018 г. годишната температура на въздуха за районите с </w:t>
      </w:r>
      <w:proofErr w:type="spellStart"/>
      <w:r w:rsidRPr="002E54A0">
        <w:rPr>
          <w:sz w:val="22"/>
          <w:szCs w:val="22"/>
        </w:rPr>
        <w:t>н.в.</w:t>
      </w:r>
      <w:proofErr w:type="spellEnd"/>
      <w:r w:rsidRPr="002E54A0">
        <w:rPr>
          <w:sz w:val="22"/>
          <w:szCs w:val="22"/>
        </w:rPr>
        <w:t xml:space="preserve"> до 800 m е средно с 1.5 °С над нормата. Тъй като приблизително 61% от горите в България са в зоната под 800 м надморска височина, то по-голямата част от българските гори ще бъдат засегнати от драстични климатични промени. </w:t>
      </w:r>
    </w:p>
    <w:p w14:paraId="5465C54A" w14:textId="77777777" w:rsidR="008B1EFF" w:rsidRPr="002E54A0" w:rsidRDefault="0042190C">
      <w:pPr>
        <w:pStyle w:val="a0"/>
        <w:spacing w:before="120" w:after="120" w:line="264" w:lineRule="auto"/>
        <w:jc w:val="both"/>
        <w:rPr>
          <w:sz w:val="22"/>
          <w:szCs w:val="22"/>
        </w:rPr>
      </w:pPr>
      <w:r w:rsidRPr="002E54A0">
        <w:rPr>
          <w:rStyle w:val="a1"/>
          <w:b/>
          <w:bCs/>
          <w:sz w:val="22"/>
          <w:szCs w:val="22"/>
        </w:rPr>
        <w:t>Средногодишна сума на валежа</w:t>
      </w:r>
    </w:p>
    <w:p w14:paraId="5F4E7821" w14:textId="089974A2" w:rsidR="008B1EFF" w:rsidRDefault="0042190C">
      <w:pPr>
        <w:pStyle w:val="a0"/>
        <w:spacing w:before="120" w:after="120" w:line="264" w:lineRule="auto"/>
        <w:jc w:val="both"/>
        <w:rPr>
          <w:sz w:val="22"/>
          <w:szCs w:val="22"/>
          <w:lang w:val="en-GB"/>
        </w:rPr>
      </w:pPr>
      <w:r w:rsidRPr="002E54A0">
        <w:rPr>
          <w:sz w:val="22"/>
          <w:szCs w:val="22"/>
        </w:rPr>
        <w:t xml:space="preserve">Средногодишната сума на валежите през 2018 г. (за районите с </w:t>
      </w:r>
      <w:proofErr w:type="spellStart"/>
      <w:r w:rsidRPr="002E54A0">
        <w:rPr>
          <w:sz w:val="22"/>
          <w:szCs w:val="22"/>
        </w:rPr>
        <w:t>н.в.</w:t>
      </w:r>
      <w:proofErr w:type="spellEnd"/>
      <w:r w:rsidRPr="002E54A0">
        <w:rPr>
          <w:sz w:val="22"/>
          <w:szCs w:val="22"/>
        </w:rPr>
        <w:t xml:space="preserve"> до 800 m) е 711 mm (Фиг</w:t>
      </w:r>
      <w:r w:rsidR="00607F56" w:rsidRPr="00607F56">
        <w:t xml:space="preserve"> 2</w:t>
      </w:r>
      <w:r w:rsidRPr="002E54A0">
        <w:rPr>
          <w:sz w:val="22"/>
          <w:szCs w:val="22"/>
        </w:rPr>
        <w:t>). Средно за страната годишният валеж е около нормата за периода 1961-1990 г., с изключение на някои райони в Южна и Източна Република България (130-150% от нормата).</w:t>
      </w:r>
    </w:p>
    <w:p w14:paraId="105B358A" w14:textId="77777777" w:rsidR="002700D9" w:rsidRDefault="002700D9" w:rsidP="00607F56">
      <w:pPr>
        <w:pStyle w:val="Caption"/>
        <w:rPr>
          <w:rStyle w:val="a1"/>
          <w:rFonts w:ascii="Times New Roman" w:hAnsi="Times New Roman"/>
          <w:b w:val="0"/>
          <w:i/>
          <w:color w:val="auto"/>
          <w:sz w:val="22"/>
          <w:szCs w:val="22"/>
          <w:lang w:val="bg-BG" w:eastAsia="ar-SA"/>
        </w:rPr>
      </w:pPr>
      <w:bookmarkStart w:id="4" w:name="_Toc71529775"/>
      <w:bookmarkStart w:id="5" w:name="_Toc72910385"/>
    </w:p>
    <w:p w14:paraId="1621A6A8" w14:textId="77777777" w:rsidR="002700D9" w:rsidRDefault="002700D9" w:rsidP="00607F56">
      <w:pPr>
        <w:pStyle w:val="Caption"/>
        <w:rPr>
          <w:rStyle w:val="a1"/>
          <w:rFonts w:ascii="Times New Roman" w:hAnsi="Times New Roman"/>
          <w:b w:val="0"/>
          <w:i/>
          <w:color w:val="auto"/>
          <w:sz w:val="22"/>
          <w:szCs w:val="22"/>
          <w:lang w:val="bg-BG" w:eastAsia="ar-SA"/>
        </w:rPr>
      </w:pPr>
    </w:p>
    <w:p w14:paraId="2403455D" w14:textId="77777777" w:rsidR="002700D9" w:rsidRDefault="002700D9" w:rsidP="00607F56">
      <w:pPr>
        <w:pStyle w:val="Caption"/>
        <w:rPr>
          <w:rStyle w:val="a1"/>
          <w:rFonts w:ascii="Times New Roman" w:hAnsi="Times New Roman"/>
          <w:b w:val="0"/>
          <w:i/>
          <w:color w:val="auto"/>
          <w:sz w:val="22"/>
          <w:szCs w:val="22"/>
          <w:lang w:val="bg-BG" w:eastAsia="ar-SA"/>
        </w:rPr>
      </w:pPr>
    </w:p>
    <w:p w14:paraId="2C88BB75" w14:textId="77777777" w:rsidR="002700D9" w:rsidRDefault="002700D9" w:rsidP="00607F56">
      <w:pPr>
        <w:pStyle w:val="Caption"/>
        <w:rPr>
          <w:rStyle w:val="a1"/>
          <w:rFonts w:ascii="Times New Roman" w:hAnsi="Times New Roman"/>
          <w:b w:val="0"/>
          <w:i/>
          <w:color w:val="auto"/>
          <w:sz w:val="22"/>
          <w:szCs w:val="22"/>
          <w:lang w:val="bg-BG" w:eastAsia="ar-SA"/>
        </w:rPr>
      </w:pPr>
    </w:p>
    <w:p w14:paraId="148C3399" w14:textId="77777777" w:rsidR="002700D9" w:rsidRDefault="002700D9" w:rsidP="00607F56">
      <w:pPr>
        <w:pStyle w:val="Caption"/>
        <w:rPr>
          <w:rStyle w:val="a1"/>
          <w:rFonts w:ascii="Times New Roman" w:hAnsi="Times New Roman"/>
          <w:b w:val="0"/>
          <w:i/>
          <w:color w:val="auto"/>
          <w:sz w:val="22"/>
          <w:szCs w:val="22"/>
          <w:lang w:val="bg-BG" w:eastAsia="ar-SA"/>
        </w:rPr>
      </w:pPr>
    </w:p>
    <w:p w14:paraId="61A441FB" w14:textId="77777777" w:rsidR="002700D9" w:rsidRDefault="002700D9" w:rsidP="00607F56">
      <w:pPr>
        <w:pStyle w:val="Caption"/>
        <w:rPr>
          <w:rStyle w:val="a1"/>
          <w:rFonts w:ascii="Times New Roman" w:hAnsi="Times New Roman"/>
          <w:b w:val="0"/>
          <w:i/>
          <w:color w:val="auto"/>
          <w:sz w:val="22"/>
          <w:szCs w:val="22"/>
          <w:lang w:val="bg-BG" w:eastAsia="ar-SA"/>
        </w:rPr>
      </w:pPr>
    </w:p>
    <w:p w14:paraId="75842C5F" w14:textId="77777777" w:rsidR="002700D9" w:rsidRDefault="002700D9" w:rsidP="00607F56">
      <w:pPr>
        <w:pStyle w:val="Caption"/>
        <w:rPr>
          <w:rStyle w:val="a1"/>
          <w:rFonts w:ascii="Times New Roman" w:hAnsi="Times New Roman"/>
          <w:b w:val="0"/>
          <w:i/>
          <w:color w:val="auto"/>
          <w:sz w:val="22"/>
          <w:szCs w:val="22"/>
          <w:lang w:val="bg-BG" w:eastAsia="ar-SA"/>
        </w:rPr>
      </w:pPr>
    </w:p>
    <w:p w14:paraId="6063786E" w14:textId="60544E86" w:rsidR="008B1EFF" w:rsidRPr="00607F56" w:rsidRDefault="00607F56" w:rsidP="00607F56">
      <w:pPr>
        <w:pStyle w:val="Caption"/>
        <w:rPr>
          <w:rStyle w:val="a1"/>
          <w:rFonts w:ascii="Times New Roman" w:hAnsi="Times New Roman"/>
          <w:b w:val="0"/>
          <w:i/>
          <w:color w:val="auto"/>
          <w:sz w:val="22"/>
          <w:szCs w:val="22"/>
          <w:lang w:eastAsia="ar-SA"/>
        </w:rPr>
      </w:pPr>
      <w:proofErr w:type="spellStart"/>
      <w:r w:rsidRPr="00607F56">
        <w:rPr>
          <w:rStyle w:val="a1"/>
          <w:rFonts w:ascii="Times New Roman" w:hAnsi="Times New Roman"/>
          <w:b w:val="0"/>
          <w:i/>
          <w:color w:val="auto"/>
          <w:sz w:val="22"/>
          <w:szCs w:val="22"/>
          <w:lang w:eastAsia="ar-SA"/>
        </w:rPr>
        <w:t>Фигура</w:t>
      </w:r>
      <w:proofErr w:type="spellEnd"/>
      <w:r w:rsidRPr="00607F56">
        <w:rPr>
          <w:rStyle w:val="a1"/>
          <w:rFonts w:ascii="Times New Roman" w:hAnsi="Times New Roman"/>
          <w:b w:val="0"/>
          <w:i/>
          <w:color w:val="auto"/>
          <w:sz w:val="22"/>
          <w:szCs w:val="22"/>
          <w:lang w:eastAsia="ar-SA"/>
        </w:rPr>
        <w:t xml:space="preserve"> </w:t>
      </w:r>
      <w:r w:rsidRPr="00607F56">
        <w:rPr>
          <w:rStyle w:val="a1"/>
          <w:rFonts w:ascii="Times New Roman" w:hAnsi="Times New Roman"/>
          <w:b w:val="0"/>
          <w:i/>
          <w:color w:val="auto"/>
          <w:sz w:val="22"/>
          <w:szCs w:val="22"/>
          <w:lang w:eastAsia="ar-SA"/>
        </w:rPr>
        <w:fldChar w:fldCharType="begin"/>
      </w:r>
      <w:r w:rsidRPr="00607F56">
        <w:rPr>
          <w:rStyle w:val="a1"/>
          <w:rFonts w:ascii="Times New Roman" w:hAnsi="Times New Roman"/>
          <w:b w:val="0"/>
          <w:i/>
          <w:color w:val="auto"/>
          <w:sz w:val="22"/>
          <w:szCs w:val="22"/>
          <w:lang w:eastAsia="ar-SA"/>
        </w:rPr>
        <w:instrText xml:space="preserve"> SEQ Фигура \* ARABIC </w:instrText>
      </w:r>
      <w:r w:rsidRPr="00607F56">
        <w:rPr>
          <w:rStyle w:val="a1"/>
          <w:rFonts w:ascii="Times New Roman" w:hAnsi="Times New Roman"/>
          <w:b w:val="0"/>
          <w:i/>
          <w:color w:val="auto"/>
          <w:sz w:val="22"/>
          <w:szCs w:val="22"/>
          <w:lang w:eastAsia="ar-SA"/>
        </w:rPr>
        <w:fldChar w:fldCharType="separate"/>
      </w:r>
      <w:r w:rsidR="008059A7">
        <w:rPr>
          <w:rStyle w:val="a1"/>
          <w:rFonts w:ascii="Times New Roman" w:hAnsi="Times New Roman"/>
          <w:b w:val="0"/>
          <w:i/>
          <w:noProof/>
          <w:color w:val="auto"/>
          <w:sz w:val="22"/>
          <w:szCs w:val="22"/>
          <w:lang w:eastAsia="ar-SA"/>
        </w:rPr>
        <w:t>2</w:t>
      </w:r>
      <w:r w:rsidRPr="00607F56">
        <w:rPr>
          <w:rStyle w:val="a1"/>
          <w:rFonts w:ascii="Times New Roman" w:hAnsi="Times New Roman"/>
          <w:b w:val="0"/>
          <w:i/>
          <w:color w:val="auto"/>
          <w:sz w:val="22"/>
          <w:szCs w:val="22"/>
          <w:lang w:eastAsia="ar-SA"/>
        </w:rPr>
        <w:fldChar w:fldCharType="end"/>
      </w:r>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Колебания</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средногодишната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сума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валежа</w:t>
      </w:r>
      <w:proofErr w:type="spellEnd"/>
      <w:r w:rsidR="0042190C" w:rsidRPr="00607F56">
        <w:rPr>
          <w:rStyle w:val="a1"/>
          <w:rFonts w:ascii="Times New Roman" w:hAnsi="Times New Roman"/>
          <w:b w:val="0"/>
          <w:i/>
          <w:color w:val="auto"/>
          <w:sz w:val="22"/>
          <w:szCs w:val="22"/>
          <w:lang w:eastAsia="ar-SA"/>
        </w:rPr>
        <w:t xml:space="preserve"> (в mm) </w:t>
      </w:r>
      <w:proofErr w:type="spellStart"/>
      <w:r w:rsidR="0042190C" w:rsidRPr="00607F56">
        <w:rPr>
          <w:rStyle w:val="a1"/>
          <w:rFonts w:ascii="Times New Roman" w:hAnsi="Times New Roman"/>
          <w:b w:val="0"/>
          <w:i/>
          <w:color w:val="auto"/>
          <w:sz w:val="22"/>
          <w:szCs w:val="22"/>
          <w:lang w:eastAsia="ar-SA"/>
        </w:rPr>
        <w:t>през</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периода</w:t>
      </w:r>
      <w:proofErr w:type="spellEnd"/>
      <w:r w:rsidR="0042190C" w:rsidRPr="00607F56">
        <w:rPr>
          <w:rStyle w:val="a1"/>
          <w:rFonts w:ascii="Times New Roman" w:hAnsi="Times New Roman"/>
          <w:b w:val="0"/>
          <w:i/>
          <w:color w:val="auto"/>
          <w:sz w:val="22"/>
          <w:szCs w:val="22"/>
          <w:lang w:eastAsia="ar-SA"/>
        </w:rPr>
        <w:t xml:space="preserve"> 1988-2018 г.</w:t>
      </w:r>
      <w:bookmarkEnd w:id="4"/>
      <w:bookmarkEnd w:id="5"/>
    </w:p>
    <w:p w14:paraId="63100A1F" w14:textId="77777777" w:rsidR="008B1EFF" w:rsidRDefault="0042190C">
      <w:pPr>
        <w:pStyle w:val="a0"/>
        <w:spacing w:before="120" w:line="276" w:lineRule="auto"/>
        <w:jc w:val="center"/>
      </w:pPr>
      <w:r>
        <w:rPr>
          <w:rStyle w:val="a1"/>
          <w:noProof/>
          <w:lang w:val="en-GB" w:eastAsia="en-GB"/>
        </w:rPr>
        <w:lastRenderedPageBreak/>
        <w:drawing>
          <wp:inline distT="0" distB="0" distL="0" distR="0" wp14:anchorId="63182A26" wp14:editId="3115E2C6">
            <wp:extent cx="4960720" cy="1960875"/>
            <wp:effectExtent l="0" t="0" r="0" b="1275"/>
            <wp:docPr id="2" name="Picture 162" descr="http://eea.government.bg/bg/soer/2018/climate/figuri/climat3.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rcRect/>
                    <a:stretch>
                      <a:fillRect/>
                    </a:stretch>
                  </pic:blipFill>
                  <pic:spPr>
                    <a:xfrm>
                      <a:off x="0" y="0"/>
                      <a:ext cx="4960720" cy="1960875"/>
                    </a:xfrm>
                    <a:prstGeom prst="rect">
                      <a:avLst/>
                    </a:prstGeom>
                    <a:noFill/>
                    <a:ln>
                      <a:noFill/>
                      <a:prstDash/>
                    </a:ln>
                  </pic:spPr>
                </pic:pic>
              </a:graphicData>
            </a:graphic>
          </wp:inline>
        </w:drawing>
      </w:r>
    </w:p>
    <w:p w14:paraId="79613242" w14:textId="77777777" w:rsidR="008B1EFF" w:rsidRDefault="0042190C">
      <w:pPr>
        <w:pStyle w:val="a0"/>
        <w:spacing w:before="120" w:line="276" w:lineRule="auto"/>
      </w:pPr>
      <w:r>
        <w:rPr>
          <w:rStyle w:val="a1"/>
          <w:i/>
          <w:iCs/>
          <w:sz w:val="20"/>
          <w:szCs w:val="20"/>
        </w:rPr>
        <w:t>Източник: НИМХ</w:t>
      </w:r>
      <w:r>
        <w:rPr>
          <w:rStyle w:val="a1"/>
          <w:b/>
          <w:bCs/>
          <w:sz w:val="20"/>
          <w:szCs w:val="20"/>
        </w:rPr>
        <w:t xml:space="preserve"> </w:t>
      </w:r>
    </w:p>
    <w:p w14:paraId="20D1F681" w14:textId="77777777" w:rsidR="008B1EFF" w:rsidRPr="002E54A0" w:rsidRDefault="0042190C" w:rsidP="002E54A0">
      <w:pPr>
        <w:pStyle w:val="a0"/>
        <w:spacing w:before="120" w:line="276" w:lineRule="auto"/>
        <w:jc w:val="both"/>
        <w:rPr>
          <w:sz w:val="22"/>
          <w:szCs w:val="22"/>
        </w:rPr>
      </w:pPr>
      <w:r w:rsidRPr="002E54A0">
        <w:rPr>
          <w:sz w:val="22"/>
          <w:szCs w:val="22"/>
        </w:rPr>
        <w:t xml:space="preserve">Най-валежните месеци са февруари, март и юли, с валежи средно над два пъти повече от месечната норма (до 438% в с. Бъзовец, обл. Монтана през юли). Най-сух е август, когато валежите за равнинните и полупланински части от страната са около 41% от нормата за месеца. </w:t>
      </w:r>
    </w:p>
    <w:p w14:paraId="31EA7553" w14:textId="77777777" w:rsidR="008B1EFF" w:rsidRPr="002E54A0" w:rsidRDefault="0042190C" w:rsidP="002E54A0">
      <w:pPr>
        <w:pStyle w:val="a0"/>
        <w:spacing w:before="120" w:line="276" w:lineRule="auto"/>
        <w:jc w:val="both"/>
        <w:rPr>
          <w:sz w:val="22"/>
          <w:szCs w:val="22"/>
        </w:rPr>
      </w:pPr>
      <w:r w:rsidRPr="002E54A0">
        <w:rPr>
          <w:sz w:val="22"/>
          <w:szCs w:val="22"/>
        </w:rPr>
        <w:t>В периода 1988-2018 г. се наблюдава нарастваща тенденция в колебанията на максималния 24-часов валеж в районите с надморска височина до 800 m.</w:t>
      </w:r>
    </w:p>
    <w:p w14:paraId="0AA3CF6A" w14:textId="1A6D2A56" w:rsidR="008B1EFF" w:rsidRPr="00607F56" w:rsidRDefault="00607F56" w:rsidP="00607F56">
      <w:pPr>
        <w:pStyle w:val="Caption"/>
        <w:rPr>
          <w:rStyle w:val="a1"/>
          <w:rFonts w:ascii="Times New Roman" w:hAnsi="Times New Roman"/>
          <w:b w:val="0"/>
          <w:i/>
          <w:color w:val="auto"/>
          <w:sz w:val="22"/>
          <w:szCs w:val="22"/>
          <w:lang w:eastAsia="ar-SA"/>
        </w:rPr>
      </w:pPr>
      <w:bookmarkStart w:id="6" w:name="_Toc71529777"/>
      <w:bookmarkStart w:id="7" w:name="_Toc72910386"/>
      <w:proofErr w:type="spellStart"/>
      <w:r w:rsidRPr="00607F56">
        <w:rPr>
          <w:rStyle w:val="a1"/>
          <w:rFonts w:ascii="Times New Roman" w:hAnsi="Times New Roman"/>
          <w:b w:val="0"/>
          <w:i/>
          <w:color w:val="auto"/>
          <w:sz w:val="22"/>
          <w:szCs w:val="22"/>
          <w:lang w:eastAsia="ar-SA"/>
        </w:rPr>
        <w:t>Фигура</w:t>
      </w:r>
      <w:proofErr w:type="spellEnd"/>
      <w:r w:rsidRPr="00607F56">
        <w:rPr>
          <w:rStyle w:val="a1"/>
          <w:rFonts w:ascii="Times New Roman" w:hAnsi="Times New Roman"/>
          <w:b w:val="0"/>
          <w:i/>
          <w:color w:val="auto"/>
          <w:sz w:val="22"/>
          <w:szCs w:val="22"/>
          <w:lang w:eastAsia="ar-SA"/>
        </w:rPr>
        <w:t xml:space="preserve"> </w:t>
      </w:r>
      <w:r w:rsidRPr="00607F56">
        <w:rPr>
          <w:rStyle w:val="a1"/>
          <w:rFonts w:ascii="Times New Roman" w:hAnsi="Times New Roman"/>
          <w:b w:val="0"/>
          <w:i/>
          <w:color w:val="auto"/>
          <w:sz w:val="22"/>
          <w:szCs w:val="22"/>
          <w:lang w:eastAsia="ar-SA"/>
        </w:rPr>
        <w:fldChar w:fldCharType="begin"/>
      </w:r>
      <w:r w:rsidRPr="00607F56">
        <w:rPr>
          <w:rStyle w:val="a1"/>
          <w:rFonts w:ascii="Times New Roman" w:hAnsi="Times New Roman"/>
          <w:b w:val="0"/>
          <w:i/>
          <w:color w:val="auto"/>
          <w:sz w:val="22"/>
          <w:szCs w:val="22"/>
          <w:lang w:eastAsia="ar-SA"/>
        </w:rPr>
        <w:instrText xml:space="preserve"> SEQ Фигура \* ARABIC </w:instrText>
      </w:r>
      <w:r w:rsidRPr="00607F56">
        <w:rPr>
          <w:rStyle w:val="a1"/>
          <w:rFonts w:ascii="Times New Roman" w:hAnsi="Times New Roman"/>
          <w:b w:val="0"/>
          <w:i/>
          <w:color w:val="auto"/>
          <w:sz w:val="22"/>
          <w:szCs w:val="22"/>
          <w:lang w:eastAsia="ar-SA"/>
        </w:rPr>
        <w:fldChar w:fldCharType="separate"/>
      </w:r>
      <w:r w:rsidR="008059A7">
        <w:rPr>
          <w:rStyle w:val="a1"/>
          <w:rFonts w:ascii="Times New Roman" w:hAnsi="Times New Roman"/>
          <w:b w:val="0"/>
          <w:i/>
          <w:noProof/>
          <w:color w:val="auto"/>
          <w:sz w:val="22"/>
          <w:szCs w:val="22"/>
          <w:lang w:eastAsia="ar-SA"/>
        </w:rPr>
        <w:t>3</w:t>
      </w:r>
      <w:r w:rsidRPr="00607F56">
        <w:rPr>
          <w:rStyle w:val="a1"/>
          <w:rFonts w:ascii="Times New Roman" w:hAnsi="Times New Roman"/>
          <w:b w:val="0"/>
          <w:i/>
          <w:color w:val="auto"/>
          <w:sz w:val="22"/>
          <w:szCs w:val="22"/>
          <w:lang w:eastAsia="ar-SA"/>
        </w:rPr>
        <w:fldChar w:fldCharType="end"/>
      </w:r>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Колебания</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максималния</w:t>
      </w:r>
      <w:proofErr w:type="spellEnd"/>
      <w:r w:rsidR="0042190C" w:rsidRPr="00607F56">
        <w:rPr>
          <w:rStyle w:val="a1"/>
          <w:rFonts w:ascii="Times New Roman" w:hAnsi="Times New Roman"/>
          <w:b w:val="0"/>
          <w:i/>
          <w:color w:val="auto"/>
          <w:sz w:val="22"/>
          <w:szCs w:val="22"/>
          <w:lang w:eastAsia="ar-SA"/>
        </w:rPr>
        <w:t xml:space="preserve"> 24-часов </w:t>
      </w:r>
      <w:proofErr w:type="spellStart"/>
      <w:r w:rsidR="0042190C" w:rsidRPr="00607F56">
        <w:rPr>
          <w:rStyle w:val="a1"/>
          <w:rFonts w:ascii="Times New Roman" w:hAnsi="Times New Roman"/>
          <w:b w:val="0"/>
          <w:i/>
          <w:color w:val="auto"/>
          <w:sz w:val="22"/>
          <w:szCs w:val="22"/>
          <w:lang w:eastAsia="ar-SA"/>
        </w:rPr>
        <w:t>валеж</w:t>
      </w:r>
      <w:proofErr w:type="spellEnd"/>
      <w:r w:rsidR="0042190C" w:rsidRPr="00607F56">
        <w:rPr>
          <w:rStyle w:val="a1"/>
          <w:rFonts w:ascii="Times New Roman" w:hAnsi="Times New Roman"/>
          <w:b w:val="0"/>
          <w:i/>
          <w:color w:val="auto"/>
          <w:sz w:val="22"/>
          <w:szCs w:val="22"/>
          <w:lang w:eastAsia="ar-SA"/>
        </w:rPr>
        <w:t xml:space="preserve"> (mm) </w:t>
      </w:r>
      <w:proofErr w:type="spellStart"/>
      <w:r w:rsidR="0042190C" w:rsidRPr="00607F56">
        <w:rPr>
          <w:rStyle w:val="a1"/>
          <w:rFonts w:ascii="Times New Roman" w:hAnsi="Times New Roman"/>
          <w:b w:val="0"/>
          <w:i/>
          <w:color w:val="auto"/>
          <w:sz w:val="22"/>
          <w:szCs w:val="22"/>
          <w:lang w:eastAsia="ar-SA"/>
        </w:rPr>
        <w:t>през</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периода</w:t>
      </w:r>
      <w:proofErr w:type="spellEnd"/>
      <w:r w:rsidR="0042190C" w:rsidRPr="00607F56">
        <w:rPr>
          <w:rStyle w:val="a1"/>
          <w:rFonts w:ascii="Times New Roman" w:hAnsi="Times New Roman"/>
          <w:b w:val="0"/>
          <w:i/>
          <w:color w:val="auto"/>
          <w:sz w:val="22"/>
          <w:szCs w:val="22"/>
          <w:lang w:eastAsia="ar-SA"/>
        </w:rPr>
        <w:t xml:space="preserve"> 1988-2018 г.</w:t>
      </w:r>
      <w:bookmarkEnd w:id="6"/>
      <w:bookmarkEnd w:id="7"/>
    </w:p>
    <w:p w14:paraId="4958DC51" w14:textId="77777777" w:rsidR="008B1EFF" w:rsidRDefault="0042190C">
      <w:pPr>
        <w:pStyle w:val="a0"/>
        <w:spacing w:before="120" w:line="276" w:lineRule="auto"/>
        <w:jc w:val="center"/>
      </w:pPr>
      <w:r>
        <w:rPr>
          <w:rStyle w:val="a1"/>
          <w:b/>
          <w:bCs/>
          <w:noProof/>
          <w:lang w:val="en-GB" w:eastAsia="en-GB"/>
        </w:rPr>
        <w:drawing>
          <wp:inline distT="0" distB="0" distL="0" distR="0" wp14:anchorId="2FA9A025" wp14:editId="19717998">
            <wp:extent cx="4806699" cy="2187692"/>
            <wp:effectExtent l="0" t="0" r="0" b="3058"/>
            <wp:docPr id="3" name="Picture 164" descr="http://eea.government.bg/bg/soer/2018/climate/figuri/climat5.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rcRect/>
                    <a:stretch>
                      <a:fillRect/>
                    </a:stretch>
                  </pic:blipFill>
                  <pic:spPr>
                    <a:xfrm>
                      <a:off x="0" y="0"/>
                      <a:ext cx="4806699" cy="2187692"/>
                    </a:xfrm>
                    <a:prstGeom prst="rect">
                      <a:avLst/>
                    </a:prstGeom>
                    <a:noFill/>
                    <a:ln>
                      <a:noFill/>
                      <a:prstDash/>
                    </a:ln>
                  </pic:spPr>
                </pic:pic>
              </a:graphicData>
            </a:graphic>
          </wp:inline>
        </w:drawing>
      </w:r>
    </w:p>
    <w:p w14:paraId="7108DBDA" w14:textId="77777777" w:rsidR="008B1EFF" w:rsidRDefault="0042190C">
      <w:pPr>
        <w:pStyle w:val="a0"/>
        <w:spacing w:line="276" w:lineRule="auto"/>
      </w:pPr>
      <w:r>
        <w:rPr>
          <w:rStyle w:val="a1"/>
          <w:i/>
          <w:iCs/>
          <w:sz w:val="20"/>
          <w:szCs w:val="20"/>
        </w:rPr>
        <w:t>Източник: НИМХ</w:t>
      </w:r>
    </w:p>
    <w:p w14:paraId="7BE71E85" w14:textId="77777777" w:rsidR="008B1EFF" w:rsidRDefault="0042190C">
      <w:pPr>
        <w:pStyle w:val="a0"/>
        <w:spacing w:before="120" w:line="276" w:lineRule="auto"/>
        <w:jc w:val="both"/>
      </w:pPr>
      <w:r>
        <w:rPr>
          <w:rStyle w:val="a1"/>
          <w:b/>
          <w:bCs/>
        </w:rPr>
        <w:t>Сняг</w:t>
      </w:r>
    </w:p>
    <w:p w14:paraId="6C8ADCE9" w14:textId="4F32CAD1" w:rsidR="008B1EFF" w:rsidRPr="002E54A0" w:rsidRDefault="0042190C">
      <w:pPr>
        <w:pStyle w:val="a0"/>
        <w:spacing w:before="120" w:line="276" w:lineRule="auto"/>
        <w:jc w:val="both"/>
        <w:rPr>
          <w:sz w:val="22"/>
          <w:szCs w:val="22"/>
        </w:rPr>
      </w:pPr>
      <w:r w:rsidRPr="002E54A0">
        <w:rPr>
          <w:sz w:val="22"/>
          <w:szCs w:val="22"/>
        </w:rPr>
        <w:t xml:space="preserve">В периода 1988-2018 г. не се наблюдава отчетлива тенденция в колебанията на средната максимална височина на снежната покривка в районите с надморска височина 800-1800 m </w:t>
      </w:r>
      <w:r w:rsidRPr="00607F56">
        <w:rPr>
          <w:sz w:val="22"/>
          <w:szCs w:val="22"/>
        </w:rPr>
        <w:t>(Фиг</w:t>
      </w:r>
      <w:r w:rsidR="00607F56" w:rsidRPr="00607F56">
        <w:t xml:space="preserve"> 4</w:t>
      </w:r>
      <w:r w:rsidRPr="00607F56">
        <w:rPr>
          <w:sz w:val="22"/>
          <w:szCs w:val="22"/>
        </w:rPr>
        <w:t>).</w:t>
      </w:r>
      <w:r w:rsidRPr="002E54A0">
        <w:rPr>
          <w:sz w:val="22"/>
          <w:szCs w:val="22"/>
        </w:rPr>
        <w:t xml:space="preserve"> Стойността на този показател за 2018 г. е 39 cm – под средното за периода 1988-2018 г. Най-високата снежна покривка за сезона за тези райони е измерена на 01.03.2018 г. в района на вр. Рожен – 80 cm.</w:t>
      </w:r>
    </w:p>
    <w:p w14:paraId="2649B595" w14:textId="18B09C44" w:rsidR="008B1EFF" w:rsidRPr="00607F56" w:rsidRDefault="00607F56" w:rsidP="00607F56">
      <w:pPr>
        <w:pStyle w:val="Caption"/>
        <w:rPr>
          <w:rStyle w:val="a1"/>
          <w:rFonts w:ascii="Times New Roman" w:hAnsi="Times New Roman"/>
          <w:b w:val="0"/>
          <w:i/>
          <w:color w:val="auto"/>
          <w:sz w:val="22"/>
          <w:szCs w:val="22"/>
          <w:lang w:eastAsia="ar-SA"/>
        </w:rPr>
      </w:pPr>
      <w:bookmarkStart w:id="8" w:name="_Toc71529778"/>
      <w:bookmarkStart w:id="9" w:name="_Toc72910387"/>
      <w:proofErr w:type="spellStart"/>
      <w:r w:rsidRPr="00607F56">
        <w:rPr>
          <w:rStyle w:val="a1"/>
          <w:rFonts w:ascii="Times New Roman" w:hAnsi="Times New Roman"/>
          <w:b w:val="0"/>
          <w:i/>
          <w:color w:val="auto"/>
          <w:sz w:val="22"/>
          <w:szCs w:val="22"/>
          <w:lang w:eastAsia="ar-SA"/>
        </w:rPr>
        <w:t>Фигура</w:t>
      </w:r>
      <w:proofErr w:type="spellEnd"/>
      <w:r w:rsidRPr="00607F56">
        <w:rPr>
          <w:rStyle w:val="a1"/>
          <w:rFonts w:ascii="Times New Roman" w:hAnsi="Times New Roman"/>
          <w:b w:val="0"/>
          <w:i/>
          <w:color w:val="auto"/>
          <w:sz w:val="22"/>
          <w:szCs w:val="22"/>
          <w:lang w:eastAsia="ar-SA"/>
        </w:rPr>
        <w:t xml:space="preserve"> </w:t>
      </w:r>
      <w:r w:rsidRPr="00607F56">
        <w:rPr>
          <w:rStyle w:val="a1"/>
          <w:rFonts w:ascii="Times New Roman" w:hAnsi="Times New Roman"/>
          <w:b w:val="0"/>
          <w:i/>
          <w:color w:val="auto"/>
          <w:sz w:val="22"/>
          <w:szCs w:val="22"/>
          <w:lang w:eastAsia="ar-SA"/>
        </w:rPr>
        <w:fldChar w:fldCharType="begin"/>
      </w:r>
      <w:r w:rsidRPr="00607F56">
        <w:rPr>
          <w:rStyle w:val="a1"/>
          <w:rFonts w:ascii="Times New Roman" w:hAnsi="Times New Roman"/>
          <w:b w:val="0"/>
          <w:i/>
          <w:color w:val="auto"/>
          <w:sz w:val="22"/>
          <w:szCs w:val="22"/>
          <w:lang w:eastAsia="ar-SA"/>
        </w:rPr>
        <w:instrText xml:space="preserve"> SEQ Фигура \* ARABIC </w:instrText>
      </w:r>
      <w:r w:rsidRPr="00607F56">
        <w:rPr>
          <w:rStyle w:val="a1"/>
          <w:rFonts w:ascii="Times New Roman" w:hAnsi="Times New Roman"/>
          <w:b w:val="0"/>
          <w:i/>
          <w:color w:val="auto"/>
          <w:sz w:val="22"/>
          <w:szCs w:val="22"/>
          <w:lang w:eastAsia="ar-SA"/>
        </w:rPr>
        <w:fldChar w:fldCharType="separate"/>
      </w:r>
      <w:r w:rsidR="008059A7">
        <w:rPr>
          <w:rStyle w:val="a1"/>
          <w:rFonts w:ascii="Times New Roman" w:hAnsi="Times New Roman"/>
          <w:b w:val="0"/>
          <w:i/>
          <w:noProof/>
          <w:color w:val="auto"/>
          <w:sz w:val="22"/>
          <w:szCs w:val="22"/>
          <w:lang w:eastAsia="ar-SA"/>
        </w:rPr>
        <w:t>4</w:t>
      </w:r>
      <w:r w:rsidRPr="00607F56">
        <w:rPr>
          <w:rStyle w:val="a1"/>
          <w:rFonts w:ascii="Times New Roman" w:hAnsi="Times New Roman"/>
          <w:b w:val="0"/>
          <w:i/>
          <w:color w:val="auto"/>
          <w:sz w:val="22"/>
          <w:szCs w:val="22"/>
          <w:lang w:eastAsia="ar-SA"/>
        </w:rPr>
        <w:fldChar w:fldCharType="end"/>
      </w:r>
      <w:r w:rsidRPr="00607F56">
        <w:rPr>
          <w:rStyle w:val="a1"/>
          <w:rFonts w:ascii="Times New Roman" w:hAnsi="Times New Roman"/>
          <w:b w:val="0"/>
          <w:i/>
          <w:color w:val="auto"/>
          <w:sz w:val="22"/>
          <w:szCs w:val="22"/>
          <w:lang w:eastAsia="ar-SA"/>
        </w:rPr>
        <w:t xml:space="preserve"> </w:t>
      </w:r>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Колебания</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средната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максимална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височина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снежната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покривка</w:t>
      </w:r>
      <w:proofErr w:type="spellEnd"/>
      <w:r w:rsidR="0042190C" w:rsidRPr="00607F56">
        <w:rPr>
          <w:rStyle w:val="a1"/>
          <w:rFonts w:ascii="Times New Roman" w:hAnsi="Times New Roman"/>
          <w:b w:val="0"/>
          <w:i/>
          <w:color w:val="auto"/>
          <w:sz w:val="22"/>
          <w:szCs w:val="22"/>
          <w:lang w:eastAsia="ar-SA"/>
        </w:rPr>
        <w:t xml:space="preserve"> (cm) </w:t>
      </w:r>
      <w:proofErr w:type="spellStart"/>
      <w:r w:rsidR="0042190C" w:rsidRPr="00607F56">
        <w:rPr>
          <w:rStyle w:val="a1"/>
          <w:rFonts w:ascii="Times New Roman" w:hAnsi="Times New Roman"/>
          <w:b w:val="0"/>
          <w:i/>
          <w:color w:val="auto"/>
          <w:sz w:val="22"/>
          <w:szCs w:val="22"/>
          <w:lang w:eastAsia="ar-SA"/>
        </w:rPr>
        <w:t>за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районите</w:t>
      </w:r>
      <w:proofErr w:type="spellEnd"/>
      <w:r w:rsidR="0042190C" w:rsidRPr="00607F56">
        <w:rPr>
          <w:rStyle w:val="a1"/>
          <w:rFonts w:ascii="Times New Roman" w:hAnsi="Times New Roman"/>
          <w:b w:val="0"/>
          <w:i/>
          <w:color w:val="auto"/>
          <w:sz w:val="22"/>
          <w:szCs w:val="22"/>
          <w:lang w:eastAsia="ar-SA"/>
        </w:rPr>
        <w:t xml:space="preserve"> с </w:t>
      </w:r>
      <w:proofErr w:type="spellStart"/>
      <w:r w:rsidR="0042190C" w:rsidRPr="00607F56">
        <w:rPr>
          <w:rStyle w:val="a1"/>
          <w:rFonts w:ascii="Times New Roman" w:hAnsi="Times New Roman"/>
          <w:b w:val="0"/>
          <w:i/>
          <w:color w:val="auto"/>
          <w:sz w:val="22"/>
          <w:szCs w:val="22"/>
          <w:lang w:eastAsia="ar-SA"/>
        </w:rPr>
        <w:t>надморска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височина</w:t>
      </w:r>
      <w:proofErr w:type="spellEnd"/>
      <w:r w:rsidR="0042190C" w:rsidRPr="00607F56">
        <w:rPr>
          <w:rStyle w:val="a1"/>
          <w:rFonts w:ascii="Times New Roman" w:hAnsi="Times New Roman"/>
          <w:b w:val="0"/>
          <w:i/>
          <w:color w:val="auto"/>
          <w:sz w:val="22"/>
          <w:szCs w:val="22"/>
          <w:lang w:eastAsia="ar-SA"/>
        </w:rPr>
        <w:t xml:space="preserve"> 800 - 1800 m </w:t>
      </w:r>
      <w:proofErr w:type="spellStart"/>
      <w:r w:rsidR="0042190C" w:rsidRPr="00607F56">
        <w:rPr>
          <w:rStyle w:val="a1"/>
          <w:rFonts w:ascii="Times New Roman" w:hAnsi="Times New Roman"/>
          <w:b w:val="0"/>
          <w:i/>
          <w:color w:val="auto"/>
          <w:sz w:val="22"/>
          <w:szCs w:val="22"/>
          <w:lang w:eastAsia="ar-SA"/>
        </w:rPr>
        <w:t>през</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периода</w:t>
      </w:r>
      <w:proofErr w:type="spellEnd"/>
      <w:r w:rsidR="0042190C" w:rsidRPr="00607F56">
        <w:rPr>
          <w:rStyle w:val="a1"/>
          <w:rFonts w:ascii="Times New Roman" w:hAnsi="Times New Roman"/>
          <w:b w:val="0"/>
          <w:i/>
          <w:color w:val="auto"/>
          <w:sz w:val="22"/>
          <w:szCs w:val="22"/>
          <w:lang w:eastAsia="ar-SA"/>
        </w:rPr>
        <w:t xml:space="preserve"> 1988 - 2018 г.</w:t>
      </w:r>
      <w:bookmarkEnd w:id="8"/>
      <w:bookmarkEnd w:id="9"/>
    </w:p>
    <w:p w14:paraId="74C7CDFF" w14:textId="77777777" w:rsidR="008B1EFF" w:rsidRDefault="0042190C">
      <w:pPr>
        <w:pStyle w:val="a0"/>
        <w:spacing w:before="120" w:line="276" w:lineRule="auto"/>
        <w:jc w:val="center"/>
      </w:pPr>
      <w:r>
        <w:rPr>
          <w:rStyle w:val="a1"/>
          <w:b/>
          <w:bCs/>
          <w:noProof/>
          <w:lang w:val="en-GB" w:eastAsia="en-GB"/>
        </w:rPr>
        <w:lastRenderedPageBreak/>
        <w:drawing>
          <wp:inline distT="0" distB="0" distL="0" distR="0" wp14:anchorId="31528101" wp14:editId="452BD376">
            <wp:extent cx="4835886" cy="2109529"/>
            <wp:effectExtent l="0" t="0" r="2814" b="5021"/>
            <wp:docPr id="4" name="Picture 165" descr="http://eea.government.bg/bg/soer/2018/climate/figuri/climat6.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a:stretch>
                      <a:fillRect/>
                    </a:stretch>
                  </pic:blipFill>
                  <pic:spPr>
                    <a:xfrm>
                      <a:off x="0" y="0"/>
                      <a:ext cx="4835886" cy="2109529"/>
                    </a:xfrm>
                    <a:prstGeom prst="rect">
                      <a:avLst/>
                    </a:prstGeom>
                    <a:noFill/>
                    <a:ln>
                      <a:noFill/>
                      <a:prstDash/>
                    </a:ln>
                  </pic:spPr>
                </pic:pic>
              </a:graphicData>
            </a:graphic>
          </wp:inline>
        </w:drawing>
      </w:r>
    </w:p>
    <w:p w14:paraId="3036AAAC" w14:textId="77777777" w:rsidR="008B1EFF" w:rsidRDefault="0042190C">
      <w:pPr>
        <w:pStyle w:val="a0"/>
        <w:spacing w:before="120" w:line="276" w:lineRule="auto"/>
        <w:jc w:val="both"/>
      </w:pPr>
      <w:r>
        <w:rPr>
          <w:rStyle w:val="a1"/>
          <w:i/>
          <w:iCs/>
          <w:sz w:val="20"/>
          <w:szCs w:val="20"/>
        </w:rPr>
        <w:t>Източник: НИМХ</w:t>
      </w:r>
      <w:r>
        <w:rPr>
          <w:rStyle w:val="a1"/>
          <w:b/>
          <w:bCs/>
          <w:i/>
          <w:iCs/>
          <w:sz w:val="20"/>
          <w:szCs w:val="20"/>
        </w:rPr>
        <w:t xml:space="preserve"> </w:t>
      </w:r>
    </w:p>
    <w:p w14:paraId="3C3E45DA" w14:textId="77777777" w:rsidR="008B1EFF" w:rsidRDefault="0042190C">
      <w:pPr>
        <w:pStyle w:val="a0"/>
        <w:spacing w:before="120" w:after="120" w:line="264" w:lineRule="auto"/>
        <w:jc w:val="both"/>
      </w:pPr>
      <w:r>
        <w:rPr>
          <w:rStyle w:val="a1"/>
          <w:b/>
          <w:bCs/>
          <w:i/>
          <w:iCs/>
        </w:rPr>
        <w:t>Климатични явления</w:t>
      </w:r>
    </w:p>
    <w:p w14:paraId="3C0A8CF8" w14:textId="77777777" w:rsidR="008B1EFF" w:rsidRPr="002E54A0" w:rsidRDefault="0042190C">
      <w:pPr>
        <w:pStyle w:val="a0"/>
        <w:spacing w:before="120" w:after="120" w:line="264" w:lineRule="auto"/>
        <w:jc w:val="both"/>
        <w:rPr>
          <w:sz w:val="22"/>
          <w:szCs w:val="22"/>
        </w:rPr>
      </w:pPr>
      <w:r w:rsidRPr="002E54A0">
        <w:rPr>
          <w:sz w:val="22"/>
          <w:szCs w:val="22"/>
        </w:rPr>
        <w:t xml:space="preserve">През последните години се увеличава честотата на екстремните метеорологични и климатични явления в Република България. Свързани с климата събития като наводнения, бури, горещи вълни, снеговалежи и суши представляват близо деветдесет </w:t>
      </w:r>
      <w:bookmarkStart w:id="10" w:name="_Hlk516164749"/>
      <w:r w:rsidRPr="002E54A0">
        <w:rPr>
          <w:sz w:val="22"/>
          <w:szCs w:val="22"/>
        </w:rPr>
        <w:t>процента</w:t>
      </w:r>
      <w:bookmarkEnd w:id="10"/>
      <w:r w:rsidRPr="002E54A0">
        <w:rPr>
          <w:sz w:val="22"/>
          <w:szCs w:val="22"/>
        </w:rPr>
        <w:t xml:space="preserve"> от всички големи бедствия през последните две десетилетия</w:t>
      </w:r>
      <w:r w:rsidRPr="002E54A0">
        <w:rPr>
          <w:rStyle w:val="ab"/>
          <w:sz w:val="22"/>
          <w:szCs w:val="22"/>
        </w:rPr>
        <w:footnoteReference w:id="5"/>
      </w:r>
      <w:r w:rsidRPr="002E54A0">
        <w:rPr>
          <w:sz w:val="22"/>
          <w:szCs w:val="22"/>
        </w:rPr>
        <w:t xml:space="preserve">. Опасни метеорологични явления от </w:t>
      </w:r>
      <w:proofErr w:type="spellStart"/>
      <w:r w:rsidRPr="002E54A0">
        <w:rPr>
          <w:sz w:val="22"/>
          <w:szCs w:val="22"/>
        </w:rPr>
        <w:t>конвективен</w:t>
      </w:r>
      <w:proofErr w:type="spellEnd"/>
      <w:r w:rsidRPr="002E54A0">
        <w:rPr>
          <w:sz w:val="22"/>
          <w:szCs w:val="22"/>
        </w:rPr>
        <w:t xml:space="preserve"> произход (интензивни и обилни валежи, гръмотевични бури, градушки, често съпроводени с пориви на силен до бурен вятър) са причина за огромни щети върху селскостопанска продукция, инфраструктура, жилищни и обществени сгради, като причиниха и човешки жертви в много области на страната. </w:t>
      </w:r>
    </w:p>
    <w:p w14:paraId="7BCED896" w14:textId="77777777" w:rsidR="008B1EFF" w:rsidRPr="002E54A0" w:rsidRDefault="0042190C">
      <w:pPr>
        <w:pStyle w:val="a0"/>
        <w:spacing w:before="120" w:after="120" w:line="264" w:lineRule="auto"/>
        <w:jc w:val="both"/>
        <w:rPr>
          <w:sz w:val="22"/>
          <w:szCs w:val="22"/>
        </w:rPr>
      </w:pPr>
      <w:r w:rsidRPr="002E54A0">
        <w:rPr>
          <w:rStyle w:val="a1"/>
          <w:b/>
          <w:bCs/>
          <w:i/>
          <w:iCs/>
          <w:sz w:val="22"/>
          <w:szCs w:val="22"/>
        </w:rPr>
        <w:t>Климатични сценарии за България</w:t>
      </w:r>
    </w:p>
    <w:p w14:paraId="4957F22B" w14:textId="77777777" w:rsidR="008B1EFF" w:rsidRPr="002E54A0" w:rsidRDefault="0042190C">
      <w:pPr>
        <w:pStyle w:val="a0"/>
        <w:spacing w:before="120" w:after="120" w:line="264" w:lineRule="auto"/>
        <w:jc w:val="both"/>
        <w:rPr>
          <w:sz w:val="22"/>
          <w:szCs w:val="22"/>
        </w:rPr>
      </w:pPr>
      <w:r w:rsidRPr="002E54A0">
        <w:rPr>
          <w:sz w:val="22"/>
          <w:szCs w:val="22"/>
        </w:rPr>
        <w:t>Представените климатични сценарии за Република България са разработени в НИМХ в рамките на проекта CECILIA. Проведени са симулации на регионалния климат за бъдещето, за два интервала – “близко бъдеще” (2021-2050 г.) и “далечно бъдеще” (2071-2100 г.), като резултатите за тенденциите (т.е. изменението спрямо сегашния референтен климатичен период 1961-1990 г.) за средната годишна температурата на въздуха и средната годишна валежна сума.</w:t>
      </w:r>
      <w:r w:rsidRPr="002E54A0">
        <w:rPr>
          <w:rStyle w:val="a1"/>
          <w:sz w:val="22"/>
          <w:szCs w:val="22"/>
          <w:vertAlign w:val="superscript"/>
        </w:rPr>
        <w:footnoteReference w:id="6"/>
      </w:r>
    </w:p>
    <w:p w14:paraId="4DF2493E" w14:textId="77777777" w:rsidR="008B1EFF" w:rsidRPr="002E54A0" w:rsidRDefault="0042190C">
      <w:pPr>
        <w:pStyle w:val="a0"/>
        <w:spacing w:before="120" w:after="120" w:line="264" w:lineRule="auto"/>
        <w:jc w:val="both"/>
        <w:rPr>
          <w:sz w:val="22"/>
          <w:szCs w:val="22"/>
        </w:rPr>
      </w:pPr>
      <w:r w:rsidRPr="002E54A0">
        <w:rPr>
          <w:sz w:val="22"/>
          <w:szCs w:val="22"/>
        </w:rPr>
        <w:t>Открояват следните особености:</w:t>
      </w:r>
    </w:p>
    <w:p w14:paraId="62F09F65" w14:textId="77777777" w:rsidR="008B1EFF" w:rsidRPr="002E54A0" w:rsidRDefault="0042190C">
      <w:pPr>
        <w:pStyle w:val="a0"/>
        <w:numPr>
          <w:ilvl w:val="0"/>
          <w:numId w:val="10"/>
        </w:numPr>
        <w:spacing w:before="120" w:after="120" w:line="264" w:lineRule="auto"/>
        <w:jc w:val="both"/>
        <w:rPr>
          <w:sz w:val="22"/>
          <w:szCs w:val="22"/>
        </w:rPr>
      </w:pPr>
      <w:r w:rsidRPr="002E54A0">
        <w:rPr>
          <w:sz w:val="22"/>
          <w:szCs w:val="22"/>
        </w:rPr>
        <w:t>По отношение на температурата практически над цялата страна се наблюдават положителни тенденции, т.е. очаква се увеличение на средногодишната температура, като това увеличение е сравнително еднородно и с около 1.5-2</w:t>
      </w:r>
      <w:r w:rsidRPr="002E54A0">
        <w:rPr>
          <w:rStyle w:val="a1"/>
          <w:sz w:val="22"/>
          <w:szCs w:val="22"/>
          <w:vertAlign w:val="superscript"/>
        </w:rPr>
        <w:t>o</w:t>
      </w:r>
      <w:r w:rsidRPr="002E54A0">
        <w:rPr>
          <w:sz w:val="22"/>
          <w:szCs w:val="22"/>
        </w:rPr>
        <w:t>С за близкото и между 2.5 и 3.5</w:t>
      </w:r>
      <w:r w:rsidRPr="002E54A0">
        <w:rPr>
          <w:rStyle w:val="a1"/>
          <w:sz w:val="22"/>
          <w:szCs w:val="22"/>
          <w:vertAlign w:val="superscript"/>
        </w:rPr>
        <w:t>o</w:t>
      </w:r>
      <w:r w:rsidRPr="002E54A0">
        <w:rPr>
          <w:sz w:val="22"/>
          <w:szCs w:val="22"/>
        </w:rPr>
        <w:t>С за далечното бъдеще;</w:t>
      </w:r>
    </w:p>
    <w:p w14:paraId="441FD7A8" w14:textId="77777777" w:rsidR="008B1EFF" w:rsidRPr="002E54A0" w:rsidRDefault="0042190C">
      <w:pPr>
        <w:pStyle w:val="a0"/>
        <w:numPr>
          <w:ilvl w:val="0"/>
          <w:numId w:val="10"/>
        </w:numPr>
        <w:spacing w:before="120" w:after="120" w:line="264" w:lineRule="auto"/>
        <w:jc w:val="both"/>
        <w:rPr>
          <w:sz w:val="22"/>
          <w:szCs w:val="22"/>
        </w:rPr>
      </w:pPr>
      <w:r w:rsidRPr="002E54A0">
        <w:rPr>
          <w:sz w:val="22"/>
          <w:szCs w:val="22"/>
        </w:rPr>
        <w:t xml:space="preserve">Пространственото разпределение на тенденцията на годишната валежна сума е по-неравномерно спрямо това на температурата. В Източна Република България се очаква отрицателна тенденция, като и в двата периода изменението е средно между 5 и 10 mm (в отделни райони до 15-20 mm). Най-видимата разлика между двата периода е, че районите с </w:t>
      </w:r>
      <w:r w:rsidRPr="002E54A0">
        <w:rPr>
          <w:sz w:val="22"/>
          <w:szCs w:val="22"/>
        </w:rPr>
        <w:lastRenderedPageBreak/>
        <w:t>отрицателна тенденция през втория период са с по-голяма площ спрямо първия и обхващат и части на Западна Република България.</w:t>
      </w:r>
    </w:p>
    <w:p w14:paraId="14A12C70" w14:textId="5DFEB16B" w:rsidR="008B1EFF" w:rsidRPr="00607F56" w:rsidRDefault="00607F56" w:rsidP="00607F56">
      <w:pPr>
        <w:pStyle w:val="Caption"/>
        <w:rPr>
          <w:rStyle w:val="a1"/>
          <w:rFonts w:ascii="Times New Roman" w:hAnsi="Times New Roman"/>
          <w:b w:val="0"/>
          <w:i/>
          <w:color w:val="auto"/>
          <w:sz w:val="22"/>
          <w:szCs w:val="22"/>
          <w:lang w:eastAsia="ar-SA"/>
        </w:rPr>
      </w:pPr>
      <w:bookmarkStart w:id="11" w:name="_Toc71529779"/>
      <w:bookmarkStart w:id="12" w:name="_Toc72910388"/>
      <w:proofErr w:type="spellStart"/>
      <w:r w:rsidRPr="00607F56">
        <w:rPr>
          <w:rStyle w:val="a1"/>
          <w:rFonts w:ascii="Times New Roman" w:hAnsi="Times New Roman"/>
          <w:b w:val="0"/>
          <w:i/>
          <w:color w:val="auto"/>
          <w:sz w:val="22"/>
          <w:szCs w:val="22"/>
          <w:lang w:eastAsia="ar-SA"/>
        </w:rPr>
        <w:t>Фигура</w:t>
      </w:r>
      <w:proofErr w:type="spellEnd"/>
      <w:r w:rsidRPr="00607F56">
        <w:rPr>
          <w:rStyle w:val="a1"/>
          <w:rFonts w:ascii="Times New Roman" w:hAnsi="Times New Roman"/>
          <w:b w:val="0"/>
          <w:i/>
          <w:color w:val="auto"/>
          <w:sz w:val="22"/>
          <w:szCs w:val="22"/>
          <w:lang w:eastAsia="ar-SA"/>
        </w:rPr>
        <w:t xml:space="preserve"> </w:t>
      </w:r>
      <w:r w:rsidRPr="00607F56">
        <w:rPr>
          <w:rStyle w:val="a1"/>
          <w:rFonts w:ascii="Times New Roman" w:hAnsi="Times New Roman"/>
          <w:b w:val="0"/>
          <w:i/>
          <w:color w:val="auto"/>
          <w:sz w:val="22"/>
          <w:szCs w:val="22"/>
          <w:lang w:eastAsia="ar-SA"/>
        </w:rPr>
        <w:fldChar w:fldCharType="begin"/>
      </w:r>
      <w:r w:rsidRPr="00607F56">
        <w:rPr>
          <w:rStyle w:val="a1"/>
          <w:rFonts w:ascii="Times New Roman" w:hAnsi="Times New Roman"/>
          <w:b w:val="0"/>
          <w:i/>
          <w:color w:val="auto"/>
          <w:sz w:val="22"/>
          <w:szCs w:val="22"/>
          <w:lang w:eastAsia="ar-SA"/>
        </w:rPr>
        <w:instrText xml:space="preserve"> SEQ Фигура \* ARABIC </w:instrText>
      </w:r>
      <w:r w:rsidRPr="00607F56">
        <w:rPr>
          <w:rStyle w:val="a1"/>
          <w:rFonts w:ascii="Times New Roman" w:hAnsi="Times New Roman"/>
          <w:b w:val="0"/>
          <w:i/>
          <w:color w:val="auto"/>
          <w:sz w:val="22"/>
          <w:szCs w:val="22"/>
          <w:lang w:eastAsia="ar-SA"/>
        </w:rPr>
        <w:fldChar w:fldCharType="separate"/>
      </w:r>
      <w:r w:rsidR="008059A7">
        <w:rPr>
          <w:rStyle w:val="a1"/>
          <w:rFonts w:ascii="Times New Roman" w:hAnsi="Times New Roman"/>
          <w:b w:val="0"/>
          <w:i/>
          <w:noProof/>
          <w:color w:val="auto"/>
          <w:sz w:val="22"/>
          <w:szCs w:val="22"/>
          <w:lang w:eastAsia="ar-SA"/>
        </w:rPr>
        <w:t>5</w:t>
      </w:r>
      <w:r w:rsidRPr="00607F56">
        <w:rPr>
          <w:rStyle w:val="a1"/>
          <w:rFonts w:ascii="Times New Roman" w:hAnsi="Times New Roman"/>
          <w:b w:val="0"/>
          <w:i/>
          <w:color w:val="auto"/>
          <w:sz w:val="22"/>
          <w:szCs w:val="22"/>
          <w:lang w:eastAsia="ar-SA"/>
        </w:rPr>
        <w:fldChar w:fldCharType="end"/>
      </w:r>
      <w:r w:rsidRPr="00607F56">
        <w:rPr>
          <w:rStyle w:val="a1"/>
          <w:rFonts w:ascii="Times New Roman" w:hAnsi="Times New Roman"/>
          <w:b w:val="0"/>
          <w:i/>
          <w:color w:val="auto"/>
          <w:sz w:val="22"/>
          <w:szCs w:val="22"/>
          <w:lang w:eastAsia="ar-SA"/>
        </w:rPr>
        <w:t xml:space="preserve"> </w:t>
      </w:r>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Тенденция</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на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средногодишната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температура</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отклонения</w:t>
      </w:r>
      <w:proofErr w:type="spellEnd"/>
      <w:r w:rsidR="0042190C" w:rsidRPr="00607F56">
        <w:rPr>
          <w:rStyle w:val="a1"/>
          <w:rFonts w:ascii="Times New Roman" w:hAnsi="Times New Roman"/>
          <w:b w:val="0"/>
          <w:i/>
          <w:color w:val="auto"/>
          <w:sz w:val="22"/>
          <w:szCs w:val="22"/>
          <w:lang w:eastAsia="ar-SA"/>
        </w:rPr>
        <w:t xml:space="preserve"> в </w:t>
      </w:r>
      <w:proofErr w:type="spellStart"/>
      <w:r w:rsidR="0042190C" w:rsidRPr="00607F56">
        <w:rPr>
          <w:rStyle w:val="a1"/>
          <w:rFonts w:ascii="Times New Roman" w:hAnsi="Times New Roman"/>
          <w:b w:val="0"/>
          <w:i/>
          <w:color w:val="auto"/>
          <w:sz w:val="22"/>
          <w:szCs w:val="22"/>
          <w:lang w:eastAsia="ar-SA"/>
        </w:rPr>
        <w:t>oС</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от</w:t>
      </w:r>
      <w:proofErr w:type="spellEnd"/>
      <w:r w:rsidR="0042190C" w:rsidRPr="00607F56">
        <w:rPr>
          <w:rStyle w:val="a1"/>
          <w:rFonts w:ascii="Times New Roman" w:hAnsi="Times New Roman"/>
          <w:b w:val="0"/>
          <w:i/>
          <w:color w:val="auto"/>
          <w:sz w:val="22"/>
          <w:szCs w:val="22"/>
          <w:lang w:eastAsia="ar-SA"/>
        </w:rPr>
        <w:t xml:space="preserve"> </w:t>
      </w:r>
      <w:proofErr w:type="spellStart"/>
      <w:r w:rsidR="0042190C" w:rsidRPr="00607F56">
        <w:rPr>
          <w:rStyle w:val="a1"/>
          <w:rFonts w:ascii="Times New Roman" w:hAnsi="Times New Roman"/>
          <w:b w:val="0"/>
          <w:i/>
          <w:color w:val="auto"/>
          <w:sz w:val="22"/>
          <w:szCs w:val="22"/>
          <w:lang w:eastAsia="ar-SA"/>
        </w:rPr>
        <w:t>нормата</w:t>
      </w:r>
      <w:proofErr w:type="spellEnd"/>
      <w:r w:rsidR="0042190C" w:rsidRPr="00607F56">
        <w:rPr>
          <w:rStyle w:val="a1"/>
          <w:rFonts w:ascii="Times New Roman" w:hAnsi="Times New Roman"/>
          <w:b w:val="0"/>
          <w:i/>
          <w:color w:val="auto"/>
          <w:sz w:val="22"/>
          <w:szCs w:val="22"/>
          <w:lang w:eastAsia="ar-SA"/>
        </w:rPr>
        <w:t xml:space="preserve"> 1961 - 1990 г.)</w:t>
      </w:r>
      <w:bookmarkEnd w:id="11"/>
      <w:bookmarkEnd w:id="12"/>
    </w:p>
    <w:tbl>
      <w:tblPr>
        <w:tblW w:w="9360" w:type="dxa"/>
        <w:tblCellMar>
          <w:left w:w="10" w:type="dxa"/>
          <w:right w:w="10" w:type="dxa"/>
        </w:tblCellMar>
        <w:tblLook w:val="0000" w:firstRow="0" w:lastRow="0" w:firstColumn="0" w:lastColumn="0" w:noHBand="0" w:noVBand="0"/>
      </w:tblPr>
      <w:tblGrid>
        <w:gridCol w:w="4661"/>
        <w:gridCol w:w="4699"/>
      </w:tblGrid>
      <w:tr w:rsidR="008B1EFF" w14:paraId="4F9E498C" w14:textId="77777777">
        <w:tc>
          <w:tcPr>
            <w:tcW w:w="4661" w:type="dxa"/>
            <w:shd w:val="clear" w:color="auto" w:fill="auto"/>
            <w:tcMar>
              <w:top w:w="0" w:type="dxa"/>
              <w:left w:w="108" w:type="dxa"/>
              <w:bottom w:w="0" w:type="dxa"/>
              <w:right w:w="108" w:type="dxa"/>
            </w:tcMar>
          </w:tcPr>
          <w:p w14:paraId="06328774" w14:textId="77777777" w:rsidR="008B1EFF" w:rsidRDefault="0042190C">
            <w:pPr>
              <w:pStyle w:val="a0"/>
              <w:jc w:val="center"/>
            </w:pPr>
            <w:r>
              <w:rPr>
                <w:rStyle w:val="a1"/>
                <w:b/>
                <w:bCs/>
              </w:rPr>
              <w:t>за периода 2021 - 2050 г.</w:t>
            </w:r>
          </w:p>
        </w:tc>
        <w:tc>
          <w:tcPr>
            <w:tcW w:w="4699" w:type="dxa"/>
            <w:shd w:val="clear" w:color="auto" w:fill="auto"/>
            <w:tcMar>
              <w:top w:w="0" w:type="dxa"/>
              <w:left w:w="108" w:type="dxa"/>
              <w:bottom w:w="0" w:type="dxa"/>
              <w:right w:w="108" w:type="dxa"/>
            </w:tcMar>
          </w:tcPr>
          <w:p w14:paraId="5B831A8C" w14:textId="77777777" w:rsidR="008B1EFF" w:rsidRDefault="0042190C">
            <w:pPr>
              <w:pStyle w:val="a0"/>
              <w:jc w:val="center"/>
            </w:pPr>
            <w:r>
              <w:rPr>
                <w:rStyle w:val="a1"/>
                <w:b/>
                <w:bCs/>
              </w:rPr>
              <w:t>за периода 2071 - 2100 г</w:t>
            </w:r>
          </w:p>
        </w:tc>
      </w:tr>
      <w:tr w:rsidR="008B1EFF" w14:paraId="325D5CCD" w14:textId="77777777">
        <w:tc>
          <w:tcPr>
            <w:tcW w:w="4661" w:type="dxa"/>
            <w:shd w:val="clear" w:color="auto" w:fill="auto"/>
            <w:tcMar>
              <w:top w:w="0" w:type="dxa"/>
              <w:left w:w="108" w:type="dxa"/>
              <w:bottom w:w="0" w:type="dxa"/>
              <w:right w:w="108" w:type="dxa"/>
            </w:tcMar>
          </w:tcPr>
          <w:p w14:paraId="06784DCA" w14:textId="77777777" w:rsidR="008B1EFF" w:rsidRDefault="0042190C">
            <w:pPr>
              <w:pStyle w:val="a0"/>
              <w:jc w:val="center"/>
            </w:pPr>
            <w:r>
              <w:rPr>
                <w:rStyle w:val="a1"/>
                <w:noProof/>
                <w:lang w:val="en-GB" w:eastAsia="en-GB"/>
              </w:rPr>
              <w:drawing>
                <wp:inline distT="0" distB="0" distL="0" distR="0" wp14:anchorId="3D5C3660" wp14:editId="159ED8EB">
                  <wp:extent cx="2688537" cy="2453024"/>
                  <wp:effectExtent l="0" t="0" r="0" b="4426"/>
                  <wp:docPr id="5" name="Picture 166" descr="http://eea.government.bg/bg/soer/2018/climate/figuri/climat7.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rcRect/>
                          <a:stretch>
                            <a:fillRect/>
                          </a:stretch>
                        </pic:blipFill>
                        <pic:spPr>
                          <a:xfrm>
                            <a:off x="0" y="0"/>
                            <a:ext cx="2688537" cy="2453024"/>
                          </a:xfrm>
                          <a:prstGeom prst="rect">
                            <a:avLst/>
                          </a:prstGeom>
                          <a:noFill/>
                          <a:ln>
                            <a:noFill/>
                            <a:prstDash/>
                          </a:ln>
                        </pic:spPr>
                      </pic:pic>
                    </a:graphicData>
                  </a:graphic>
                </wp:inline>
              </w:drawing>
            </w:r>
          </w:p>
        </w:tc>
        <w:tc>
          <w:tcPr>
            <w:tcW w:w="4699" w:type="dxa"/>
            <w:shd w:val="clear" w:color="auto" w:fill="auto"/>
            <w:tcMar>
              <w:top w:w="0" w:type="dxa"/>
              <w:left w:w="108" w:type="dxa"/>
              <w:bottom w:w="0" w:type="dxa"/>
              <w:right w:w="108" w:type="dxa"/>
            </w:tcMar>
          </w:tcPr>
          <w:p w14:paraId="504CEE43" w14:textId="77777777" w:rsidR="008B1EFF" w:rsidRDefault="0042190C">
            <w:pPr>
              <w:pStyle w:val="a0"/>
              <w:jc w:val="center"/>
            </w:pPr>
            <w:r>
              <w:rPr>
                <w:rStyle w:val="a1"/>
                <w:b/>
                <w:bCs/>
                <w:noProof/>
                <w:lang w:val="en-GB" w:eastAsia="en-GB"/>
              </w:rPr>
              <w:drawing>
                <wp:inline distT="0" distB="0" distL="0" distR="0" wp14:anchorId="09F47342" wp14:editId="01F67430">
                  <wp:extent cx="2716645" cy="2453033"/>
                  <wp:effectExtent l="0" t="0" r="7505" b="4417"/>
                  <wp:docPr id="6" name="Picture 167" descr="http://eea.government.bg/bg/soer/2018/climate/figuri/climat8.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rcRect/>
                          <a:stretch>
                            <a:fillRect/>
                          </a:stretch>
                        </pic:blipFill>
                        <pic:spPr>
                          <a:xfrm>
                            <a:off x="0" y="0"/>
                            <a:ext cx="2716645" cy="2453033"/>
                          </a:xfrm>
                          <a:prstGeom prst="rect">
                            <a:avLst/>
                          </a:prstGeom>
                          <a:noFill/>
                          <a:ln>
                            <a:noFill/>
                            <a:prstDash/>
                          </a:ln>
                        </pic:spPr>
                      </pic:pic>
                    </a:graphicData>
                  </a:graphic>
                </wp:inline>
              </w:drawing>
            </w:r>
          </w:p>
        </w:tc>
      </w:tr>
    </w:tbl>
    <w:p w14:paraId="42BE03DB" w14:textId="5875D17E" w:rsidR="008B1EFF" w:rsidRPr="006F72FF" w:rsidRDefault="006F72FF" w:rsidP="006F72FF">
      <w:pPr>
        <w:pStyle w:val="Caption"/>
        <w:rPr>
          <w:rStyle w:val="a1"/>
          <w:rFonts w:ascii="Times New Roman" w:hAnsi="Times New Roman"/>
          <w:b w:val="0"/>
          <w:i/>
          <w:color w:val="auto"/>
          <w:sz w:val="22"/>
          <w:szCs w:val="22"/>
          <w:lang w:eastAsia="ar-SA"/>
        </w:rPr>
      </w:pPr>
      <w:bookmarkStart w:id="13" w:name="_Toc71529780"/>
      <w:bookmarkStart w:id="14" w:name="_Toc72910389"/>
      <w:proofErr w:type="spellStart"/>
      <w:r w:rsidRPr="006F72FF">
        <w:rPr>
          <w:rStyle w:val="a1"/>
          <w:rFonts w:ascii="Times New Roman" w:hAnsi="Times New Roman"/>
          <w:b w:val="0"/>
          <w:i/>
          <w:color w:val="auto"/>
          <w:sz w:val="22"/>
          <w:szCs w:val="22"/>
          <w:lang w:eastAsia="ar-SA"/>
        </w:rPr>
        <w:t>Фигура</w:t>
      </w:r>
      <w:proofErr w:type="spellEnd"/>
      <w:r w:rsidRPr="006F72FF">
        <w:rPr>
          <w:rStyle w:val="a1"/>
          <w:rFonts w:ascii="Times New Roman" w:hAnsi="Times New Roman"/>
          <w:b w:val="0"/>
          <w:i/>
          <w:color w:val="auto"/>
          <w:sz w:val="22"/>
          <w:szCs w:val="22"/>
          <w:lang w:eastAsia="ar-SA"/>
        </w:rPr>
        <w:t xml:space="preserve"> </w:t>
      </w:r>
      <w:r w:rsidRPr="006F72FF">
        <w:rPr>
          <w:rStyle w:val="a1"/>
          <w:rFonts w:ascii="Times New Roman" w:hAnsi="Times New Roman"/>
          <w:b w:val="0"/>
          <w:i/>
          <w:color w:val="auto"/>
          <w:sz w:val="22"/>
          <w:szCs w:val="22"/>
          <w:lang w:eastAsia="ar-SA"/>
        </w:rPr>
        <w:fldChar w:fldCharType="begin"/>
      </w:r>
      <w:r w:rsidRPr="006F72FF">
        <w:rPr>
          <w:rStyle w:val="a1"/>
          <w:rFonts w:ascii="Times New Roman" w:hAnsi="Times New Roman"/>
          <w:b w:val="0"/>
          <w:i/>
          <w:color w:val="auto"/>
          <w:sz w:val="22"/>
          <w:szCs w:val="22"/>
          <w:lang w:eastAsia="ar-SA"/>
        </w:rPr>
        <w:instrText xml:space="preserve"> SEQ Фигура \* ARABIC </w:instrText>
      </w:r>
      <w:r w:rsidRPr="006F72FF">
        <w:rPr>
          <w:rStyle w:val="a1"/>
          <w:rFonts w:ascii="Times New Roman" w:hAnsi="Times New Roman"/>
          <w:b w:val="0"/>
          <w:i/>
          <w:color w:val="auto"/>
          <w:sz w:val="22"/>
          <w:szCs w:val="22"/>
          <w:lang w:eastAsia="ar-SA"/>
        </w:rPr>
        <w:fldChar w:fldCharType="separate"/>
      </w:r>
      <w:r w:rsidR="008059A7">
        <w:rPr>
          <w:rStyle w:val="a1"/>
          <w:rFonts w:ascii="Times New Roman" w:hAnsi="Times New Roman"/>
          <w:b w:val="0"/>
          <w:i/>
          <w:noProof/>
          <w:color w:val="auto"/>
          <w:sz w:val="22"/>
          <w:szCs w:val="22"/>
          <w:lang w:eastAsia="ar-SA"/>
        </w:rPr>
        <w:t>6</w:t>
      </w:r>
      <w:r w:rsidRPr="006F72FF">
        <w:rPr>
          <w:rStyle w:val="a1"/>
          <w:rFonts w:ascii="Times New Roman" w:hAnsi="Times New Roman"/>
          <w:b w:val="0"/>
          <w:i/>
          <w:color w:val="auto"/>
          <w:sz w:val="22"/>
          <w:szCs w:val="22"/>
          <w:lang w:eastAsia="ar-SA"/>
        </w:rPr>
        <w:fldChar w:fldCharType="end"/>
      </w:r>
      <w:r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Тенденция</w:t>
      </w:r>
      <w:proofErr w:type="spellEnd"/>
      <w:r w:rsidR="0042190C"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на</w:t>
      </w:r>
      <w:proofErr w:type="spellEnd"/>
      <w:r w:rsidR="0042190C"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средногодишната</w:t>
      </w:r>
      <w:proofErr w:type="spellEnd"/>
      <w:r w:rsidR="0042190C"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валежна</w:t>
      </w:r>
      <w:proofErr w:type="spellEnd"/>
      <w:r w:rsidR="0042190C"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сума</w:t>
      </w:r>
      <w:proofErr w:type="spellEnd"/>
      <w:r w:rsidR="0042190C"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отклонения</w:t>
      </w:r>
      <w:proofErr w:type="spellEnd"/>
      <w:r w:rsidR="0042190C" w:rsidRPr="006F72FF">
        <w:rPr>
          <w:rStyle w:val="a1"/>
          <w:rFonts w:ascii="Times New Roman" w:hAnsi="Times New Roman"/>
          <w:b w:val="0"/>
          <w:i/>
          <w:color w:val="auto"/>
          <w:sz w:val="22"/>
          <w:szCs w:val="22"/>
          <w:lang w:eastAsia="ar-SA"/>
        </w:rPr>
        <w:t xml:space="preserve"> в mm </w:t>
      </w:r>
      <w:proofErr w:type="spellStart"/>
      <w:r w:rsidR="0042190C" w:rsidRPr="006F72FF">
        <w:rPr>
          <w:rStyle w:val="a1"/>
          <w:rFonts w:ascii="Times New Roman" w:hAnsi="Times New Roman"/>
          <w:b w:val="0"/>
          <w:i/>
          <w:color w:val="auto"/>
          <w:sz w:val="22"/>
          <w:szCs w:val="22"/>
          <w:lang w:eastAsia="ar-SA"/>
        </w:rPr>
        <w:t>от</w:t>
      </w:r>
      <w:proofErr w:type="spellEnd"/>
      <w:r w:rsidR="0042190C"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нормата</w:t>
      </w:r>
      <w:proofErr w:type="spellEnd"/>
      <w:r w:rsidR="0042190C" w:rsidRPr="006F72FF">
        <w:rPr>
          <w:rStyle w:val="a1"/>
          <w:rFonts w:ascii="Times New Roman" w:hAnsi="Times New Roman"/>
          <w:b w:val="0"/>
          <w:i/>
          <w:color w:val="auto"/>
          <w:sz w:val="22"/>
          <w:szCs w:val="22"/>
          <w:lang w:eastAsia="ar-SA"/>
        </w:rPr>
        <w:t xml:space="preserve"> 1961 - 1990 г.)</w:t>
      </w:r>
      <w:bookmarkEnd w:id="13"/>
      <w:bookmarkEnd w:id="14"/>
    </w:p>
    <w:tbl>
      <w:tblPr>
        <w:tblW w:w="9360" w:type="dxa"/>
        <w:tblCellMar>
          <w:left w:w="10" w:type="dxa"/>
          <w:right w:w="10" w:type="dxa"/>
        </w:tblCellMar>
        <w:tblLook w:val="0000" w:firstRow="0" w:lastRow="0" w:firstColumn="0" w:lastColumn="0" w:noHBand="0" w:noVBand="0"/>
      </w:tblPr>
      <w:tblGrid>
        <w:gridCol w:w="4663"/>
        <w:gridCol w:w="4697"/>
      </w:tblGrid>
      <w:tr w:rsidR="008B1EFF" w14:paraId="6290E22A" w14:textId="77777777">
        <w:tc>
          <w:tcPr>
            <w:tcW w:w="4663" w:type="dxa"/>
            <w:shd w:val="clear" w:color="auto" w:fill="auto"/>
            <w:tcMar>
              <w:top w:w="0" w:type="dxa"/>
              <w:left w:w="108" w:type="dxa"/>
              <w:bottom w:w="0" w:type="dxa"/>
              <w:right w:w="108" w:type="dxa"/>
            </w:tcMar>
          </w:tcPr>
          <w:p w14:paraId="0EA6CB2B" w14:textId="77777777" w:rsidR="008B1EFF" w:rsidRDefault="0042190C">
            <w:pPr>
              <w:pStyle w:val="a0"/>
              <w:jc w:val="center"/>
            </w:pPr>
            <w:r>
              <w:rPr>
                <w:rStyle w:val="a1"/>
                <w:b/>
                <w:bCs/>
              </w:rPr>
              <w:t xml:space="preserve">за периода 2021 - 2050 г. </w:t>
            </w:r>
            <w:r>
              <w:rPr>
                <w:rStyle w:val="a1"/>
                <w:b/>
                <w:bCs/>
                <w:noProof/>
                <w:lang w:val="en-GB" w:eastAsia="en-GB"/>
              </w:rPr>
              <w:drawing>
                <wp:inline distT="0" distB="0" distL="0" distR="0" wp14:anchorId="66D3F44E" wp14:editId="6C504E3F">
                  <wp:extent cx="2602803" cy="2244550"/>
                  <wp:effectExtent l="0" t="0" r="7047" b="3350"/>
                  <wp:docPr id="7" name="Picture 168" descr="http://eea.government.bg/bg/soer/2018/climate/figuri/climat9.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rcRect/>
                          <a:stretch>
                            <a:fillRect/>
                          </a:stretch>
                        </pic:blipFill>
                        <pic:spPr>
                          <a:xfrm>
                            <a:off x="0" y="0"/>
                            <a:ext cx="2602803" cy="2244550"/>
                          </a:xfrm>
                          <a:prstGeom prst="rect">
                            <a:avLst/>
                          </a:prstGeom>
                          <a:noFill/>
                          <a:ln>
                            <a:noFill/>
                            <a:prstDash/>
                          </a:ln>
                        </pic:spPr>
                      </pic:pic>
                    </a:graphicData>
                  </a:graphic>
                </wp:inline>
              </w:drawing>
            </w:r>
          </w:p>
        </w:tc>
        <w:tc>
          <w:tcPr>
            <w:tcW w:w="4697" w:type="dxa"/>
            <w:shd w:val="clear" w:color="auto" w:fill="auto"/>
            <w:tcMar>
              <w:top w:w="0" w:type="dxa"/>
              <w:left w:w="108" w:type="dxa"/>
              <w:bottom w:w="0" w:type="dxa"/>
              <w:right w:w="108" w:type="dxa"/>
            </w:tcMar>
          </w:tcPr>
          <w:p w14:paraId="2FCCE599" w14:textId="77777777" w:rsidR="008B1EFF" w:rsidRDefault="0042190C">
            <w:pPr>
              <w:pStyle w:val="a0"/>
              <w:jc w:val="center"/>
            </w:pPr>
            <w:r>
              <w:rPr>
                <w:rStyle w:val="a1"/>
                <w:b/>
                <w:bCs/>
              </w:rPr>
              <w:t>за периода 2071 - 2100 г</w:t>
            </w:r>
            <w:r>
              <w:rPr>
                <w:rStyle w:val="a1"/>
                <w:b/>
                <w:bCs/>
                <w:noProof/>
                <w:lang w:val="en-GB" w:eastAsia="en-GB"/>
              </w:rPr>
              <w:drawing>
                <wp:inline distT="0" distB="0" distL="0" distR="0" wp14:anchorId="5FD6A5AB" wp14:editId="489E88C8">
                  <wp:extent cx="2635181" cy="2247796"/>
                  <wp:effectExtent l="0" t="0" r="0" b="104"/>
                  <wp:docPr id="8" name="Picture 169" descr="http://eea.government.bg/bg/soer/2018/climate/figuri/climat10.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rcRect/>
                          <a:stretch>
                            <a:fillRect/>
                          </a:stretch>
                        </pic:blipFill>
                        <pic:spPr>
                          <a:xfrm>
                            <a:off x="0" y="0"/>
                            <a:ext cx="2635181" cy="2247796"/>
                          </a:xfrm>
                          <a:prstGeom prst="rect">
                            <a:avLst/>
                          </a:prstGeom>
                          <a:noFill/>
                          <a:ln>
                            <a:noFill/>
                            <a:prstDash/>
                          </a:ln>
                        </pic:spPr>
                      </pic:pic>
                    </a:graphicData>
                  </a:graphic>
                </wp:inline>
              </w:drawing>
            </w:r>
          </w:p>
        </w:tc>
      </w:tr>
    </w:tbl>
    <w:p w14:paraId="6B415F50" w14:textId="77777777" w:rsidR="008B1EFF" w:rsidRPr="002E54A0" w:rsidRDefault="0042190C" w:rsidP="002E54A0">
      <w:pPr>
        <w:pStyle w:val="a0"/>
        <w:spacing w:before="120" w:after="120" w:line="264" w:lineRule="auto"/>
        <w:jc w:val="both"/>
        <w:rPr>
          <w:sz w:val="22"/>
          <w:szCs w:val="22"/>
        </w:rPr>
      </w:pPr>
      <w:r w:rsidRPr="002E54A0">
        <w:rPr>
          <w:sz w:val="22"/>
          <w:szCs w:val="22"/>
        </w:rPr>
        <w:t xml:space="preserve">Изменението на климата е причина за увеличаване на честотата и мащаба на екстремните метеорологични и климатични събития (т.нар. екстремни климатични явления) в България. Най-разпространените хидрометеорологични и геофизични природни рискове са наводненията, екстремните температури, ураганите, горските пожари, свлачищата и засушаванията. Броят на смъртните случаи и на жертвите в резултатна природните рискове също нараства, като това говори за все по-голяма уязвимост. </w:t>
      </w:r>
    </w:p>
    <w:p w14:paraId="45F27C25" w14:textId="41E7F6AC" w:rsidR="008B1EFF" w:rsidRPr="002E54A0" w:rsidRDefault="0042190C" w:rsidP="002E54A0">
      <w:pPr>
        <w:pStyle w:val="a0"/>
        <w:spacing w:before="120" w:after="120" w:line="264" w:lineRule="auto"/>
        <w:jc w:val="both"/>
        <w:rPr>
          <w:sz w:val="22"/>
          <w:szCs w:val="22"/>
        </w:rPr>
      </w:pPr>
      <w:r w:rsidRPr="002E54A0">
        <w:rPr>
          <w:sz w:val="22"/>
          <w:szCs w:val="22"/>
        </w:rPr>
        <w:lastRenderedPageBreak/>
        <w:t>Анализът (</w:t>
      </w:r>
      <w:r w:rsidRPr="002E54A0">
        <w:rPr>
          <w:rStyle w:val="a1"/>
          <w:rFonts w:eastAsia="Calibri"/>
          <w:sz w:val="22"/>
          <w:szCs w:val="22"/>
        </w:rPr>
        <w:t xml:space="preserve">Глава 1) от </w:t>
      </w:r>
      <w:r w:rsidRPr="002E54A0">
        <w:rPr>
          <w:rStyle w:val="a1"/>
          <w:rFonts w:eastAsia="Calibri"/>
          <w:bCs/>
          <w:sz w:val="22"/>
          <w:szCs w:val="22"/>
        </w:rPr>
        <w:t>Националната стратегия за адаптация към изменението на климата</w:t>
      </w:r>
      <w:r w:rsidRPr="002E54A0">
        <w:rPr>
          <w:rStyle w:val="a1"/>
          <w:rFonts w:eastAsia="Calibri"/>
          <w:b/>
          <w:bCs/>
          <w:sz w:val="22"/>
          <w:szCs w:val="22"/>
        </w:rPr>
        <w:t xml:space="preserve"> </w:t>
      </w:r>
      <w:r w:rsidRPr="002E54A0">
        <w:rPr>
          <w:rStyle w:val="a1"/>
          <w:rFonts w:eastAsia="Calibri"/>
          <w:sz w:val="22"/>
          <w:szCs w:val="22"/>
        </w:rPr>
        <w:t>очертава рисковете от изменението на климата и уязвимостта на икономическите сектори (селско стопанство, горско стопанство, биологично разнообразие и екосистеми, води, енергетика, транспорт, градска среда, здравеопазване, туризъм, както и макроикономическите последици от изменението на климата</w:t>
      </w:r>
      <w:r w:rsidR="007A192E">
        <w:rPr>
          <w:rStyle w:val="a1"/>
          <w:rFonts w:eastAsia="Calibri"/>
          <w:sz w:val="22"/>
          <w:szCs w:val="22"/>
        </w:rPr>
        <w:t>)</w:t>
      </w:r>
      <w:r w:rsidRPr="002E54A0">
        <w:rPr>
          <w:rStyle w:val="a1"/>
          <w:rFonts w:eastAsia="Calibri"/>
          <w:sz w:val="22"/>
          <w:szCs w:val="22"/>
        </w:rPr>
        <w:t>.</w:t>
      </w:r>
    </w:p>
    <w:p w14:paraId="0291697E" w14:textId="77777777" w:rsidR="008B1EFF" w:rsidRPr="002E54A0" w:rsidRDefault="0042190C" w:rsidP="002E54A0">
      <w:pPr>
        <w:pStyle w:val="a0"/>
        <w:spacing w:before="120" w:after="120" w:line="264" w:lineRule="auto"/>
        <w:jc w:val="both"/>
        <w:rPr>
          <w:sz w:val="22"/>
          <w:szCs w:val="22"/>
        </w:rPr>
      </w:pPr>
      <w:r w:rsidRPr="002E54A0">
        <w:rPr>
          <w:sz w:val="22"/>
          <w:szCs w:val="22"/>
        </w:rPr>
        <w:t xml:space="preserve">Уязвимостта на българската икономика, публична инфраструктура, както и на населението към въздействието на изменението на климата се влияе от социално – икономическото развитие на страната, от нивото на развитие на науката и технологиите, от информираността на населението. </w:t>
      </w:r>
    </w:p>
    <w:p w14:paraId="1F88B648" w14:textId="77777777" w:rsidR="008B1EFF" w:rsidRPr="002E54A0" w:rsidRDefault="008B1EFF" w:rsidP="002E54A0">
      <w:pPr>
        <w:pStyle w:val="a0"/>
        <w:shd w:val="clear" w:color="auto" w:fill="FFFFFF"/>
        <w:spacing w:line="235" w:lineRule="atLeast"/>
        <w:jc w:val="both"/>
        <w:rPr>
          <w:rFonts w:eastAsia="Calibri"/>
          <w:b/>
          <w:sz w:val="22"/>
          <w:szCs w:val="22"/>
          <w:u w:val="single"/>
        </w:rPr>
      </w:pPr>
    </w:p>
    <w:p w14:paraId="5AC5A1C7" w14:textId="77777777" w:rsidR="008B1EFF" w:rsidRPr="002700D9" w:rsidRDefault="0042190C" w:rsidP="002700D9">
      <w:pPr>
        <w:pStyle w:val="Heading2"/>
        <w:jc w:val="both"/>
      </w:pPr>
      <w:bookmarkStart w:id="15" w:name="_Toc72910310"/>
      <w:proofErr w:type="spellStart"/>
      <w:r w:rsidRPr="002700D9">
        <w:t>Контекст</w:t>
      </w:r>
      <w:proofErr w:type="spellEnd"/>
      <w:r w:rsidRPr="002700D9">
        <w:t xml:space="preserve"> и </w:t>
      </w:r>
      <w:proofErr w:type="spellStart"/>
      <w:r w:rsidRPr="002700D9">
        <w:t>цели</w:t>
      </w:r>
      <w:proofErr w:type="spellEnd"/>
      <w:r w:rsidRPr="002700D9">
        <w:t xml:space="preserve"> </w:t>
      </w:r>
      <w:proofErr w:type="spellStart"/>
      <w:r w:rsidRPr="002700D9">
        <w:t>на</w:t>
      </w:r>
      <w:proofErr w:type="spellEnd"/>
      <w:r w:rsidRPr="002700D9">
        <w:t xml:space="preserve"> </w:t>
      </w:r>
      <w:proofErr w:type="spellStart"/>
      <w:r w:rsidRPr="002700D9">
        <w:t>политиката</w:t>
      </w:r>
      <w:proofErr w:type="spellEnd"/>
      <w:r w:rsidRPr="002700D9">
        <w:t xml:space="preserve"> </w:t>
      </w:r>
      <w:proofErr w:type="spellStart"/>
      <w:r w:rsidRPr="002700D9">
        <w:t>по</w:t>
      </w:r>
      <w:proofErr w:type="spellEnd"/>
      <w:r w:rsidRPr="002700D9">
        <w:t xml:space="preserve"> </w:t>
      </w:r>
      <w:proofErr w:type="spellStart"/>
      <w:r w:rsidRPr="002700D9">
        <w:t>климата</w:t>
      </w:r>
      <w:proofErr w:type="spellEnd"/>
      <w:r w:rsidRPr="002700D9">
        <w:t xml:space="preserve"> – </w:t>
      </w:r>
      <w:proofErr w:type="spellStart"/>
      <w:r w:rsidRPr="002700D9">
        <w:t>международен</w:t>
      </w:r>
      <w:proofErr w:type="spellEnd"/>
      <w:r w:rsidRPr="002700D9">
        <w:t xml:space="preserve">, </w:t>
      </w:r>
      <w:proofErr w:type="spellStart"/>
      <w:r w:rsidRPr="002700D9">
        <w:t>европейски</w:t>
      </w:r>
      <w:proofErr w:type="spellEnd"/>
      <w:r w:rsidRPr="002700D9">
        <w:t xml:space="preserve"> и </w:t>
      </w:r>
      <w:proofErr w:type="spellStart"/>
      <w:r w:rsidRPr="002700D9">
        <w:t>национален</w:t>
      </w:r>
      <w:proofErr w:type="spellEnd"/>
      <w:r w:rsidRPr="002700D9">
        <w:t xml:space="preserve"> </w:t>
      </w:r>
      <w:proofErr w:type="spellStart"/>
      <w:r w:rsidRPr="002700D9">
        <w:t>контекст</w:t>
      </w:r>
      <w:bookmarkEnd w:id="15"/>
      <w:proofErr w:type="spellEnd"/>
    </w:p>
    <w:p w14:paraId="6ADC33EB" w14:textId="77777777" w:rsidR="008B1EFF" w:rsidRPr="002E54A0" w:rsidRDefault="0042190C" w:rsidP="002E54A0">
      <w:pPr>
        <w:pStyle w:val="a0"/>
        <w:spacing w:before="120" w:after="120" w:line="264" w:lineRule="auto"/>
        <w:jc w:val="both"/>
        <w:rPr>
          <w:bCs/>
          <w:sz w:val="22"/>
          <w:szCs w:val="22"/>
        </w:rPr>
      </w:pPr>
      <w:r w:rsidRPr="002E54A0">
        <w:rPr>
          <w:bCs/>
          <w:sz w:val="22"/>
          <w:szCs w:val="22"/>
        </w:rPr>
        <w:t>Политиката по климата е насочена от една страна към ограничаване на изменението на климата, а от друга към повишаване устойчивостта на икономиката и инфраструктурата към вече настъпилите промени.</w:t>
      </w:r>
    </w:p>
    <w:p w14:paraId="1CC0BC67" w14:textId="34AC2BBF" w:rsidR="008B1EFF" w:rsidRPr="002E54A0" w:rsidRDefault="0042190C" w:rsidP="002E54A0">
      <w:pPr>
        <w:pStyle w:val="a0"/>
        <w:spacing w:before="120" w:after="120" w:line="264" w:lineRule="auto"/>
        <w:jc w:val="both"/>
        <w:rPr>
          <w:sz w:val="22"/>
          <w:szCs w:val="22"/>
        </w:rPr>
      </w:pPr>
      <w:r w:rsidRPr="002E54A0">
        <w:rPr>
          <w:sz w:val="22"/>
          <w:szCs w:val="22"/>
        </w:rPr>
        <w:t>Националната политика на Република България в областта на  климата  се определя от една страна от международните ангажименти на страната, произтичащи от Рамковата конвенция на ООН по изменение на климата (РКООНИК), Протокола от Киото (ПК) и Споразумението от Париж, очертаващи общата рамка на международните усилия за справяне с предизвикателствата, породени от климатичните промени, и от друга – от задълженията, произтичащи от членството на страната в ЕС и европейск</w:t>
      </w:r>
      <w:r w:rsidR="0013024E">
        <w:rPr>
          <w:sz w:val="22"/>
          <w:szCs w:val="22"/>
        </w:rPr>
        <w:t>от</w:t>
      </w:r>
      <w:r w:rsidRPr="002E54A0">
        <w:rPr>
          <w:sz w:val="22"/>
          <w:szCs w:val="22"/>
        </w:rPr>
        <w:t>о законодателство в тази област.  </w:t>
      </w:r>
    </w:p>
    <w:p w14:paraId="290882FA" w14:textId="68C19C61" w:rsidR="008B1EFF" w:rsidRPr="002E54A0" w:rsidRDefault="0042190C" w:rsidP="002E54A0">
      <w:pPr>
        <w:pStyle w:val="a0"/>
        <w:spacing w:before="120" w:after="120" w:line="264" w:lineRule="auto"/>
        <w:jc w:val="both"/>
        <w:rPr>
          <w:sz w:val="22"/>
          <w:szCs w:val="22"/>
        </w:rPr>
      </w:pPr>
      <w:r w:rsidRPr="002E54A0">
        <w:rPr>
          <w:sz w:val="22"/>
          <w:szCs w:val="22"/>
        </w:rPr>
        <w:t>Усилията са насочени и към изпълнение на Програмата до 2030</w:t>
      </w:r>
      <w:r w:rsidR="00EE0946">
        <w:rPr>
          <w:sz w:val="22"/>
          <w:szCs w:val="22"/>
        </w:rPr>
        <w:t xml:space="preserve"> </w:t>
      </w:r>
      <w:r w:rsidRPr="002E54A0">
        <w:rPr>
          <w:sz w:val="22"/>
          <w:szCs w:val="22"/>
        </w:rPr>
        <w:t>г. на Организацията на обединените нации и на целите за устойчиво развитие, по конкретно на Цел 13. Борба с климатичните промени</w:t>
      </w:r>
      <w:r w:rsidRPr="002E54A0">
        <w:rPr>
          <w:rStyle w:val="FootnoteReference"/>
          <w:sz w:val="22"/>
          <w:szCs w:val="22"/>
        </w:rPr>
        <w:footnoteReference w:id="7"/>
      </w:r>
      <w:r w:rsidRPr="002E54A0">
        <w:rPr>
          <w:sz w:val="22"/>
          <w:szCs w:val="22"/>
        </w:rPr>
        <w:t>.</w:t>
      </w:r>
    </w:p>
    <w:p w14:paraId="46957634" w14:textId="4FD4DFE5" w:rsidR="008B1EFF" w:rsidRDefault="0042190C" w:rsidP="00701288">
      <w:pPr>
        <w:pStyle w:val="a0"/>
        <w:spacing w:before="120" w:after="120" w:line="264" w:lineRule="auto"/>
        <w:jc w:val="both"/>
        <w:rPr>
          <w:sz w:val="22"/>
          <w:szCs w:val="22"/>
        </w:rPr>
      </w:pPr>
      <w:r w:rsidRPr="002E54A0">
        <w:rPr>
          <w:sz w:val="22"/>
          <w:szCs w:val="22"/>
        </w:rPr>
        <w:t xml:space="preserve">Европейският съюз е сред най-амбициозните участници в политиката по изменение на климата. </w:t>
      </w:r>
      <w:r w:rsidR="008949C7">
        <w:rPr>
          <w:sz w:val="22"/>
          <w:szCs w:val="22"/>
        </w:rPr>
        <w:t>През 2019г. дъ</w:t>
      </w:r>
      <w:r w:rsidRPr="002E54A0">
        <w:rPr>
          <w:sz w:val="22"/>
          <w:szCs w:val="22"/>
        </w:rPr>
        <w:t>ржавите от ЕС одобриха целта до 2050 г. да бъде постигната неутралност по отношение на климата, с което дават своя категоричен принос за постигане на целта на Парижкото споразумение</w:t>
      </w:r>
      <w:r w:rsidR="006219BF">
        <w:rPr>
          <w:sz w:val="22"/>
          <w:szCs w:val="22"/>
        </w:rPr>
        <w:t xml:space="preserve"> </w:t>
      </w:r>
      <w:r w:rsidRPr="002E54A0">
        <w:rPr>
          <w:sz w:val="22"/>
          <w:szCs w:val="22"/>
        </w:rPr>
        <w:t>-</w:t>
      </w:r>
      <w:r w:rsidR="00701288">
        <w:rPr>
          <w:sz w:val="22"/>
          <w:szCs w:val="22"/>
        </w:rPr>
        <w:t xml:space="preserve"> </w:t>
      </w:r>
      <w:r w:rsidRPr="002E54A0">
        <w:rPr>
          <w:sz w:val="22"/>
          <w:szCs w:val="22"/>
        </w:rPr>
        <w:t xml:space="preserve">ограничаване на глобалното затопляне далеч под 2°C в сравнение с </w:t>
      </w:r>
      <w:proofErr w:type="spellStart"/>
      <w:r w:rsidRPr="002E54A0">
        <w:rPr>
          <w:sz w:val="22"/>
          <w:szCs w:val="22"/>
        </w:rPr>
        <w:t>прединдустриалните</w:t>
      </w:r>
      <w:proofErr w:type="spellEnd"/>
      <w:r w:rsidRPr="002E54A0">
        <w:rPr>
          <w:sz w:val="22"/>
          <w:szCs w:val="22"/>
        </w:rPr>
        <w:t xml:space="preserve"> нива.</w:t>
      </w:r>
    </w:p>
    <w:p w14:paraId="007B6CEA" w14:textId="1CFB7CFA" w:rsidR="008945B5" w:rsidRPr="009E6AAA" w:rsidRDefault="008945B5" w:rsidP="009E6AAA">
      <w:pPr>
        <w:shd w:val="clear" w:color="auto" w:fill="FFFFFF"/>
        <w:autoSpaceDN/>
        <w:spacing w:after="300" w:line="240" w:lineRule="auto"/>
        <w:jc w:val="both"/>
        <w:textAlignment w:val="auto"/>
        <w:rPr>
          <w:rFonts w:ascii="Times New Roman" w:eastAsia="Times New Roman" w:hAnsi="Times New Roman"/>
          <w:lang w:val="bg-BG" w:eastAsia="bg-BG"/>
        </w:rPr>
      </w:pPr>
      <w:r w:rsidRPr="008945B5">
        <w:rPr>
          <w:rFonts w:ascii="Times New Roman" w:eastAsia="Times New Roman" w:hAnsi="Times New Roman"/>
          <w:lang w:val="bg-BG" w:eastAsia="bg-BG"/>
        </w:rPr>
        <w:t xml:space="preserve">За да постигне </w:t>
      </w:r>
      <w:r w:rsidR="008949C7" w:rsidRPr="00701288">
        <w:rPr>
          <w:rFonts w:ascii="Times New Roman" w:eastAsia="Times New Roman" w:hAnsi="Times New Roman"/>
          <w:lang w:val="bg-BG" w:eastAsia="bg-BG"/>
        </w:rPr>
        <w:t xml:space="preserve">тази </w:t>
      </w:r>
      <w:r w:rsidRPr="008945B5">
        <w:rPr>
          <w:rFonts w:ascii="Times New Roman" w:eastAsia="Times New Roman" w:hAnsi="Times New Roman"/>
          <w:lang w:val="bg-BG" w:eastAsia="bg-BG"/>
        </w:rPr>
        <w:t>цел</w:t>
      </w:r>
      <w:r w:rsidR="008949C7" w:rsidRPr="00701288">
        <w:rPr>
          <w:rFonts w:ascii="Times New Roman" w:eastAsia="Times New Roman" w:hAnsi="Times New Roman"/>
          <w:lang w:val="bg-BG" w:eastAsia="bg-BG"/>
        </w:rPr>
        <w:t>,</w:t>
      </w:r>
      <w:r w:rsidRPr="008945B5">
        <w:rPr>
          <w:rFonts w:ascii="Times New Roman" w:eastAsia="Times New Roman" w:hAnsi="Times New Roman"/>
          <w:lang w:val="bg-BG" w:eastAsia="bg-BG"/>
        </w:rPr>
        <w:t xml:space="preserve"> ЕС трябва да повиши амбицията си за следващото десетилетие, както и да актуализира своята рамка за политиките в областта на климата и енергетиката. </w:t>
      </w:r>
      <w:r w:rsidR="00984BC4" w:rsidRPr="00701288">
        <w:rPr>
          <w:rFonts w:ascii="Times New Roman" w:eastAsia="Times New Roman" w:hAnsi="Times New Roman"/>
          <w:lang w:val="bg-BG" w:eastAsia="bg-BG"/>
        </w:rPr>
        <w:t>През декември 2020</w:t>
      </w:r>
      <w:r w:rsidR="002D3EDD" w:rsidRPr="00701288">
        <w:rPr>
          <w:rFonts w:ascii="Times New Roman" w:eastAsia="Times New Roman" w:hAnsi="Times New Roman"/>
          <w:lang w:val="bg-BG" w:eastAsia="bg-BG"/>
        </w:rPr>
        <w:t xml:space="preserve">г. </w:t>
      </w:r>
      <w:r w:rsidRPr="008945B5">
        <w:rPr>
          <w:rFonts w:ascii="Times New Roman" w:eastAsia="Times New Roman" w:hAnsi="Times New Roman"/>
          <w:lang w:val="bg-BG" w:eastAsia="bg-BG"/>
        </w:rPr>
        <w:t xml:space="preserve"> Европейският съвет</w:t>
      </w:r>
      <w:r w:rsidR="00984BC4" w:rsidRPr="00701288">
        <w:rPr>
          <w:rFonts w:ascii="Times New Roman" w:eastAsia="Times New Roman" w:hAnsi="Times New Roman"/>
          <w:vertAlign w:val="superscript"/>
          <w:lang w:val="bg-BG" w:eastAsia="bg-BG"/>
        </w:rPr>
        <w:footnoteReference w:id="8"/>
      </w:r>
      <w:r w:rsidRPr="008945B5">
        <w:rPr>
          <w:rFonts w:ascii="Times New Roman" w:eastAsia="Times New Roman" w:hAnsi="Times New Roman"/>
          <w:vertAlign w:val="superscript"/>
          <w:lang w:val="bg-BG" w:eastAsia="bg-BG"/>
        </w:rPr>
        <w:t xml:space="preserve"> </w:t>
      </w:r>
      <w:r w:rsidRPr="008945B5">
        <w:rPr>
          <w:rFonts w:ascii="Times New Roman" w:eastAsia="Times New Roman" w:hAnsi="Times New Roman"/>
          <w:lang w:val="bg-BG" w:eastAsia="bg-BG"/>
        </w:rPr>
        <w:t>утвърди като обвързваща цел за ЕС нетно намаление на емисиите на парникови газове до 2030 г. с най-малко 55% спрямо равнищ</w:t>
      </w:r>
      <w:r w:rsidR="009E6AAA">
        <w:rPr>
          <w:rFonts w:ascii="Times New Roman" w:eastAsia="Times New Roman" w:hAnsi="Times New Roman"/>
          <w:lang w:val="bg-BG" w:eastAsia="bg-BG"/>
        </w:rPr>
        <w:t>ето</w:t>
      </w:r>
      <w:r w:rsidRPr="008945B5">
        <w:rPr>
          <w:rFonts w:ascii="Times New Roman" w:eastAsia="Times New Roman" w:hAnsi="Times New Roman"/>
          <w:lang w:val="bg-BG" w:eastAsia="bg-BG"/>
        </w:rPr>
        <w:t xml:space="preserve"> от 1990 г.</w:t>
      </w:r>
      <w:r w:rsidR="002D3EDD" w:rsidRPr="00701288">
        <w:rPr>
          <w:rFonts w:ascii="Times New Roman" w:eastAsia="Times New Roman" w:hAnsi="Times New Roman"/>
          <w:lang w:val="bg-BG" w:eastAsia="bg-BG"/>
        </w:rPr>
        <w:t xml:space="preserve"> </w:t>
      </w:r>
      <w:r w:rsidRPr="008945B5">
        <w:rPr>
          <w:rFonts w:ascii="Times New Roman" w:eastAsia="Times New Roman" w:hAnsi="Times New Roman"/>
          <w:lang w:val="bg-BG" w:eastAsia="bg-BG"/>
        </w:rPr>
        <w:t>Лидерите от ЕС изтъкнаха значението на мобилизирането на публични финанси и частен капитал </w:t>
      </w:r>
      <w:r w:rsidR="009E6AAA">
        <w:rPr>
          <w:rFonts w:ascii="Times New Roman" w:eastAsia="Times New Roman" w:hAnsi="Times New Roman"/>
          <w:lang w:val="bg-BG" w:eastAsia="bg-BG"/>
        </w:rPr>
        <w:t xml:space="preserve">за </w:t>
      </w:r>
      <w:r w:rsidRPr="008945B5">
        <w:rPr>
          <w:rFonts w:ascii="Times New Roman" w:eastAsia="Times New Roman" w:hAnsi="Times New Roman"/>
          <w:lang w:val="bg-BG" w:eastAsia="bg-BG"/>
        </w:rPr>
        <w:t>действия в областта на климата.</w:t>
      </w:r>
    </w:p>
    <w:p w14:paraId="6EE48A5F" w14:textId="77777777" w:rsidR="008B1EFF" w:rsidRPr="002E54A0" w:rsidRDefault="0042190C" w:rsidP="002E54A0">
      <w:pPr>
        <w:pStyle w:val="a0"/>
        <w:spacing w:before="120" w:after="120" w:line="264" w:lineRule="auto"/>
        <w:jc w:val="both"/>
        <w:rPr>
          <w:sz w:val="22"/>
          <w:szCs w:val="22"/>
        </w:rPr>
      </w:pPr>
      <w:r w:rsidRPr="002E54A0">
        <w:rPr>
          <w:sz w:val="22"/>
          <w:szCs w:val="22"/>
        </w:rPr>
        <w:t xml:space="preserve">България участва активно в общите усилия за смекчаване на изменението на климата и адаптация към вече настъпилите промени. </w:t>
      </w:r>
    </w:p>
    <w:p w14:paraId="509D446A" w14:textId="77777777" w:rsidR="008B1EFF" w:rsidRDefault="0042190C">
      <w:pPr>
        <w:pStyle w:val="a0"/>
        <w:spacing w:before="120" w:after="120" w:line="264" w:lineRule="auto"/>
        <w:jc w:val="both"/>
      </w:pPr>
      <w:r>
        <w:rPr>
          <w:rStyle w:val="a1"/>
          <w:rFonts w:eastAsia="Calibri"/>
          <w:noProof/>
          <w:lang w:val="en-GB" w:eastAsia="en-GB"/>
        </w:rPr>
        <w:lastRenderedPageBreak/>
        <w:drawing>
          <wp:inline distT="0" distB="0" distL="0" distR="0" wp14:anchorId="04F23D92" wp14:editId="5C30C681">
            <wp:extent cx="5048246" cy="3021634"/>
            <wp:effectExtent l="0" t="0" r="4" b="7316"/>
            <wp:docPr id="9" name="Picture 613" descr="Description: Description: Figure - Ch"/>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rcRect/>
                    <a:stretch>
                      <a:fillRect/>
                    </a:stretch>
                  </pic:blipFill>
                  <pic:spPr>
                    <a:xfrm>
                      <a:off x="0" y="0"/>
                      <a:ext cx="5048246" cy="3021634"/>
                    </a:xfrm>
                    <a:prstGeom prst="rect">
                      <a:avLst/>
                    </a:prstGeom>
                    <a:noFill/>
                    <a:ln>
                      <a:noFill/>
                      <a:prstDash/>
                    </a:ln>
                  </pic:spPr>
                </pic:pic>
              </a:graphicData>
            </a:graphic>
          </wp:inline>
        </w:drawing>
      </w:r>
    </w:p>
    <w:p w14:paraId="3C56718C" w14:textId="77777777" w:rsidR="008B1EFF" w:rsidRDefault="0042190C">
      <w:pPr>
        <w:pStyle w:val="a0"/>
        <w:spacing w:before="120" w:line="276" w:lineRule="auto"/>
        <w:jc w:val="both"/>
        <w:rPr>
          <w:i/>
          <w:sz w:val="20"/>
          <w:szCs w:val="20"/>
        </w:rPr>
      </w:pPr>
      <w:r>
        <w:rPr>
          <w:i/>
          <w:sz w:val="20"/>
          <w:szCs w:val="20"/>
        </w:rPr>
        <w:t xml:space="preserve">Източник: Национална стратегия за адаптация към изменението на климата </w:t>
      </w:r>
    </w:p>
    <w:p w14:paraId="5B4ED5EF" w14:textId="77777777" w:rsidR="008B1EFF" w:rsidRDefault="008B1EFF">
      <w:pPr>
        <w:pStyle w:val="a0"/>
        <w:spacing w:before="120" w:after="120" w:line="264" w:lineRule="auto"/>
        <w:jc w:val="both"/>
        <w:rPr>
          <w:b/>
        </w:rPr>
      </w:pPr>
    </w:p>
    <w:p w14:paraId="7A721600" w14:textId="77777777" w:rsidR="008B1EFF" w:rsidRDefault="0042190C">
      <w:pPr>
        <w:pStyle w:val="a0"/>
        <w:spacing w:before="120" w:after="120" w:line="264" w:lineRule="auto"/>
        <w:jc w:val="both"/>
      </w:pPr>
      <w:r>
        <w:rPr>
          <w:rStyle w:val="a1"/>
          <w:b/>
        </w:rPr>
        <w:t>Адаптиране към изменението на климата</w:t>
      </w:r>
      <w:r>
        <w:rPr>
          <w:rStyle w:val="ab"/>
          <w:b/>
        </w:rPr>
        <w:footnoteReference w:id="9"/>
      </w:r>
    </w:p>
    <w:p w14:paraId="05C2F896" w14:textId="77777777" w:rsidR="008B1EFF" w:rsidRPr="002E54A0" w:rsidRDefault="0042190C">
      <w:pPr>
        <w:pStyle w:val="a0"/>
        <w:spacing w:before="120" w:after="120" w:line="276" w:lineRule="auto"/>
        <w:jc w:val="both"/>
        <w:rPr>
          <w:sz w:val="22"/>
          <w:szCs w:val="22"/>
        </w:rPr>
      </w:pPr>
      <w:r w:rsidRPr="002E54A0">
        <w:rPr>
          <w:sz w:val="22"/>
          <w:szCs w:val="22"/>
        </w:rPr>
        <w:t>Засилване на устойчивостта и способността за приспособяване към свързаните с изменението на климата опасности и природни бедствия е цел 13.1 от целите за устойчиво развитие на ООН.</w:t>
      </w:r>
    </w:p>
    <w:p w14:paraId="23C74C44" w14:textId="1014E447" w:rsidR="008B1EFF" w:rsidRPr="002E54A0" w:rsidRDefault="0042190C">
      <w:pPr>
        <w:pStyle w:val="a0"/>
        <w:spacing w:before="120" w:after="120" w:line="276" w:lineRule="auto"/>
        <w:jc w:val="both"/>
        <w:rPr>
          <w:sz w:val="22"/>
          <w:szCs w:val="22"/>
        </w:rPr>
      </w:pPr>
      <w:r w:rsidRPr="002E54A0">
        <w:rPr>
          <w:rStyle w:val="None"/>
          <w:sz w:val="22"/>
          <w:szCs w:val="22"/>
        </w:rPr>
        <w:t>В Парижкото споразумение (чл.7) страните установяват глобалната цел за адаптацията чрез повишаване на адаптивната способност, укрепване на устойчивостта и намаляване на уязвимостта от изменението на климата, като се подчертава ключовата роля на адаптирането за постигане на устойчиво развитие.</w:t>
      </w:r>
    </w:p>
    <w:p w14:paraId="2FC581E7" w14:textId="50DDDF08" w:rsidR="008B1EFF" w:rsidRPr="002E54A0" w:rsidRDefault="0042190C">
      <w:pPr>
        <w:pStyle w:val="a0"/>
        <w:spacing w:before="120" w:after="120" w:line="276" w:lineRule="auto"/>
        <w:jc w:val="both"/>
        <w:rPr>
          <w:sz w:val="22"/>
          <w:szCs w:val="22"/>
        </w:rPr>
      </w:pPr>
      <w:r w:rsidRPr="002E54A0">
        <w:rPr>
          <w:sz w:val="22"/>
          <w:szCs w:val="22"/>
        </w:rPr>
        <w:t>В съответствие и съгласувано с останалите елементи на Европейския зелен пакт,  Европейската комисия представи, със съобщение от февруари 2021</w:t>
      </w:r>
      <w:r w:rsidR="00D428D6">
        <w:rPr>
          <w:sz w:val="22"/>
          <w:szCs w:val="22"/>
        </w:rPr>
        <w:t xml:space="preserve"> </w:t>
      </w:r>
      <w:r w:rsidRPr="002E54A0">
        <w:rPr>
          <w:sz w:val="22"/>
          <w:szCs w:val="22"/>
        </w:rPr>
        <w:t>г., новата стратегия на ЕС за адаптация към изменението на климата „Изграждане на устойчива на климатичните изменения Европа – новата стратегия на ЕС за адаптиране към изменението на климата“</w:t>
      </w:r>
      <w:r w:rsidRPr="002E54A0">
        <w:rPr>
          <w:rStyle w:val="ab"/>
          <w:sz w:val="22"/>
          <w:szCs w:val="22"/>
        </w:rPr>
        <w:footnoteReference w:id="10"/>
      </w:r>
      <w:r w:rsidRPr="002E54A0">
        <w:rPr>
          <w:sz w:val="22"/>
          <w:szCs w:val="22"/>
        </w:rPr>
        <w:t xml:space="preserve">. </w:t>
      </w:r>
      <w:r w:rsidRPr="002E54A0">
        <w:rPr>
          <w:rStyle w:val="a1"/>
          <w:bCs/>
          <w:sz w:val="22"/>
          <w:szCs w:val="22"/>
        </w:rPr>
        <w:t>Дългосрочната визия е, че през 2050 г. ЕС ще бъде устойчиво на изменението на климата общество, напълно адаптирано към неизбежното въздействие на изменението на климата.</w:t>
      </w:r>
      <w:r w:rsidRPr="002E54A0">
        <w:rPr>
          <w:rStyle w:val="a1"/>
          <w:b/>
          <w:bCs/>
          <w:sz w:val="22"/>
          <w:szCs w:val="22"/>
        </w:rPr>
        <w:t xml:space="preserve"> </w:t>
      </w:r>
    </w:p>
    <w:p w14:paraId="47155368" w14:textId="77777777" w:rsidR="008B1EFF" w:rsidRPr="002E54A0" w:rsidRDefault="0042190C">
      <w:pPr>
        <w:pStyle w:val="a0"/>
        <w:spacing w:before="120" w:after="120" w:line="276" w:lineRule="auto"/>
        <w:jc w:val="both"/>
        <w:rPr>
          <w:sz w:val="22"/>
          <w:szCs w:val="22"/>
        </w:rPr>
      </w:pPr>
      <w:r w:rsidRPr="002E54A0">
        <w:rPr>
          <w:sz w:val="22"/>
          <w:szCs w:val="22"/>
        </w:rPr>
        <w:t xml:space="preserve">Стратегията е отговор на нарастващите предизвикателства в резултат на изменението на климата. Анализът показва, че дори ако глобалните и европейските усилия за намаляване на емисиите на </w:t>
      </w:r>
      <w:r w:rsidRPr="002E54A0">
        <w:rPr>
          <w:sz w:val="22"/>
          <w:szCs w:val="22"/>
        </w:rPr>
        <w:lastRenderedPageBreak/>
        <w:t xml:space="preserve">парникови газове се окажат ефективни, </w:t>
      </w:r>
      <w:r w:rsidRPr="002E54A0">
        <w:rPr>
          <w:rStyle w:val="a1"/>
          <w:bCs/>
          <w:sz w:val="22"/>
          <w:szCs w:val="22"/>
        </w:rPr>
        <w:t>това не би предотвратило проявите на въздействието върху климата, които вече са налице</w:t>
      </w:r>
      <w:r w:rsidRPr="002E54A0">
        <w:rPr>
          <w:rStyle w:val="a1"/>
          <w:b/>
          <w:bCs/>
          <w:sz w:val="22"/>
          <w:szCs w:val="22"/>
        </w:rPr>
        <w:t>.</w:t>
      </w:r>
      <w:r w:rsidRPr="002E54A0">
        <w:rPr>
          <w:sz w:val="22"/>
          <w:szCs w:val="22"/>
        </w:rPr>
        <w:t xml:space="preserve"> Дори драстичните временни намаления на емисиите като причинените от финансовата криза от 2008 г. или от икономическите смущения от пандемията от COVID-19, имат слабо въздействие върху цялостната траектория на глобалното затопляне.</w:t>
      </w:r>
    </w:p>
    <w:p w14:paraId="182DAA7B" w14:textId="77777777" w:rsidR="008B1EFF" w:rsidRPr="002E54A0" w:rsidRDefault="0042190C">
      <w:pPr>
        <w:pStyle w:val="a0"/>
        <w:spacing w:before="120" w:after="120" w:line="276" w:lineRule="auto"/>
        <w:jc w:val="both"/>
        <w:rPr>
          <w:sz w:val="22"/>
          <w:szCs w:val="22"/>
        </w:rPr>
      </w:pPr>
      <w:r w:rsidRPr="002E54A0">
        <w:rPr>
          <w:sz w:val="22"/>
          <w:szCs w:val="22"/>
        </w:rPr>
        <w:t>Новата стратегия на ЕС има за цел да активизира действията в икономиката и обществото, за да се постигне устойчивост спрямо изменението на климата, като се насочат усилия към подобряване на знанията за климатичните въздействия и решенията за адаптиране, чрез по-активно планиране на адаптирането и оценка на риска, свързан с климата, чрез ускоряване на действията за адаптиране и насърчаване на природосъобразните решения за адаптиране, чрез интегриране на устойчивостта спрямо изменението на климата в националните фискални рамки и засилване на международните действия за укрепване на устойчивостта спрямо изменението на климата в световен мащаб</w:t>
      </w:r>
      <w:r w:rsidRPr="002E54A0">
        <w:rPr>
          <w:rStyle w:val="None"/>
          <w:sz w:val="22"/>
          <w:szCs w:val="22"/>
        </w:rPr>
        <w:t>.</w:t>
      </w:r>
      <w:r w:rsidRPr="002E54A0">
        <w:rPr>
          <w:sz w:val="22"/>
          <w:szCs w:val="22"/>
        </w:rPr>
        <w:t xml:space="preserve"> </w:t>
      </w:r>
    </w:p>
    <w:p w14:paraId="2AF1E12A" w14:textId="77777777" w:rsidR="008B1EFF" w:rsidRPr="002E54A0" w:rsidRDefault="0042190C">
      <w:pPr>
        <w:pStyle w:val="a0"/>
        <w:shd w:val="clear" w:color="auto" w:fill="FFFFFF"/>
        <w:spacing w:before="120" w:after="120" w:line="276" w:lineRule="auto"/>
        <w:jc w:val="both"/>
        <w:rPr>
          <w:sz w:val="22"/>
          <w:szCs w:val="22"/>
        </w:rPr>
      </w:pPr>
      <w:r w:rsidRPr="002E54A0">
        <w:rPr>
          <w:rStyle w:val="a1"/>
          <w:bCs/>
          <w:color w:val="333333"/>
          <w:sz w:val="22"/>
          <w:szCs w:val="22"/>
        </w:rPr>
        <w:t xml:space="preserve">В Доклада за България за 2020 г. </w:t>
      </w:r>
      <w:r w:rsidRPr="002E54A0">
        <w:rPr>
          <w:rStyle w:val="ab"/>
          <w:bCs/>
          <w:color w:val="333333"/>
          <w:sz w:val="22"/>
          <w:szCs w:val="22"/>
        </w:rPr>
        <w:footnoteReference w:id="11"/>
      </w:r>
      <w:r w:rsidRPr="002E54A0">
        <w:rPr>
          <w:rStyle w:val="a1"/>
          <w:bCs/>
          <w:color w:val="333333"/>
          <w:sz w:val="22"/>
          <w:szCs w:val="22"/>
        </w:rPr>
        <w:t xml:space="preserve">, ЕК обръща  внимание на факта, че България е </w:t>
      </w:r>
      <w:r w:rsidRPr="002E54A0">
        <w:rPr>
          <w:sz w:val="22"/>
          <w:szCs w:val="22"/>
        </w:rPr>
        <w:t>сред държавите от ЕС, които са най-уязвими спрямо последиците от климатичните изменения. Сред тях са повишаването на температурата, засушаването на почвата и изключително обилните валежи, които се изострят от високите равнища на бедност и относително слабите мерки за адаптация(</w:t>
      </w:r>
      <w:r w:rsidRPr="002E54A0">
        <w:rPr>
          <w:rStyle w:val="a1"/>
          <w:sz w:val="22"/>
          <w:szCs w:val="22"/>
          <w:vertAlign w:val="superscript"/>
        </w:rPr>
        <w:footnoteReference w:id="12"/>
      </w:r>
      <w:r w:rsidRPr="002E54A0">
        <w:rPr>
          <w:sz w:val="22"/>
          <w:szCs w:val="22"/>
        </w:rPr>
        <w:t>)(</w:t>
      </w:r>
      <w:r w:rsidRPr="002E54A0">
        <w:rPr>
          <w:rStyle w:val="a1"/>
          <w:sz w:val="22"/>
          <w:szCs w:val="22"/>
          <w:vertAlign w:val="superscript"/>
        </w:rPr>
        <w:footnoteReference w:id="13"/>
      </w:r>
      <w:r w:rsidRPr="002E54A0">
        <w:rPr>
          <w:sz w:val="22"/>
          <w:szCs w:val="22"/>
        </w:rPr>
        <w:t xml:space="preserve">). Икономическите загуби, причинени от екстремни метеорологични условия и свързани с изменението на климата явления, възлизат на 2,4 милиарда евро за периода 1980—2017 г. </w:t>
      </w:r>
      <w:r w:rsidRPr="002E54A0">
        <w:rPr>
          <w:rStyle w:val="ab"/>
          <w:sz w:val="22"/>
          <w:szCs w:val="22"/>
        </w:rPr>
        <w:footnoteReference w:id="14"/>
      </w:r>
      <w:r w:rsidRPr="002E54A0">
        <w:rPr>
          <w:sz w:val="22"/>
          <w:szCs w:val="22"/>
        </w:rPr>
        <w:t>(ЕАОС, 2019б). Най-силно застрашени от последиците от изменението на климата са селското стопанство, туризмът и водоснабдяването.</w:t>
      </w:r>
    </w:p>
    <w:p w14:paraId="1C57CFBE" w14:textId="5F3E9295" w:rsidR="008B1EFF" w:rsidRPr="002E54A0" w:rsidRDefault="0042190C">
      <w:pPr>
        <w:pStyle w:val="a0"/>
        <w:spacing w:before="120" w:after="120" w:line="276" w:lineRule="auto"/>
        <w:jc w:val="both"/>
        <w:rPr>
          <w:sz w:val="22"/>
          <w:szCs w:val="22"/>
        </w:rPr>
      </w:pPr>
      <w:r w:rsidRPr="002E54A0">
        <w:rPr>
          <w:rStyle w:val="a1"/>
          <w:b/>
          <w:sz w:val="22"/>
          <w:szCs w:val="22"/>
        </w:rPr>
        <w:t>На национално ниво,</w:t>
      </w:r>
      <w:r w:rsidRPr="002E54A0">
        <w:rPr>
          <w:sz w:val="22"/>
          <w:szCs w:val="22"/>
        </w:rPr>
        <w:t xml:space="preserve"> с цел противодействие на климатичните промени и въздействието им върху икономиката, България изготви Национална стратегия за адаптация към изменението на климата и План за действие към нея, приета с Решение № 621 от 25.10.2019 г. на Министерския съвет през 2019</w:t>
      </w:r>
      <w:r w:rsidR="006A29F5">
        <w:rPr>
          <w:sz w:val="22"/>
          <w:szCs w:val="22"/>
        </w:rPr>
        <w:t xml:space="preserve"> </w:t>
      </w:r>
      <w:r w:rsidRPr="002E54A0">
        <w:rPr>
          <w:sz w:val="22"/>
          <w:szCs w:val="22"/>
        </w:rPr>
        <w:t xml:space="preserve">г. </w:t>
      </w:r>
    </w:p>
    <w:p w14:paraId="6FC96A70" w14:textId="77777777" w:rsidR="008B1EFF" w:rsidRPr="002E54A0" w:rsidRDefault="0042190C">
      <w:pPr>
        <w:pStyle w:val="a0"/>
        <w:spacing w:before="120" w:after="120" w:line="276" w:lineRule="auto"/>
        <w:jc w:val="both"/>
        <w:rPr>
          <w:sz w:val="22"/>
          <w:szCs w:val="22"/>
        </w:rPr>
      </w:pPr>
      <w:r w:rsidRPr="002E54A0">
        <w:rPr>
          <w:sz w:val="22"/>
          <w:szCs w:val="22"/>
        </w:rPr>
        <w:t xml:space="preserve">Документът очертава стратегическата рамка и приоритетите по отношение на адаптацията към изменението на климата до 2030 г. Целта е да се намали уязвимостта на страната спрямо последиците от изменението на климата и да се подобри капацитетът за адаптация на екологичните, социалните и икономическите системи към въздействията на изменението на климата. </w:t>
      </w:r>
    </w:p>
    <w:p w14:paraId="1D05304B" w14:textId="77777777" w:rsidR="008B1EFF" w:rsidRPr="002E54A0" w:rsidRDefault="0042190C">
      <w:pPr>
        <w:pStyle w:val="ac"/>
        <w:spacing w:before="120"/>
        <w:jc w:val="both"/>
        <w:rPr>
          <w:sz w:val="22"/>
          <w:szCs w:val="22"/>
        </w:rPr>
      </w:pPr>
      <w:r w:rsidRPr="002E54A0">
        <w:rPr>
          <w:rStyle w:val="a1"/>
          <w:rFonts w:ascii="Times New Roman" w:eastAsia="Times New Roman" w:hAnsi="Times New Roman"/>
          <w:b w:val="0"/>
          <w:sz w:val="22"/>
          <w:szCs w:val="22"/>
        </w:rPr>
        <w:t>Конкретните предизвикателства, произтичащи от изменението на климата, пред които са изправени секторите в България (селско стопанство, биологично разнообразие и екосистемите, енергетика, горско стопанство, здравеопазване, транспорт, туризъм, градска среда и управление на водните ресурси), са анализирани в секторни доклади за оценка.</w:t>
      </w:r>
      <w:r w:rsidRPr="002E54A0">
        <w:rPr>
          <w:rStyle w:val="ab"/>
          <w:rFonts w:ascii="Times New Roman" w:eastAsia="Times New Roman" w:hAnsi="Times New Roman"/>
          <w:b w:val="0"/>
          <w:sz w:val="22"/>
          <w:szCs w:val="22"/>
        </w:rPr>
        <w:footnoteReference w:id="15"/>
      </w:r>
      <w:r w:rsidRPr="002E54A0">
        <w:rPr>
          <w:rStyle w:val="a1"/>
          <w:rFonts w:ascii="Times New Roman" w:eastAsia="Times New Roman" w:hAnsi="Times New Roman"/>
          <w:b w:val="0"/>
          <w:sz w:val="22"/>
          <w:szCs w:val="22"/>
        </w:rPr>
        <w:t xml:space="preserve"> Рискът от свързаните с климата въздействия е резултат от взаимодействието между опасностите, причинени от климата и уязвимостта и експозицията. Промените, както в климатичната система, така и в социално-</w:t>
      </w:r>
      <w:r w:rsidRPr="002E54A0">
        <w:rPr>
          <w:rStyle w:val="a1"/>
          <w:rFonts w:ascii="Times New Roman" w:eastAsia="Times New Roman" w:hAnsi="Times New Roman"/>
          <w:b w:val="0"/>
          <w:sz w:val="22"/>
          <w:szCs w:val="22"/>
        </w:rPr>
        <w:lastRenderedPageBreak/>
        <w:t>икономическите процеси, включително адаптирането и смекчаването, са двигатели на опасностите, експозицията и уязвимостта. Уязвимостта, опасността и/или експозицията ще бъдат намалени, и по този начин рискът ще бъде смекчен, когато мерките за адаптиране бъдат правилно определени и приложени своевременно.</w:t>
      </w:r>
    </w:p>
    <w:p w14:paraId="6B1A6C69" w14:textId="0975BF79" w:rsidR="008B1EFF" w:rsidRPr="006F72FF" w:rsidRDefault="006F72FF" w:rsidP="006F72FF">
      <w:pPr>
        <w:pStyle w:val="Caption"/>
        <w:rPr>
          <w:rStyle w:val="a1"/>
          <w:rFonts w:ascii="Times New Roman" w:hAnsi="Times New Roman"/>
          <w:b w:val="0"/>
          <w:i/>
          <w:color w:val="auto"/>
          <w:sz w:val="22"/>
          <w:szCs w:val="22"/>
          <w:lang w:eastAsia="ar-SA"/>
        </w:rPr>
      </w:pPr>
      <w:bookmarkStart w:id="21" w:name="_Toc499887401"/>
      <w:bookmarkStart w:id="22" w:name="_Toc504672033"/>
      <w:bookmarkStart w:id="23" w:name="_Toc507002238"/>
      <w:bookmarkStart w:id="24" w:name="_Toc507009760"/>
      <w:bookmarkStart w:id="25" w:name="_Toc515020651"/>
      <w:bookmarkStart w:id="26" w:name="_Toc530039474"/>
      <w:bookmarkStart w:id="27" w:name="_Toc530039500"/>
      <w:bookmarkStart w:id="28" w:name="_Toc72910390"/>
      <w:proofErr w:type="spellStart"/>
      <w:r w:rsidRPr="006F72FF">
        <w:rPr>
          <w:rStyle w:val="a1"/>
          <w:rFonts w:ascii="Times New Roman" w:hAnsi="Times New Roman"/>
          <w:b w:val="0"/>
          <w:i/>
          <w:color w:val="auto"/>
          <w:sz w:val="22"/>
          <w:szCs w:val="22"/>
          <w:lang w:eastAsia="ar-SA"/>
        </w:rPr>
        <w:t>Фигура</w:t>
      </w:r>
      <w:proofErr w:type="spellEnd"/>
      <w:r w:rsidRPr="006F72FF">
        <w:rPr>
          <w:rStyle w:val="a1"/>
          <w:rFonts w:ascii="Times New Roman" w:hAnsi="Times New Roman"/>
          <w:b w:val="0"/>
          <w:i/>
          <w:color w:val="auto"/>
          <w:sz w:val="22"/>
          <w:szCs w:val="22"/>
          <w:lang w:eastAsia="ar-SA"/>
        </w:rPr>
        <w:t xml:space="preserve"> </w:t>
      </w:r>
      <w:r w:rsidRPr="006F72FF">
        <w:rPr>
          <w:rStyle w:val="a1"/>
          <w:rFonts w:ascii="Times New Roman" w:hAnsi="Times New Roman"/>
          <w:b w:val="0"/>
          <w:i/>
          <w:color w:val="auto"/>
          <w:sz w:val="22"/>
          <w:szCs w:val="22"/>
          <w:lang w:eastAsia="ar-SA"/>
        </w:rPr>
        <w:fldChar w:fldCharType="begin"/>
      </w:r>
      <w:r w:rsidRPr="006F72FF">
        <w:rPr>
          <w:rStyle w:val="a1"/>
          <w:rFonts w:ascii="Times New Roman" w:hAnsi="Times New Roman"/>
          <w:b w:val="0"/>
          <w:i/>
          <w:color w:val="auto"/>
          <w:sz w:val="22"/>
          <w:szCs w:val="22"/>
          <w:lang w:eastAsia="ar-SA"/>
        </w:rPr>
        <w:instrText xml:space="preserve"> SEQ Фигура \* ARABIC </w:instrText>
      </w:r>
      <w:r w:rsidRPr="006F72FF">
        <w:rPr>
          <w:rStyle w:val="a1"/>
          <w:rFonts w:ascii="Times New Roman" w:hAnsi="Times New Roman"/>
          <w:b w:val="0"/>
          <w:i/>
          <w:color w:val="auto"/>
          <w:sz w:val="22"/>
          <w:szCs w:val="22"/>
          <w:lang w:eastAsia="ar-SA"/>
        </w:rPr>
        <w:fldChar w:fldCharType="separate"/>
      </w:r>
      <w:r w:rsidR="008059A7">
        <w:rPr>
          <w:rStyle w:val="a1"/>
          <w:rFonts w:ascii="Times New Roman" w:hAnsi="Times New Roman"/>
          <w:b w:val="0"/>
          <w:i/>
          <w:noProof/>
          <w:color w:val="auto"/>
          <w:sz w:val="22"/>
          <w:szCs w:val="22"/>
          <w:lang w:eastAsia="ar-SA"/>
        </w:rPr>
        <w:t>7</w:t>
      </w:r>
      <w:r w:rsidRPr="006F72FF">
        <w:rPr>
          <w:rStyle w:val="a1"/>
          <w:rFonts w:ascii="Times New Roman" w:hAnsi="Times New Roman"/>
          <w:b w:val="0"/>
          <w:i/>
          <w:color w:val="auto"/>
          <w:sz w:val="22"/>
          <w:szCs w:val="22"/>
          <w:lang w:eastAsia="ar-SA"/>
        </w:rPr>
        <w:fldChar w:fldCharType="end"/>
      </w:r>
      <w:r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Обща</w:t>
      </w:r>
      <w:proofErr w:type="spellEnd"/>
      <w:r w:rsidR="0042190C"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концепция</w:t>
      </w:r>
      <w:proofErr w:type="spellEnd"/>
      <w:r w:rsidR="0042190C" w:rsidRPr="006F72FF">
        <w:rPr>
          <w:rStyle w:val="a1"/>
          <w:rFonts w:ascii="Times New Roman" w:hAnsi="Times New Roman"/>
          <w:b w:val="0"/>
          <w:i/>
          <w:color w:val="auto"/>
          <w:sz w:val="22"/>
          <w:szCs w:val="22"/>
          <w:lang w:eastAsia="ar-SA"/>
        </w:rPr>
        <w:t xml:space="preserve"> </w:t>
      </w:r>
      <w:proofErr w:type="spellStart"/>
      <w:r w:rsidR="0042190C" w:rsidRPr="006F72FF">
        <w:rPr>
          <w:rStyle w:val="a1"/>
          <w:rFonts w:ascii="Times New Roman" w:hAnsi="Times New Roman"/>
          <w:b w:val="0"/>
          <w:i/>
          <w:color w:val="auto"/>
          <w:sz w:val="22"/>
          <w:szCs w:val="22"/>
          <w:lang w:eastAsia="ar-SA"/>
        </w:rPr>
        <w:t>на</w:t>
      </w:r>
      <w:proofErr w:type="spellEnd"/>
      <w:r w:rsidR="0042190C" w:rsidRPr="006F72FF">
        <w:rPr>
          <w:rStyle w:val="a1"/>
          <w:rFonts w:ascii="Times New Roman" w:hAnsi="Times New Roman"/>
          <w:b w:val="0"/>
          <w:i/>
          <w:color w:val="auto"/>
          <w:sz w:val="22"/>
          <w:szCs w:val="22"/>
          <w:lang w:eastAsia="ar-SA"/>
        </w:rPr>
        <w:t xml:space="preserve"> WGII AR5</w:t>
      </w:r>
      <w:bookmarkEnd w:id="21"/>
      <w:bookmarkEnd w:id="22"/>
      <w:bookmarkEnd w:id="23"/>
      <w:bookmarkEnd w:id="24"/>
      <w:bookmarkEnd w:id="25"/>
      <w:bookmarkEnd w:id="26"/>
      <w:bookmarkEnd w:id="27"/>
      <w:bookmarkEnd w:id="28"/>
    </w:p>
    <w:p w14:paraId="6FBDD6B4" w14:textId="77777777" w:rsidR="008B1EFF" w:rsidRDefault="008B1EFF">
      <w:pPr>
        <w:pStyle w:val="a0"/>
        <w:spacing w:before="120" w:after="120" w:line="276" w:lineRule="auto"/>
        <w:jc w:val="both"/>
      </w:pPr>
    </w:p>
    <w:p w14:paraId="60E29A38" w14:textId="77777777" w:rsidR="008B1EFF" w:rsidRDefault="0042190C">
      <w:pPr>
        <w:pStyle w:val="a0"/>
        <w:spacing w:before="120" w:after="120" w:line="276" w:lineRule="auto"/>
        <w:jc w:val="center"/>
      </w:pPr>
      <w:r>
        <w:rPr>
          <w:rStyle w:val="a1"/>
          <w:noProof/>
          <w:lang w:val="en-GB" w:eastAsia="en-GB"/>
        </w:rPr>
        <w:drawing>
          <wp:inline distT="0" distB="0" distL="0" distR="0" wp14:anchorId="563C331B" wp14:editId="5E817064">
            <wp:extent cx="3890616" cy="2015602"/>
            <wp:effectExtent l="19050" t="19050" r="14634" b="22748"/>
            <wp:docPr id="10" name="Picture 26" descr="Description: Description: fig 4 B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rcRect/>
                    <a:stretch>
                      <a:fillRect/>
                    </a:stretch>
                  </pic:blipFill>
                  <pic:spPr>
                    <a:xfrm>
                      <a:off x="0" y="0"/>
                      <a:ext cx="3890616" cy="2015602"/>
                    </a:xfrm>
                    <a:prstGeom prst="rect">
                      <a:avLst/>
                    </a:prstGeom>
                    <a:noFill/>
                    <a:ln w="6345">
                      <a:solidFill>
                        <a:srgbClr val="5B9BD5"/>
                      </a:solidFill>
                      <a:prstDash val="solid"/>
                    </a:ln>
                  </pic:spPr>
                </pic:pic>
              </a:graphicData>
            </a:graphic>
          </wp:inline>
        </w:drawing>
      </w:r>
    </w:p>
    <w:p w14:paraId="704346A9" w14:textId="77777777" w:rsidR="008B1EFF" w:rsidRPr="006F72FF" w:rsidRDefault="0042190C" w:rsidP="006F72FF">
      <w:pPr>
        <w:pStyle w:val="Caption"/>
        <w:rPr>
          <w:rStyle w:val="a1"/>
          <w:rFonts w:ascii="Times New Roman" w:hAnsi="Times New Roman"/>
          <w:b w:val="0"/>
          <w:i/>
          <w:color w:val="auto"/>
          <w:sz w:val="22"/>
          <w:szCs w:val="22"/>
          <w:lang w:eastAsia="ar-SA"/>
        </w:rPr>
      </w:pPr>
      <w:proofErr w:type="spellStart"/>
      <w:r w:rsidRPr="006F72FF">
        <w:rPr>
          <w:rStyle w:val="a1"/>
          <w:rFonts w:ascii="Times New Roman" w:hAnsi="Times New Roman"/>
          <w:b w:val="0"/>
          <w:i/>
          <w:color w:val="auto"/>
          <w:sz w:val="22"/>
          <w:szCs w:val="22"/>
          <w:lang w:eastAsia="ar-SA"/>
        </w:rPr>
        <w:t>Източник</w:t>
      </w:r>
      <w:proofErr w:type="spellEnd"/>
      <w:r w:rsidRPr="006F72FF">
        <w:rPr>
          <w:rStyle w:val="a1"/>
          <w:rFonts w:ascii="Times New Roman" w:hAnsi="Times New Roman"/>
          <w:b w:val="0"/>
          <w:i/>
          <w:color w:val="auto"/>
          <w:sz w:val="22"/>
          <w:szCs w:val="22"/>
          <w:lang w:eastAsia="ar-SA"/>
        </w:rPr>
        <w:t>: IPCC 2014 г.</w:t>
      </w:r>
    </w:p>
    <w:p w14:paraId="5FFAA5F2" w14:textId="77777777" w:rsidR="008B1EFF" w:rsidRPr="002E54A0" w:rsidRDefault="0042190C">
      <w:pPr>
        <w:pStyle w:val="a0"/>
        <w:spacing w:before="120" w:after="120" w:line="276" w:lineRule="auto"/>
        <w:jc w:val="both"/>
        <w:rPr>
          <w:sz w:val="22"/>
          <w:szCs w:val="22"/>
        </w:rPr>
      </w:pPr>
      <w:r w:rsidRPr="002E54A0">
        <w:rPr>
          <w:sz w:val="22"/>
          <w:szCs w:val="22"/>
        </w:rPr>
        <w:t xml:space="preserve">Националната стратегия за адаптация към изменението на климата обхваща девет сектора, които са: сектор „Селско стопанство“, сектор „Гори“, сектор „Биологично разнообразие и екосистеми“, сектор „Води“, сектор „Енергетика“, сектор „Транспорт“, сектор „Градска среда“, сектор „Човешко здраве“ и сектор „Туризъм“. Към нея е включен и анализ на макроикономическите последици от изменението на климата и оценка на сектор „Управление на риска от бедствия“. </w:t>
      </w:r>
    </w:p>
    <w:p w14:paraId="2DBD2C20" w14:textId="77777777" w:rsidR="008B1EFF" w:rsidRPr="002E54A0" w:rsidRDefault="0042190C">
      <w:pPr>
        <w:pStyle w:val="a0"/>
        <w:spacing w:before="120" w:after="120" w:line="276" w:lineRule="auto"/>
        <w:jc w:val="both"/>
        <w:rPr>
          <w:sz w:val="22"/>
          <w:szCs w:val="22"/>
        </w:rPr>
      </w:pPr>
      <w:r w:rsidRPr="002E54A0">
        <w:rPr>
          <w:sz w:val="22"/>
          <w:szCs w:val="22"/>
        </w:rPr>
        <w:t xml:space="preserve">Със стратегията се запълва празнота в политиката на България по изменение на климата, като се очертава подходът на страната за адаптиране на ключовите сектори на икономиката към променящия се климат. </w:t>
      </w:r>
    </w:p>
    <w:p w14:paraId="4D52A117" w14:textId="77777777" w:rsidR="008B1EFF" w:rsidRPr="002E54A0" w:rsidRDefault="0042190C">
      <w:pPr>
        <w:pStyle w:val="a0"/>
        <w:spacing w:before="120" w:after="120" w:line="276" w:lineRule="auto"/>
        <w:jc w:val="both"/>
        <w:rPr>
          <w:bCs/>
          <w:sz w:val="22"/>
          <w:szCs w:val="22"/>
        </w:rPr>
      </w:pPr>
      <w:r w:rsidRPr="002E54A0">
        <w:rPr>
          <w:bCs/>
          <w:sz w:val="22"/>
          <w:szCs w:val="22"/>
        </w:rPr>
        <w:t>За да се постигнат амбициозните цели за ефективна адаптация на националната икономика и общество към настъпилите изменения, е необходимо:</w:t>
      </w:r>
    </w:p>
    <w:p w14:paraId="75FAC48C" w14:textId="77777777" w:rsidR="008B1EFF" w:rsidRPr="002E54A0" w:rsidRDefault="0042190C">
      <w:pPr>
        <w:pStyle w:val="a7"/>
        <w:numPr>
          <w:ilvl w:val="0"/>
          <w:numId w:val="11"/>
        </w:numPr>
        <w:spacing w:before="120" w:after="120" w:line="276" w:lineRule="auto"/>
        <w:jc w:val="both"/>
        <w:rPr>
          <w:sz w:val="22"/>
          <w:szCs w:val="22"/>
        </w:rPr>
      </w:pPr>
      <w:r w:rsidRPr="002E54A0">
        <w:rPr>
          <w:rStyle w:val="a1"/>
          <w:bCs/>
          <w:sz w:val="22"/>
          <w:szCs w:val="22"/>
        </w:rPr>
        <w:t>подобряване на политиките за адаптиране и интегриране на съображенията за климата в секторните политики;</w:t>
      </w:r>
      <w:r w:rsidRPr="002E54A0">
        <w:rPr>
          <w:rStyle w:val="a1"/>
          <w:b/>
          <w:sz w:val="22"/>
          <w:szCs w:val="22"/>
        </w:rPr>
        <w:t xml:space="preserve"> </w:t>
      </w:r>
    </w:p>
    <w:p w14:paraId="30531CDB" w14:textId="77777777" w:rsidR="008B1EFF" w:rsidRPr="002E54A0" w:rsidRDefault="0042190C">
      <w:pPr>
        <w:pStyle w:val="a7"/>
        <w:numPr>
          <w:ilvl w:val="0"/>
          <w:numId w:val="11"/>
        </w:numPr>
        <w:spacing w:before="120" w:after="120" w:line="276" w:lineRule="auto"/>
        <w:jc w:val="both"/>
        <w:rPr>
          <w:sz w:val="22"/>
          <w:szCs w:val="22"/>
        </w:rPr>
      </w:pPr>
      <w:r w:rsidRPr="002E54A0">
        <w:rPr>
          <w:sz w:val="22"/>
          <w:szCs w:val="22"/>
        </w:rPr>
        <w:t xml:space="preserve">повишаване на осведомеността </w:t>
      </w:r>
      <w:r w:rsidRPr="002E54A0">
        <w:rPr>
          <w:rStyle w:val="a1"/>
          <w:bCs/>
          <w:sz w:val="22"/>
          <w:szCs w:val="22"/>
        </w:rPr>
        <w:t>на обществеността и подобряване на  образованието, включително насърчаване включването на обществеността в действия по адаптация;</w:t>
      </w:r>
    </w:p>
    <w:p w14:paraId="7F86C9E8" w14:textId="295D53D1" w:rsidR="008B1EFF" w:rsidRPr="002E54A0" w:rsidRDefault="0042190C">
      <w:pPr>
        <w:pStyle w:val="a7"/>
        <w:numPr>
          <w:ilvl w:val="0"/>
          <w:numId w:val="11"/>
        </w:numPr>
        <w:spacing w:before="120" w:after="120" w:line="276" w:lineRule="auto"/>
        <w:jc w:val="both"/>
        <w:rPr>
          <w:sz w:val="22"/>
          <w:szCs w:val="22"/>
        </w:rPr>
      </w:pPr>
      <w:r w:rsidRPr="002E54A0">
        <w:rPr>
          <w:sz w:val="22"/>
          <w:szCs w:val="22"/>
        </w:rPr>
        <w:t xml:space="preserve">изграждане на институционален капацитет, включително създаване </w:t>
      </w:r>
      <w:r w:rsidRPr="002E54A0">
        <w:rPr>
          <w:rStyle w:val="a1"/>
          <w:bCs/>
          <w:sz w:val="22"/>
          <w:szCs w:val="22"/>
        </w:rPr>
        <w:t>на база данни и изграждане експертни знания;</w:t>
      </w:r>
    </w:p>
    <w:p w14:paraId="70FCCD01" w14:textId="77777777" w:rsidR="008B1EFF" w:rsidRPr="002E54A0" w:rsidRDefault="0042190C">
      <w:pPr>
        <w:pStyle w:val="a7"/>
        <w:numPr>
          <w:ilvl w:val="0"/>
          <w:numId w:val="12"/>
        </w:numPr>
        <w:suppressAutoHyphens w:val="0"/>
        <w:autoSpaceDE/>
        <w:spacing w:before="120" w:after="120" w:line="276" w:lineRule="auto"/>
        <w:jc w:val="both"/>
        <w:textAlignment w:val="auto"/>
        <w:rPr>
          <w:sz w:val="22"/>
          <w:szCs w:val="22"/>
        </w:rPr>
      </w:pPr>
      <w:r w:rsidRPr="002E54A0">
        <w:rPr>
          <w:rStyle w:val="a1"/>
          <w:bCs/>
          <w:sz w:val="22"/>
          <w:szCs w:val="22"/>
        </w:rPr>
        <w:t>укрепване управлението на инфраструктурата и материалните активи и защита на природните богатства,</w:t>
      </w:r>
      <w:r w:rsidRPr="002E54A0">
        <w:rPr>
          <w:sz w:val="22"/>
          <w:szCs w:val="22"/>
        </w:rPr>
        <w:t xml:space="preserve"> което обхваща водните системи, инфраструктурата за доставка на енергия и </w:t>
      </w:r>
      <w:r w:rsidRPr="002E54A0">
        <w:rPr>
          <w:sz w:val="22"/>
          <w:szCs w:val="22"/>
        </w:rPr>
        <w:lastRenderedPageBreak/>
        <w:t>опазването и подобряването на екосистемните услуги, включително тези, предоставяни от горските ресурси.</w:t>
      </w:r>
    </w:p>
    <w:p w14:paraId="2D5185CB" w14:textId="77777777" w:rsidR="008B1EFF" w:rsidRPr="002E54A0" w:rsidRDefault="0042190C">
      <w:pPr>
        <w:pStyle w:val="a0"/>
        <w:spacing w:before="120" w:after="120" w:line="276" w:lineRule="auto"/>
        <w:jc w:val="both"/>
        <w:rPr>
          <w:bCs/>
          <w:sz w:val="22"/>
          <w:szCs w:val="22"/>
        </w:rPr>
      </w:pPr>
      <w:r w:rsidRPr="002E54A0">
        <w:rPr>
          <w:bCs/>
          <w:sz w:val="22"/>
          <w:szCs w:val="22"/>
        </w:rPr>
        <w:t xml:space="preserve">Към Стратегията е разработен и План за действие, описващ конкретните действия, които следва да бъдат предприети по икономически сектори, както и очаквани резултати, източници на финансиране, отговорни институции и срокове за прилагане. </w:t>
      </w:r>
    </w:p>
    <w:p w14:paraId="2B867BEA" w14:textId="77777777" w:rsidR="008B1EFF" w:rsidRPr="002E54A0" w:rsidRDefault="0042190C">
      <w:pPr>
        <w:pStyle w:val="a0"/>
        <w:keepNext/>
        <w:keepLines/>
        <w:spacing w:before="120" w:after="120" w:line="276" w:lineRule="auto"/>
        <w:jc w:val="both"/>
        <w:rPr>
          <w:sz w:val="22"/>
          <w:szCs w:val="22"/>
        </w:rPr>
      </w:pPr>
      <w:r w:rsidRPr="002E54A0">
        <w:rPr>
          <w:rStyle w:val="a1"/>
          <w:bCs/>
          <w:sz w:val="22"/>
          <w:szCs w:val="22"/>
        </w:rPr>
        <w:t>За да се постигнат устойчиви към изменението на климата общество и икономика е ключово усилия да бъдат предприети на всички нива на управление. Все повече български градове се включват в европейските инициативи, като Споразумението на кметовете</w:t>
      </w:r>
      <w:r w:rsidRPr="002E54A0">
        <w:rPr>
          <w:rStyle w:val="a1"/>
          <w:bCs/>
          <w:sz w:val="22"/>
          <w:szCs w:val="22"/>
          <w:vertAlign w:val="superscript"/>
        </w:rPr>
        <w:footnoteReference w:id="16"/>
      </w:r>
      <w:r w:rsidRPr="002E54A0">
        <w:rPr>
          <w:rStyle w:val="a1"/>
          <w:bCs/>
          <w:sz w:val="22"/>
          <w:szCs w:val="22"/>
        </w:rPr>
        <w:t>, и разработват  стратегии на местно ниво</w:t>
      </w:r>
      <w:r w:rsidRPr="002E54A0">
        <w:rPr>
          <w:rStyle w:val="a1"/>
          <w:bCs/>
          <w:sz w:val="22"/>
          <w:szCs w:val="22"/>
          <w:vertAlign w:val="superscript"/>
        </w:rPr>
        <w:footnoteReference w:id="17"/>
      </w:r>
      <w:r w:rsidRPr="002E54A0">
        <w:rPr>
          <w:rStyle w:val="a1"/>
          <w:bCs/>
          <w:sz w:val="22"/>
          <w:szCs w:val="22"/>
        </w:rPr>
        <w:t>.</w:t>
      </w:r>
    </w:p>
    <w:p w14:paraId="614C7834" w14:textId="77777777" w:rsidR="008B1EFF" w:rsidRPr="002700D9" w:rsidRDefault="0042190C" w:rsidP="002700D9">
      <w:pPr>
        <w:rPr>
          <w:rStyle w:val="a1"/>
          <w:rFonts w:ascii="Times New Roman" w:eastAsia="Times New Roman" w:hAnsi="Times New Roman"/>
          <w:b/>
          <w:lang w:val="bg-BG" w:eastAsia="bg-BG"/>
        </w:rPr>
      </w:pPr>
      <w:r w:rsidRPr="002700D9">
        <w:rPr>
          <w:rStyle w:val="a1"/>
          <w:rFonts w:ascii="Times New Roman" w:eastAsia="Times New Roman" w:hAnsi="Times New Roman"/>
          <w:b/>
          <w:lang w:val="bg-BG" w:eastAsia="bg-BG"/>
        </w:rPr>
        <w:t>Ограничаване на изменението на климата</w:t>
      </w:r>
    </w:p>
    <w:p w14:paraId="4DAC4592" w14:textId="7FA523BF" w:rsidR="008B1EFF" w:rsidRPr="006F72FF" w:rsidRDefault="0042190C">
      <w:pPr>
        <w:pStyle w:val="a0"/>
        <w:spacing w:after="120" w:line="276" w:lineRule="auto"/>
        <w:jc w:val="both"/>
        <w:rPr>
          <w:sz w:val="22"/>
          <w:szCs w:val="22"/>
        </w:rPr>
      </w:pPr>
      <w:r w:rsidRPr="006F72FF">
        <w:rPr>
          <w:bCs/>
          <w:sz w:val="22"/>
          <w:szCs w:val="22"/>
        </w:rPr>
        <w:t>Ра</w:t>
      </w:r>
      <w:r w:rsidRPr="006F72FF">
        <w:rPr>
          <w:sz w:val="22"/>
          <w:szCs w:val="22"/>
        </w:rPr>
        <w:t>мкова конвенция на ООН по изменение на климата</w:t>
      </w:r>
      <w:r w:rsidRPr="004A7521">
        <w:rPr>
          <w:sz w:val="16"/>
          <w:szCs w:val="16"/>
          <w:vertAlign w:val="superscript"/>
        </w:rPr>
        <w:footnoteReference w:id="18"/>
      </w:r>
      <w:r w:rsidRPr="004A7521">
        <w:rPr>
          <w:sz w:val="16"/>
          <w:szCs w:val="16"/>
          <w:vertAlign w:val="superscript"/>
        </w:rPr>
        <w:t xml:space="preserve"> </w:t>
      </w:r>
      <w:r w:rsidRPr="004A7521">
        <w:rPr>
          <w:sz w:val="16"/>
          <w:szCs w:val="16"/>
          <w:vertAlign w:val="superscript"/>
        </w:rPr>
        <w:footnoteReference w:id="19"/>
      </w:r>
      <w:r w:rsidRPr="006F72FF">
        <w:rPr>
          <w:sz w:val="22"/>
          <w:szCs w:val="22"/>
        </w:rPr>
        <w:t>е първата значима стъпка з</w:t>
      </w:r>
      <w:r w:rsidR="006F72FF">
        <w:rPr>
          <w:sz w:val="22"/>
          <w:szCs w:val="22"/>
        </w:rPr>
        <w:t>а обединяване на усилията на нациите в света за постигане съгласие за общи действия. Тя поставя за крайна цел стабилизирането на концентрациите на парникови газове в атмосферата до ниво, което би пре</w:t>
      </w:r>
      <w:r w:rsidRPr="006F72FF">
        <w:rPr>
          <w:sz w:val="22"/>
          <w:szCs w:val="22"/>
        </w:rPr>
        <w:t>дот</w:t>
      </w:r>
      <w:r w:rsidR="006F72FF">
        <w:rPr>
          <w:sz w:val="22"/>
          <w:szCs w:val="22"/>
        </w:rPr>
        <w:t>вратило опас</w:t>
      </w:r>
      <w:r w:rsidRPr="006F72FF">
        <w:rPr>
          <w:sz w:val="22"/>
          <w:szCs w:val="22"/>
        </w:rPr>
        <w:t>на</w:t>
      </w:r>
      <w:r w:rsidRPr="006F72FF">
        <w:t xml:space="preserve"> </w:t>
      </w:r>
      <w:r w:rsidR="006F72FF">
        <w:rPr>
          <w:sz w:val="22"/>
          <w:szCs w:val="22"/>
        </w:rPr>
        <w:t>антропогенна намеса в климатичната система. РКООНИК посочва, че “това ниво трябва да бъде достигнато в рамки</w:t>
      </w:r>
      <w:r w:rsidRPr="006F72FF">
        <w:rPr>
          <w:sz w:val="22"/>
          <w:szCs w:val="22"/>
        </w:rPr>
        <w:t xml:space="preserve">те </w:t>
      </w:r>
      <w:r w:rsidR="006F72FF">
        <w:rPr>
          <w:sz w:val="22"/>
          <w:szCs w:val="22"/>
        </w:rPr>
        <w:t>на период от време, който ще бъде достатъчен за естес</w:t>
      </w:r>
      <w:r w:rsidRPr="006F72FF">
        <w:rPr>
          <w:sz w:val="22"/>
          <w:szCs w:val="22"/>
        </w:rPr>
        <w:t>т</w:t>
      </w:r>
      <w:r w:rsidR="006F72FF">
        <w:rPr>
          <w:sz w:val="22"/>
          <w:szCs w:val="22"/>
        </w:rPr>
        <w:t>веното приспособяване на екосистемите към изменението на климата, за гарантирано</w:t>
      </w:r>
      <w:r w:rsidRPr="006F72FF">
        <w:rPr>
          <w:sz w:val="22"/>
          <w:szCs w:val="22"/>
        </w:rPr>
        <w:t>то про</w:t>
      </w:r>
      <w:r w:rsidR="006F72FF">
        <w:rPr>
          <w:sz w:val="22"/>
          <w:szCs w:val="22"/>
        </w:rPr>
        <w:t>изводство на хранителни продукти и за постигане на устойчиво икономическо разви</w:t>
      </w:r>
      <w:r w:rsidRPr="006F72FF">
        <w:rPr>
          <w:sz w:val="22"/>
          <w:szCs w:val="22"/>
        </w:rPr>
        <w:t xml:space="preserve">тие”. </w:t>
      </w:r>
    </w:p>
    <w:p w14:paraId="64F5D458" w14:textId="5835D335" w:rsidR="008B1EFF" w:rsidRPr="006F72FF" w:rsidRDefault="006F72FF">
      <w:pPr>
        <w:pStyle w:val="a0"/>
        <w:spacing w:after="120" w:line="276" w:lineRule="auto"/>
        <w:jc w:val="both"/>
        <w:rPr>
          <w:sz w:val="22"/>
          <w:szCs w:val="22"/>
        </w:rPr>
      </w:pPr>
      <w:r>
        <w:rPr>
          <w:sz w:val="22"/>
          <w:szCs w:val="22"/>
        </w:rPr>
        <w:t>Конвенцията задава рамката и процеса за договаряне на конкретни действия в бъдеще, включително и за  предприемане на специфични действия, например намаляване на емисиите на парникови газо</w:t>
      </w:r>
      <w:r w:rsidR="0042190C" w:rsidRPr="006F72FF">
        <w:rPr>
          <w:sz w:val="22"/>
          <w:szCs w:val="22"/>
        </w:rPr>
        <w:t xml:space="preserve">ве с </w:t>
      </w:r>
      <w:r>
        <w:rPr>
          <w:sz w:val="22"/>
          <w:szCs w:val="22"/>
        </w:rPr>
        <w:t>известен процент чрез приемане на протоколи към Конвенция</w:t>
      </w:r>
      <w:r w:rsidR="0042190C" w:rsidRPr="006F72FF">
        <w:rPr>
          <w:sz w:val="22"/>
          <w:szCs w:val="22"/>
        </w:rPr>
        <w:t>та. Такъв е и приетият през 1997 г.</w:t>
      </w:r>
      <w:r>
        <w:rPr>
          <w:sz w:val="22"/>
          <w:szCs w:val="22"/>
        </w:rPr>
        <w:t xml:space="preserve"> (влиза в сила през 2005г.) Протокол от Кио</w:t>
      </w:r>
      <w:r w:rsidR="0042190C" w:rsidRPr="006F72FF">
        <w:rPr>
          <w:sz w:val="22"/>
          <w:szCs w:val="22"/>
        </w:rPr>
        <w:t xml:space="preserve">то, чрез който индустриално развитите държави и тези с икономики в преход се ангажират да ограничат и намалят емисиите на парникови газове (ПГ) в съответствие с договорените индивидуални цели. </w:t>
      </w:r>
    </w:p>
    <w:p w14:paraId="45E019CC" w14:textId="33EAACB1" w:rsidR="008B1EFF" w:rsidRPr="002E54A0" w:rsidRDefault="0042190C">
      <w:pPr>
        <w:pStyle w:val="a0"/>
        <w:spacing w:after="120" w:line="276" w:lineRule="auto"/>
        <w:jc w:val="both"/>
        <w:rPr>
          <w:sz w:val="22"/>
          <w:szCs w:val="22"/>
        </w:rPr>
      </w:pPr>
      <w:r w:rsidRPr="002E54A0">
        <w:rPr>
          <w:sz w:val="22"/>
          <w:szCs w:val="22"/>
        </w:rPr>
        <w:t>През 2015</w:t>
      </w:r>
      <w:r w:rsidR="004A7521">
        <w:rPr>
          <w:sz w:val="22"/>
          <w:szCs w:val="22"/>
        </w:rPr>
        <w:t xml:space="preserve"> </w:t>
      </w:r>
      <w:r w:rsidRPr="002E54A0">
        <w:rPr>
          <w:sz w:val="22"/>
          <w:szCs w:val="22"/>
        </w:rPr>
        <w:t>г., на конференцията в Париж по изменението на климата</w:t>
      </w:r>
      <w:r w:rsidRPr="002E54A0">
        <w:rPr>
          <w:rStyle w:val="ab"/>
          <w:sz w:val="22"/>
          <w:szCs w:val="22"/>
        </w:rPr>
        <w:footnoteReference w:id="20"/>
      </w:r>
      <w:r w:rsidRPr="002E54A0">
        <w:rPr>
          <w:sz w:val="22"/>
          <w:szCs w:val="22"/>
        </w:rPr>
        <w:t xml:space="preserve"> се постига съгласие за ново, глобално и правно обвързващо споразумение по изменението на климата. Парижкото споразумение</w:t>
      </w:r>
      <w:r w:rsidRPr="002E54A0">
        <w:rPr>
          <w:rStyle w:val="ab"/>
          <w:sz w:val="22"/>
          <w:szCs w:val="22"/>
        </w:rPr>
        <w:footnoteReference w:id="21"/>
      </w:r>
      <w:r w:rsidRPr="002E54A0">
        <w:rPr>
          <w:sz w:val="22"/>
          <w:szCs w:val="22"/>
        </w:rPr>
        <w:t xml:space="preserve"> представлява балансиран резултат и съдържа план за действие за ограничаване на глобалното затопляне далеч под 2°C и за полагане на усилия за неговото ограничаване до 1,5°C в сравнение с </w:t>
      </w:r>
      <w:proofErr w:type="spellStart"/>
      <w:r w:rsidRPr="002E54A0">
        <w:rPr>
          <w:sz w:val="22"/>
          <w:szCs w:val="22"/>
        </w:rPr>
        <w:t>прединдустриалните</w:t>
      </w:r>
      <w:proofErr w:type="spellEnd"/>
      <w:r w:rsidRPr="002E54A0">
        <w:rPr>
          <w:sz w:val="22"/>
          <w:szCs w:val="22"/>
        </w:rPr>
        <w:t xml:space="preserve"> нива. То обхваща периода след 2020 г. и влезе в сила на 4 ноември 2016 г., след като бе ратифицирано от 55 държави, които са отговорни за най-малко 55% от емисиите в световен мащаб.</w:t>
      </w:r>
    </w:p>
    <w:p w14:paraId="414A7B2E" w14:textId="77777777" w:rsidR="008B1EFF" w:rsidRPr="0042190C" w:rsidRDefault="0042190C">
      <w:pPr>
        <w:pStyle w:val="a0"/>
        <w:spacing w:before="120" w:after="120" w:line="264" w:lineRule="auto"/>
        <w:jc w:val="both"/>
        <w:rPr>
          <w:sz w:val="22"/>
          <w:szCs w:val="22"/>
        </w:rPr>
      </w:pPr>
      <w:r w:rsidRPr="0042190C">
        <w:rPr>
          <w:rStyle w:val="a1"/>
          <w:sz w:val="22"/>
          <w:szCs w:val="22"/>
        </w:rPr>
        <w:t>ЕС и всички негови държави членки са подписали и ратифицирали Парижкото споразумение и са </w:t>
      </w:r>
      <w:r w:rsidRPr="0042190C">
        <w:rPr>
          <w:rStyle w:val="a1"/>
          <w:bCs/>
          <w:sz w:val="22"/>
          <w:szCs w:val="22"/>
        </w:rPr>
        <w:t>силно ангажирани</w:t>
      </w:r>
      <w:r w:rsidRPr="0042190C">
        <w:rPr>
          <w:rStyle w:val="a1"/>
          <w:sz w:val="22"/>
          <w:szCs w:val="22"/>
        </w:rPr>
        <w:t xml:space="preserve"> с неговото прилагане. В съответствие с този ангажимент държавите от ЕС се </w:t>
      </w:r>
      <w:r w:rsidRPr="0042190C">
        <w:rPr>
          <w:rStyle w:val="a1"/>
          <w:sz w:val="22"/>
          <w:szCs w:val="22"/>
        </w:rPr>
        <w:lastRenderedPageBreak/>
        <w:t>споразумяха да очертаят посоката, която ще превърне ЕС в </w:t>
      </w:r>
      <w:r w:rsidRPr="0042190C">
        <w:rPr>
          <w:rStyle w:val="a1"/>
          <w:bCs/>
          <w:sz w:val="22"/>
          <w:szCs w:val="22"/>
        </w:rPr>
        <w:t>първите неутрални по отношение на климата икономика и общество до 2050 г.</w:t>
      </w:r>
    </w:p>
    <w:p w14:paraId="616465E8" w14:textId="6A2B3892" w:rsidR="008B1EFF" w:rsidRPr="0042190C" w:rsidRDefault="0042190C">
      <w:pPr>
        <w:pStyle w:val="a0"/>
        <w:spacing w:before="120" w:after="120" w:line="264" w:lineRule="auto"/>
        <w:jc w:val="both"/>
        <w:rPr>
          <w:sz w:val="22"/>
          <w:szCs w:val="22"/>
        </w:rPr>
      </w:pPr>
      <w:r w:rsidRPr="0042190C">
        <w:rPr>
          <w:rStyle w:val="a1"/>
          <w:sz w:val="22"/>
          <w:szCs w:val="22"/>
        </w:rPr>
        <w:t>Съгласно изискванията на споразумението, преди края на 2020 г. ЕС представи своята дългосрочна </w:t>
      </w:r>
      <w:r w:rsidRPr="0042190C">
        <w:rPr>
          <w:rStyle w:val="a1"/>
          <w:bCs/>
          <w:sz w:val="22"/>
          <w:szCs w:val="22"/>
        </w:rPr>
        <w:t>стратегия</w:t>
      </w:r>
      <w:r w:rsidRPr="0042190C">
        <w:rPr>
          <w:rStyle w:val="a1"/>
          <w:sz w:val="22"/>
          <w:szCs w:val="22"/>
        </w:rPr>
        <w:t> за намаляване на емисиите и </w:t>
      </w:r>
      <w:r w:rsidRPr="0042190C">
        <w:rPr>
          <w:rStyle w:val="a1"/>
          <w:bCs/>
          <w:sz w:val="22"/>
          <w:szCs w:val="22"/>
        </w:rPr>
        <w:t>актуализираните си планове в областта на климата</w:t>
      </w:r>
      <w:r w:rsidR="000E03C5">
        <w:rPr>
          <w:rStyle w:val="a1"/>
          <w:bCs/>
          <w:sz w:val="22"/>
          <w:szCs w:val="22"/>
        </w:rPr>
        <w:t xml:space="preserve"> (т.нар. национално определен принос на ЕС)</w:t>
      </w:r>
      <w:r w:rsidRPr="0042190C">
        <w:rPr>
          <w:rStyle w:val="a1"/>
          <w:sz w:val="22"/>
          <w:szCs w:val="22"/>
        </w:rPr>
        <w:t>, като се ангажира да намали емисиите на ЕС с най-малко 55% до 2030 г.</w:t>
      </w:r>
    </w:p>
    <w:p w14:paraId="63A65915" w14:textId="77777777" w:rsidR="008B1EFF" w:rsidRPr="002E54A0" w:rsidRDefault="0042190C">
      <w:pPr>
        <w:pStyle w:val="a0"/>
        <w:spacing w:before="120" w:after="120" w:line="264" w:lineRule="auto"/>
        <w:rPr>
          <w:b/>
          <w:sz w:val="22"/>
          <w:szCs w:val="22"/>
        </w:rPr>
      </w:pPr>
      <w:r w:rsidRPr="002E54A0">
        <w:rPr>
          <w:b/>
          <w:sz w:val="22"/>
          <w:szCs w:val="22"/>
        </w:rPr>
        <w:t>Цели до 2020 година</w:t>
      </w:r>
    </w:p>
    <w:p w14:paraId="7FB478BB" w14:textId="77777777" w:rsidR="008B1EFF" w:rsidRPr="002E54A0" w:rsidRDefault="0042190C">
      <w:pPr>
        <w:pStyle w:val="a0"/>
        <w:spacing w:before="120" w:after="120" w:line="264" w:lineRule="auto"/>
        <w:rPr>
          <w:sz w:val="22"/>
          <w:szCs w:val="22"/>
        </w:rPr>
      </w:pPr>
      <w:r w:rsidRPr="002E54A0">
        <w:rPr>
          <w:sz w:val="22"/>
          <w:szCs w:val="22"/>
        </w:rPr>
        <w:t xml:space="preserve">В изпълнение на РКООНИК, ЕС и неговите държави членки са предприемат съвместни действия за намаляване на емисиите. </w:t>
      </w:r>
    </w:p>
    <w:p w14:paraId="498892AC" w14:textId="77777777" w:rsidR="008B1EFF" w:rsidRPr="002E54A0" w:rsidRDefault="0042190C">
      <w:pPr>
        <w:pStyle w:val="a0"/>
        <w:spacing w:before="120" w:after="120" w:line="264" w:lineRule="auto"/>
        <w:jc w:val="both"/>
        <w:rPr>
          <w:sz w:val="22"/>
          <w:szCs w:val="22"/>
        </w:rPr>
      </w:pPr>
      <w:r w:rsidRPr="002E54A0">
        <w:rPr>
          <w:sz w:val="22"/>
          <w:szCs w:val="22"/>
        </w:rPr>
        <w:t>Първият пакет от мерки на ЕС в областта на климата и енергетиката е договорен през 2008 г. и в него са определени целите до 2020 г.:</w:t>
      </w:r>
    </w:p>
    <w:p w14:paraId="176FAA54" w14:textId="77777777" w:rsidR="008B1EFF" w:rsidRPr="002E54A0" w:rsidRDefault="0042190C">
      <w:pPr>
        <w:pStyle w:val="a0"/>
        <w:numPr>
          <w:ilvl w:val="0"/>
          <w:numId w:val="13"/>
        </w:numPr>
        <w:spacing w:before="120" w:after="120" w:line="264" w:lineRule="auto"/>
        <w:jc w:val="both"/>
        <w:rPr>
          <w:sz w:val="22"/>
          <w:szCs w:val="22"/>
        </w:rPr>
      </w:pPr>
      <w:r w:rsidRPr="002E54A0">
        <w:rPr>
          <w:sz w:val="22"/>
          <w:szCs w:val="22"/>
        </w:rPr>
        <w:t>намаляване на емисиите на парникови газове с 20 % (в сравнение с 1990 г.)</w:t>
      </w:r>
    </w:p>
    <w:p w14:paraId="31E603D3" w14:textId="77777777" w:rsidR="008B1EFF" w:rsidRPr="002E54A0" w:rsidRDefault="0042190C">
      <w:pPr>
        <w:pStyle w:val="a0"/>
        <w:numPr>
          <w:ilvl w:val="0"/>
          <w:numId w:val="13"/>
        </w:numPr>
        <w:spacing w:before="120" w:after="120" w:line="264" w:lineRule="auto"/>
        <w:jc w:val="both"/>
        <w:rPr>
          <w:sz w:val="22"/>
          <w:szCs w:val="22"/>
        </w:rPr>
      </w:pPr>
      <w:r w:rsidRPr="002E54A0">
        <w:rPr>
          <w:sz w:val="22"/>
          <w:szCs w:val="22"/>
        </w:rPr>
        <w:t>увеличаване на дела на възобновяемата енергия до 20%</w:t>
      </w:r>
    </w:p>
    <w:p w14:paraId="602D8F0A" w14:textId="77777777" w:rsidR="008B1EFF" w:rsidRPr="002E54A0" w:rsidRDefault="0042190C">
      <w:pPr>
        <w:pStyle w:val="a0"/>
        <w:numPr>
          <w:ilvl w:val="0"/>
          <w:numId w:val="13"/>
        </w:numPr>
        <w:spacing w:before="120" w:after="120" w:line="264" w:lineRule="auto"/>
        <w:jc w:val="both"/>
        <w:rPr>
          <w:sz w:val="22"/>
          <w:szCs w:val="22"/>
        </w:rPr>
      </w:pPr>
      <w:r w:rsidRPr="002E54A0">
        <w:rPr>
          <w:sz w:val="22"/>
          <w:szCs w:val="22"/>
        </w:rPr>
        <w:t>повишаване на енергийната ефективност с 20%</w:t>
      </w:r>
    </w:p>
    <w:p w14:paraId="4ED56738" w14:textId="77777777" w:rsidR="008B1EFF" w:rsidRPr="002E54A0" w:rsidRDefault="0042190C">
      <w:pPr>
        <w:pStyle w:val="a0"/>
        <w:spacing w:before="120" w:after="120" w:line="264" w:lineRule="auto"/>
        <w:jc w:val="both"/>
        <w:rPr>
          <w:sz w:val="22"/>
          <w:szCs w:val="22"/>
        </w:rPr>
      </w:pPr>
      <w:r w:rsidRPr="002E54A0">
        <w:rPr>
          <w:sz w:val="22"/>
          <w:szCs w:val="22"/>
        </w:rPr>
        <w:t xml:space="preserve">За да постигне тези цели, </w:t>
      </w:r>
      <w:r w:rsidRPr="002E54A0">
        <w:rPr>
          <w:rStyle w:val="a1"/>
          <w:rFonts w:eastAsia="Calibri"/>
          <w:sz w:val="22"/>
          <w:szCs w:val="22"/>
        </w:rPr>
        <w:t>ЕС предприема действия в няколко направления.</w:t>
      </w:r>
    </w:p>
    <w:p w14:paraId="6BE5C175" w14:textId="77777777" w:rsidR="008B1EFF" w:rsidRPr="002E54A0" w:rsidRDefault="0042190C">
      <w:pPr>
        <w:pStyle w:val="a0"/>
        <w:spacing w:before="120" w:after="120" w:line="264" w:lineRule="auto"/>
        <w:jc w:val="both"/>
        <w:rPr>
          <w:sz w:val="22"/>
          <w:szCs w:val="22"/>
        </w:rPr>
      </w:pPr>
      <w:r w:rsidRPr="002E54A0">
        <w:rPr>
          <w:rStyle w:val="a1"/>
          <w:rFonts w:eastAsia="Calibri"/>
          <w:sz w:val="22"/>
          <w:szCs w:val="22"/>
        </w:rPr>
        <w:t>Системата на ЕС за търговия с емисии (СТЕ) е ключовият инструмент на ЕС за намаляване на емисиите на парникови газове от мащабни съоръжения в енергийния и промишления сектор, както и в авиационния сектор. СТЕ покрива около 40% от общите емисии на ЕС (без международната авиация) през 2019 г. СТЕ е пазарен механизъм на Общността, установен през 2005 г., за стимулиране на инвестициите в производство с ниски нива на въглеродните емисии. Всички операции, извършвани в СТЕ са централизирани в единен европейски регистър. Прилагат се хармонизирани правила за безплатно разпределение на квоти, на базата на предварително определени показатели. 100% от квотите за електропроизводствения сектор се търгуват, освен в случаите на прилагане на дерогация по член 10в от Директива 2003/87/ЕО</w:t>
      </w:r>
      <w:r w:rsidRPr="002E54A0">
        <w:rPr>
          <w:rStyle w:val="ab"/>
          <w:rFonts w:eastAsia="Calibri"/>
          <w:sz w:val="22"/>
          <w:szCs w:val="22"/>
        </w:rPr>
        <w:footnoteReference w:id="22"/>
      </w:r>
      <w:r w:rsidRPr="002E54A0">
        <w:rPr>
          <w:rStyle w:val="a1"/>
          <w:rFonts w:eastAsia="Calibri"/>
          <w:sz w:val="22"/>
          <w:szCs w:val="22"/>
        </w:rPr>
        <w:t>, от която се ползва и Република България.</w:t>
      </w:r>
    </w:p>
    <w:p w14:paraId="683B97D8" w14:textId="2778B2CA" w:rsidR="008B1EFF" w:rsidRPr="002E54A0" w:rsidRDefault="0042190C">
      <w:pPr>
        <w:pStyle w:val="a0"/>
        <w:spacing w:before="120" w:after="120" w:line="264" w:lineRule="auto"/>
        <w:jc w:val="both"/>
        <w:rPr>
          <w:sz w:val="22"/>
          <w:szCs w:val="22"/>
        </w:rPr>
      </w:pPr>
      <w:r w:rsidRPr="002E54A0">
        <w:rPr>
          <w:rStyle w:val="a1"/>
          <w:rFonts w:eastAsia="Calibri"/>
          <w:sz w:val="22"/>
          <w:szCs w:val="22"/>
        </w:rPr>
        <w:t>Национални цели за намаляване на емисиите обхващат секторите за споделяне на усилията (т.е. секторите извън СТЕ и не-ЗПЗГС). Тези сектори генерират около 60% от общите емисии на ЕС (без международната авиация) през 2019 г. В тази група се включва промишленост извън СТЕ: сгради, селско стопанство, отпадъци, транспорт (с изключение на авиацията). Съгласно Решение № 406/2009/ЕО</w:t>
      </w:r>
      <w:r w:rsidRPr="002E54A0">
        <w:rPr>
          <w:rStyle w:val="ab"/>
          <w:rFonts w:eastAsia="Calibri"/>
          <w:sz w:val="22"/>
          <w:szCs w:val="22"/>
        </w:rPr>
        <w:footnoteReference w:id="23"/>
      </w:r>
      <w:r w:rsidRPr="002E54A0">
        <w:rPr>
          <w:rStyle w:val="a1"/>
          <w:rFonts w:eastAsia="Calibri"/>
          <w:sz w:val="22"/>
          <w:szCs w:val="22"/>
        </w:rPr>
        <w:t>, държавите от ЕС приеха обвързващи годишни цели до 2020 г. за намаляване на емисиите в тези сектори (в сравнение с 2005 г.). Целите варират, като за България целта е до 2020</w:t>
      </w:r>
      <w:r w:rsidR="004A7521">
        <w:rPr>
          <w:rStyle w:val="a1"/>
          <w:rFonts w:eastAsia="Calibri"/>
          <w:sz w:val="22"/>
          <w:szCs w:val="22"/>
        </w:rPr>
        <w:t xml:space="preserve"> </w:t>
      </w:r>
      <w:r w:rsidRPr="002E54A0">
        <w:rPr>
          <w:rStyle w:val="a1"/>
          <w:rFonts w:eastAsia="Calibri"/>
          <w:sz w:val="22"/>
          <w:szCs w:val="22"/>
        </w:rPr>
        <w:t>г. да се ограничи до 20% увеличението на емисиите ПГ, в сравнение с 2005</w:t>
      </w:r>
      <w:r w:rsidR="004A7521">
        <w:rPr>
          <w:rStyle w:val="a1"/>
          <w:rFonts w:eastAsia="Calibri"/>
          <w:sz w:val="22"/>
          <w:szCs w:val="22"/>
        </w:rPr>
        <w:t xml:space="preserve"> </w:t>
      </w:r>
      <w:r w:rsidRPr="002E54A0">
        <w:rPr>
          <w:rStyle w:val="a1"/>
          <w:rFonts w:eastAsia="Calibri"/>
          <w:sz w:val="22"/>
          <w:szCs w:val="22"/>
        </w:rPr>
        <w:t xml:space="preserve">г. </w:t>
      </w:r>
    </w:p>
    <w:p w14:paraId="513D1A80" w14:textId="77777777" w:rsidR="008B1EFF" w:rsidRPr="002E54A0" w:rsidRDefault="0042190C">
      <w:pPr>
        <w:pStyle w:val="a0"/>
        <w:spacing w:before="120" w:after="120" w:line="264" w:lineRule="auto"/>
        <w:jc w:val="both"/>
        <w:rPr>
          <w:sz w:val="22"/>
          <w:szCs w:val="22"/>
        </w:rPr>
      </w:pPr>
      <w:r w:rsidRPr="002E54A0">
        <w:rPr>
          <w:rStyle w:val="a1"/>
          <w:rFonts w:eastAsia="Calibri"/>
          <w:b/>
          <w:sz w:val="22"/>
          <w:szCs w:val="22"/>
        </w:rPr>
        <w:t>Възобновяема енергия</w:t>
      </w:r>
      <w:r w:rsidRPr="002E54A0">
        <w:rPr>
          <w:rStyle w:val="a1"/>
          <w:rFonts w:eastAsia="Calibri"/>
          <w:sz w:val="22"/>
          <w:szCs w:val="22"/>
        </w:rPr>
        <w:t xml:space="preserve"> - Държавите-членки на ЕС поеха обвързващи национални цели за увеличаване на дела на възобновяемата енергия в тяхното енергопотребление до 2020 г. съгласно </w:t>
      </w:r>
      <w:r w:rsidRPr="002E54A0">
        <w:rPr>
          <w:rStyle w:val="a1"/>
          <w:rFonts w:eastAsia="Calibri"/>
          <w:sz w:val="22"/>
          <w:szCs w:val="22"/>
        </w:rPr>
        <w:lastRenderedPageBreak/>
        <w:t>Директивата за възобновяемата</w:t>
      </w:r>
      <w:r w:rsidRPr="002E54A0">
        <w:rPr>
          <w:rStyle w:val="ab"/>
          <w:rFonts w:eastAsia="Calibri"/>
          <w:sz w:val="22"/>
          <w:szCs w:val="22"/>
        </w:rPr>
        <w:footnoteReference w:id="24"/>
      </w:r>
      <w:r w:rsidRPr="002E54A0">
        <w:rPr>
          <w:rStyle w:val="a1"/>
          <w:rFonts w:eastAsia="Calibri"/>
          <w:sz w:val="22"/>
          <w:szCs w:val="22"/>
        </w:rPr>
        <w:t xml:space="preserve"> енергия. Тези цели също варират, за да отразят различните изходни точки на държавите за производство на възобновяема енергия и способността им да я увеличат. Съвместното изпълнение гарантира ЕС като цяло да достигне целта от 20% дял на възобновяемите енергийни източници, като за транспортния сектор тази цел е 10%.</w:t>
      </w:r>
    </w:p>
    <w:p w14:paraId="302E82F5" w14:textId="5C6FAEB2" w:rsidR="008B1EFF" w:rsidRPr="002E54A0" w:rsidRDefault="0042190C">
      <w:pPr>
        <w:pStyle w:val="a0"/>
        <w:spacing w:before="120" w:after="120" w:line="264" w:lineRule="auto"/>
        <w:jc w:val="both"/>
        <w:rPr>
          <w:sz w:val="22"/>
          <w:szCs w:val="22"/>
        </w:rPr>
      </w:pPr>
      <w:r w:rsidRPr="002E54A0">
        <w:rPr>
          <w:rStyle w:val="a1"/>
          <w:b/>
          <w:bCs/>
          <w:sz w:val="22"/>
          <w:szCs w:val="22"/>
        </w:rPr>
        <w:t xml:space="preserve">ЕС вече е надхвърлил тези цели. </w:t>
      </w:r>
      <w:r w:rsidRPr="002E54A0">
        <w:rPr>
          <w:rStyle w:val="a1"/>
          <w:rFonts w:eastAsia="Calibri"/>
          <w:sz w:val="22"/>
          <w:szCs w:val="22"/>
        </w:rPr>
        <w:t>Според данните на Евростат от 2020</w:t>
      </w:r>
      <w:r w:rsidR="004A7521">
        <w:rPr>
          <w:rStyle w:val="a1"/>
          <w:rFonts w:eastAsia="Calibri"/>
          <w:sz w:val="22"/>
          <w:szCs w:val="22"/>
        </w:rPr>
        <w:t xml:space="preserve"> </w:t>
      </w:r>
      <w:r w:rsidRPr="002E54A0">
        <w:rPr>
          <w:rStyle w:val="a1"/>
          <w:rFonts w:eastAsia="Calibri"/>
          <w:sz w:val="22"/>
          <w:szCs w:val="22"/>
        </w:rPr>
        <w:t xml:space="preserve">г., емисиите на парникови газове в ЕС са намалени с 24% между 1990 и 2019 г., докато икономиката е нараснала с около 60% за същия период. </w:t>
      </w:r>
    </w:p>
    <w:p w14:paraId="0362BE69" w14:textId="32513256" w:rsidR="008B1EFF" w:rsidRPr="002E54A0" w:rsidRDefault="0042190C">
      <w:pPr>
        <w:pStyle w:val="a0"/>
        <w:spacing w:before="120" w:line="276" w:lineRule="auto"/>
        <w:jc w:val="both"/>
        <w:rPr>
          <w:sz w:val="22"/>
          <w:szCs w:val="22"/>
        </w:rPr>
      </w:pPr>
      <w:r w:rsidRPr="002E54A0">
        <w:rPr>
          <w:sz w:val="22"/>
          <w:szCs w:val="22"/>
        </w:rPr>
        <w:t>България участва активно в общите усилия за смекчаване на изменението на климата и изпълнява поетите ангажименти, както свързани с изпълнение на РКООН</w:t>
      </w:r>
      <w:r w:rsidR="004A7521">
        <w:rPr>
          <w:sz w:val="22"/>
          <w:szCs w:val="22"/>
        </w:rPr>
        <w:t>ИК</w:t>
      </w:r>
      <w:r w:rsidRPr="002E54A0">
        <w:rPr>
          <w:sz w:val="22"/>
          <w:szCs w:val="22"/>
        </w:rPr>
        <w:t xml:space="preserve">, така и на европейското законодателство. От 2014 г. действа Законът за ограничаване изменението на климата. Законът има за цел чрез предприемането на национални мерки и въвеждането на европейски и международни механизми да гарантира намаляване на емисиите на парникови газове като основен елемент в политиката по ограничаване изменението на климата и да осигури дългосрочното планиране на мерките за адаптация към климатичните промени. </w:t>
      </w:r>
    </w:p>
    <w:p w14:paraId="7E2F679B" w14:textId="77777777" w:rsidR="008B1EFF" w:rsidRPr="002E54A0" w:rsidRDefault="0042190C">
      <w:pPr>
        <w:pStyle w:val="a0"/>
        <w:spacing w:before="120" w:after="120" w:line="264" w:lineRule="auto"/>
        <w:jc w:val="both"/>
        <w:rPr>
          <w:sz w:val="22"/>
          <w:szCs w:val="22"/>
        </w:rPr>
      </w:pPr>
      <w:r w:rsidRPr="002E54A0">
        <w:rPr>
          <w:rStyle w:val="a1"/>
          <w:rFonts w:eastAsia="Calibri"/>
          <w:sz w:val="22"/>
          <w:szCs w:val="22"/>
        </w:rPr>
        <w:t>В изпълнение на поетите от държавата ангажименти за ограничаване на емисиите на парникови газове (ПГ), с Решение на МС № 439 от 01.06.2012 г. е приет Трети Национален план за действие по изменение на климата (НПДИК)</w:t>
      </w:r>
      <w:r w:rsidRPr="002E54A0">
        <w:rPr>
          <w:rStyle w:val="ab"/>
          <w:rFonts w:eastAsia="Calibri"/>
          <w:sz w:val="22"/>
          <w:szCs w:val="22"/>
        </w:rPr>
        <w:footnoteReference w:id="25"/>
      </w:r>
      <w:r w:rsidRPr="002E54A0">
        <w:rPr>
          <w:rStyle w:val="a1"/>
          <w:rFonts w:eastAsia="Calibri"/>
          <w:sz w:val="22"/>
          <w:szCs w:val="22"/>
        </w:rPr>
        <w:t xml:space="preserve"> за периода 2013 – 2020 г. НПДИК е инструмент, чрез който се определя рамката на държавната политика в областта на изменение на климата за предвидения период на действие. Третият НПДИК предвижда конкретни мерки за намаляване на емисиите на ПГ в  секторите „Енергетика“, „Бит и Услуги“, „Промишленост“,  „Отпадъци“, „Селско Стопанство“ , „</w:t>
      </w:r>
      <w:proofErr w:type="spellStart"/>
      <w:r w:rsidRPr="002E54A0">
        <w:rPr>
          <w:rStyle w:val="a1"/>
          <w:rFonts w:eastAsia="Calibri"/>
          <w:sz w:val="22"/>
          <w:szCs w:val="22"/>
        </w:rPr>
        <w:t>Земеползване</w:t>
      </w:r>
      <w:proofErr w:type="spellEnd"/>
      <w:r w:rsidRPr="002E54A0">
        <w:rPr>
          <w:rStyle w:val="a1"/>
          <w:rFonts w:eastAsia="Calibri"/>
          <w:sz w:val="22"/>
          <w:szCs w:val="22"/>
        </w:rPr>
        <w:t xml:space="preserve">, промяна в </w:t>
      </w:r>
      <w:proofErr w:type="spellStart"/>
      <w:r w:rsidRPr="002E54A0">
        <w:rPr>
          <w:rStyle w:val="a1"/>
          <w:rFonts w:eastAsia="Calibri"/>
          <w:sz w:val="22"/>
          <w:szCs w:val="22"/>
        </w:rPr>
        <w:t>земеползването</w:t>
      </w:r>
      <w:proofErr w:type="spellEnd"/>
      <w:r w:rsidRPr="002E54A0">
        <w:rPr>
          <w:rStyle w:val="a1"/>
          <w:rFonts w:eastAsia="Calibri"/>
          <w:sz w:val="22"/>
          <w:szCs w:val="22"/>
        </w:rPr>
        <w:t xml:space="preserve"> и горско стопанство“, „Транспорт“,  „Образование и наука“,  като тези мерки са съобразени с политиката на страната в областта на изменението на климата и с потенциала на националната икономика за редукция на емисиите.</w:t>
      </w:r>
    </w:p>
    <w:p w14:paraId="7BA69E9D" w14:textId="77777777" w:rsidR="008B1EFF" w:rsidRPr="002E54A0" w:rsidRDefault="0042190C">
      <w:pPr>
        <w:pStyle w:val="a0"/>
        <w:spacing w:before="120" w:after="120" w:line="264" w:lineRule="auto"/>
        <w:jc w:val="both"/>
        <w:rPr>
          <w:rFonts w:eastAsia="Calibri"/>
          <w:sz w:val="22"/>
          <w:szCs w:val="22"/>
        </w:rPr>
      </w:pPr>
      <w:r w:rsidRPr="002E54A0">
        <w:rPr>
          <w:rFonts w:eastAsia="Calibri"/>
          <w:sz w:val="22"/>
          <w:szCs w:val="22"/>
        </w:rPr>
        <w:t>В концепцията и изпълнението на мерките на Третия НПДИК е залегнало съхраняването, рационалното и отговорно използване на ресурсите като ключова предпоставка не само за подобряването и опазването на околната среда, но и за постигането на устойчив икономически растеж и повишаване конкурентоспособността на българската икономика. Въвеждането на нисковъглеродни, енергийно ефективни и безотпадни технологии, както и оползотворяването и рециклирането на по-голямо количество отпадъци, допринася не само за общото намаляване на емисиите парникови газове, но и за повишаване на производителността и ресурсната ефективност. Предвиждат се мерки стимулиращи нови източници на растеж и работни места чрез икономии на разходите, пазарна реализация на иновациите и по-добро управление на ресурсите през целия им жизнен цикъл. Общият ефект от изпълнението им гарантира постигането на правно обвързващите цели за страната ни по пакета „Климат и енергетика“, както и целите за енергийна ефективност.</w:t>
      </w:r>
    </w:p>
    <w:p w14:paraId="421FF03C" w14:textId="77777777" w:rsidR="008B1EFF" w:rsidRPr="002E54A0" w:rsidRDefault="0042190C">
      <w:pPr>
        <w:pStyle w:val="a0"/>
        <w:spacing w:before="120" w:after="120" w:line="264" w:lineRule="auto"/>
        <w:jc w:val="both"/>
        <w:rPr>
          <w:rFonts w:eastAsia="Calibri"/>
          <w:sz w:val="22"/>
          <w:szCs w:val="22"/>
        </w:rPr>
      </w:pPr>
      <w:r w:rsidRPr="002E54A0">
        <w:rPr>
          <w:rFonts w:eastAsia="Calibri"/>
          <w:sz w:val="22"/>
          <w:szCs w:val="22"/>
        </w:rPr>
        <w:t xml:space="preserve">Основни източници на финансиране за изпълнение на мерките са: структурните и кохезионният фондове на ЕС; Европейският земеделски фонд за развитие на селските райони; донорски фондове на международните финансови институции като ЕБВР и Световната банка; Схемата за търговия с </w:t>
      </w:r>
      <w:r w:rsidRPr="002E54A0">
        <w:rPr>
          <w:rFonts w:eastAsia="Calibri"/>
          <w:sz w:val="22"/>
          <w:szCs w:val="22"/>
        </w:rPr>
        <w:lastRenderedPageBreak/>
        <w:t>квоти на емисии на ЕС; националната Схема за зелени инвестиции; Националният фонд за енергийна ефективност; фонд „Козлодуй“; ПУДООС и др.</w:t>
      </w:r>
    </w:p>
    <w:p w14:paraId="5E5009BB" w14:textId="77777777" w:rsidR="008B1EFF" w:rsidRPr="002E54A0" w:rsidRDefault="0042190C">
      <w:pPr>
        <w:pStyle w:val="a0"/>
        <w:spacing w:before="120" w:after="120" w:line="264" w:lineRule="auto"/>
        <w:jc w:val="both"/>
        <w:rPr>
          <w:rFonts w:eastAsia="Calibri"/>
          <w:sz w:val="22"/>
          <w:szCs w:val="22"/>
        </w:rPr>
      </w:pPr>
      <w:r w:rsidRPr="002E54A0">
        <w:rPr>
          <w:rFonts w:eastAsia="Calibri"/>
          <w:sz w:val="22"/>
          <w:szCs w:val="22"/>
        </w:rPr>
        <w:t>Анализът и оценка на постигнатите резултати, представени в Първи отчет на НПДИК, одобрен с Решение на МС №803/22.12.2017г., показват, че в резултат на изпълнените мерки от сектор „Енергетика“ са постигнати 80 % от спестените емисии на годишна база от действието на плана, следван от сектори „Транспорт“ – 7% и „Отпадъци“ 5%.</w:t>
      </w:r>
    </w:p>
    <w:p w14:paraId="3F924644" w14:textId="77777777" w:rsidR="008B1EFF" w:rsidRPr="002E54A0" w:rsidRDefault="0042190C">
      <w:pPr>
        <w:pStyle w:val="a0"/>
        <w:spacing w:before="120" w:after="120" w:line="264" w:lineRule="auto"/>
        <w:jc w:val="both"/>
        <w:rPr>
          <w:rFonts w:eastAsia="Calibri"/>
          <w:sz w:val="22"/>
          <w:szCs w:val="22"/>
        </w:rPr>
      </w:pPr>
      <w:r w:rsidRPr="002E54A0">
        <w:rPr>
          <w:rFonts w:eastAsia="Calibri"/>
          <w:sz w:val="22"/>
          <w:szCs w:val="22"/>
        </w:rPr>
        <w:t>За периода на действие на плана не е стартирало изпълнението на 5 мерки с пряк ефект в секторите „Енергетика“, „Бит и услуги“ и „Промишленост“. В сектор „Енергетика“ се изпълнява и мярка, чийто реален ефект може да бъде отчетен след периода на действие на плана.</w:t>
      </w:r>
    </w:p>
    <w:p w14:paraId="699E77CA" w14:textId="77777777" w:rsidR="008B1EFF" w:rsidRDefault="0042190C">
      <w:pPr>
        <w:pStyle w:val="a0"/>
        <w:jc w:val="both"/>
        <w:rPr>
          <w:rFonts w:eastAsia="Calibri"/>
          <w:sz w:val="22"/>
          <w:szCs w:val="22"/>
        </w:rPr>
      </w:pPr>
      <w:r w:rsidRPr="002E54A0">
        <w:rPr>
          <w:rFonts w:eastAsia="Calibri"/>
          <w:sz w:val="22"/>
          <w:szCs w:val="22"/>
        </w:rPr>
        <w:t>В таблицата са обобщени резултати от оценката на изпълнение на НПДИК.</w:t>
      </w:r>
    </w:p>
    <w:p w14:paraId="3E92CF77" w14:textId="77777777" w:rsidR="006F72FF" w:rsidRPr="002E54A0" w:rsidRDefault="006F72FF">
      <w:pPr>
        <w:pStyle w:val="a0"/>
        <w:jc w:val="both"/>
        <w:rPr>
          <w:rFonts w:eastAsia="Calibri"/>
          <w:sz w:val="22"/>
          <w:szCs w:val="22"/>
        </w:rPr>
      </w:pPr>
    </w:p>
    <w:p w14:paraId="7F667F75" w14:textId="2A6C3119" w:rsidR="008B1EFF" w:rsidRPr="006F72FF" w:rsidRDefault="006F72FF" w:rsidP="006F72FF">
      <w:pPr>
        <w:pStyle w:val="Caption"/>
        <w:rPr>
          <w:rFonts w:ascii="Times New Roman" w:hAnsi="Times New Roman"/>
          <w:b w:val="0"/>
          <w:bCs w:val="0"/>
          <w:i/>
          <w:color w:val="auto"/>
          <w:sz w:val="22"/>
          <w:szCs w:val="22"/>
          <w:lang w:val="bg-BG" w:eastAsia="bg-BG"/>
        </w:rPr>
      </w:pPr>
      <w:bookmarkStart w:id="29" w:name="_Toc71527460"/>
      <w:bookmarkStart w:id="30" w:name="_Toc72910349"/>
      <w:r w:rsidRPr="006F72FF">
        <w:rPr>
          <w:rFonts w:ascii="Times New Roman" w:hAnsi="Times New Roman"/>
          <w:b w:val="0"/>
          <w:bCs w:val="0"/>
          <w:i/>
          <w:color w:val="auto"/>
          <w:sz w:val="22"/>
          <w:szCs w:val="22"/>
          <w:lang w:val="bg-BG" w:eastAsia="bg-BG"/>
        </w:rPr>
        <w:t xml:space="preserve">Таблица  </w:t>
      </w:r>
      <w:r w:rsidRPr="006F72FF">
        <w:rPr>
          <w:rFonts w:ascii="Times New Roman" w:hAnsi="Times New Roman"/>
          <w:b w:val="0"/>
          <w:bCs w:val="0"/>
          <w:i/>
          <w:color w:val="auto"/>
          <w:sz w:val="22"/>
          <w:szCs w:val="22"/>
          <w:lang w:val="bg-BG" w:eastAsia="bg-BG"/>
        </w:rPr>
        <w:fldChar w:fldCharType="begin"/>
      </w:r>
      <w:r w:rsidRPr="006F72FF">
        <w:rPr>
          <w:rFonts w:ascii="Times New Roman" w:hAnsi="Times New Roman"/>
          <w:b w:val="0"/>
          <w:bCs w:val="0"/>
          <w:i/>
          <w:color w:val="auto"/>
          <w:sz w:val="22"/>
          <w:szCs w:val="22"/>
          <w:lang w:val="bg-BG" w:eastAsia="bg-BG"/>
        </w:rPr>
        <w:instrText xml:space="preserve"> SEQ Таблица_ \* ARABIC </w:instrText>
      </w:r>
      <w:r w:rsidRPr="006F72FF">
        <w:rPr>
          <w:rFonts w:ascii="Times New Roman" w:hAnsi="Times New Roman"/>
          <w:b w:val="0"/>
          <w:bCs w:val="0"/>
          <w:i/>
          <w:color w:val="auto"/>
          <w:sz w:val="22"/>
          <w:szCs w:val="22"/>
          <w:lang w:val="bg-BG" w:eastAsia="bg-BG"/>
        </w:rPr>
        <w:fldChar w:fldCharType="separate"/>
      </w:r>
      <w:r w:rsidR="008059A7">
        <w:rPr>
          <w:rFonts w:ascii="Times New Roman" w:hAnsi="Times New Roman"/>
          <w:b w:val="0"/>
          <w:bCs w:val="0"/>
          <w:i/>
          <w:noProof/>
          <w:color w:val="auto"/>
          <w:sz w:val="22"/>
          <w:szCs w:val="22"/>
          <w:lang w:val="bg-BG" w:eastAsia="bg-BG"/>
        </w:rPr>
        <w:t>1</w:t>
      </w:r>
      <w:r w:rsidRPr="006F72FF">
        <w:rPr>
          <w:rFonts w:ascii="Times New Roman" w:hAnsi="Times New Roman"/>
          <w:b w:val="0"/>
          <w:bCs w:val="0"/>
          <w:i/>
          <w:color w:val="auto"/>
          <w:sz w:val="22"/>
          <w:szCs w:val="22"/>
          <w:lang w:val="bg-BG" w:eastAsia="bg-BG"/>
        </w:rPr>
        <w:fldChar w:fldCharType="end"/>
      </w:r>
      <w:r w:rsidRPr="006F72FF">
        <w:rPr>
          <w:rFonts w:ascii="Times New Roman" w:hAnsi="Times New Roman"/>
          <w:b w:val="0"/>
          <w:bCs w:val="0"/>
          <w:i/>
          <w:color w:val="auto"/>
          <w:sz w:val="22"/>
          <w:szCs w:val="22"/>
          <w:lang w:val="bg-BG" w:eastAsia="bg-BG"/>
        </w:rPr>
        <w:t xml:space="preserve"> </w:t>
      </w:r>
      <w:r w:rsidR="0042190C" w:rsidRPr="006F72FF">
        <w:rPr>
          <w:rFonts w:ascii="Times New Roman" w:hAnsi="Times New Roman"/>
          <w:b w:val="0"/>
          <w:i/>
          <w:color w:val="auto"/>
          <w:sz w:val="22"/>
          <w:szCs w:val="22"/>
          <w:lang w:val="bg-BG" w:eastAsia="bg-BG"/>
        </w:rPr>
        <w:t>. Разпределение на очакваните и спестени емисии по сектори</w:t>
      </w:r>
      <w:bookmarkEnd w:id="29"/>
      <w:bookmarkEnd w:id="30"/>
    </w:p>
    <w:tbl>
      <w:tblPr>
        <w:tblW w:w="9535" w:type="dxa"/>
        <w:tblCellMar>
          <w:left w:w="10" w:type="dxa"/>
          <w:right w:w="10" w:type="dxa"/>
        </w:tblCellMar>
        <w:tblLook w:val="0000" w:firstRow="0" w:lastRow="0" w:firstColumn="0" w:lastColumn="0" w:noHBand="0" w:noVBand="0"/>
      </w:tblPr>
      <w:tblGrid>
        <w:gridCol w:w="3116"/>
        <w:gridCol w:w="3117"/>
        <w:gridCol w:w="3302"/>
      </w:tblGrid>
      <w:tr w:rsidR="008B1EFF" w14:paraId="59596EAA" w14:textId="77777777">
        <w:trPr>
          <w:trHeight w:val="144"/>
        </w:trPr>
        <w:tc>
          <w:tcPr>
            <w:tcW w:w="311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34AE1B" w14:textId="77777777" w:rsidR="008B1EFF" w:rsidRDefault="0042190C">
            <w:pPr>
              <w:pStyle w:val="a0"/>
              <w:spacing w:before="120" w:after="120" w:line="264" w:lineRule="auto"/>
              <w:jc w:val="both"/>
              <w:rPr>
                <w:rFonts w:eastAsia="Calibri"/>
                <w:sz w:val="20"/>
                <w:szCs w:val="20"/>
              </w:rPr>
            </w:pPr>
            <w:r>
              <w:rPr>
                <w:rFonts w:eastAsia="Calibri"/>
                <w:sz w:val="20"/>
                <w:szCs w:val="20"/>
              </w:rPr>
              <w:t>Сектори на интервенция</w:t>
            </w:r>
          </w:p>
          <w:p w14:paraId="72080C5C" w14:textId="77777777" w:rsidR="008B1EFF" w:rsidRDefault="0042190C">
            <w:pPr>
              <w:pStyle w:val="a0"/>
              <w:spacing w:before="120" w:after="120" w:line="264" w:lineRule="auto"/>
              <w:jc w:val="both"/>
            </w:pPr>
            <w:r>
              <w:rPr>
                <w:rStyle w:val="a1"/>
                <w:rFonts w:eastAsia="Calibri"/>
                <w:noProof/>
                <w:sz w:val="20"/>
                <w:szCs w:val="20"/>
                <w:lang w:val="en-GB" w:eastAsia="en-GB"/>
              </w:rPr>
              <mc:AlternateContent>
                <mc:Choice Requires="wps">
                  <w:drawing>
                    <wp:anchor distT="0" distB="0" distL="114300" distR="114300" simplePos="0" relativeHeight="251663360" behindDoc="0" locked="0" layoutInCell="1" allowOverlap="1" wp14:anchorId="26C1A783" wp14:editId="6E4417BE">
                      <wp:simplePos x="0" y="0"/>
                      <wp:positionH relativeFrom="column">
                        <wp:posOffset>185887</wp:posOffset>
                      </wp:positionH>
                      <wp:positionV relativeFrom="paragraph">
                        <wp:posOffset>164547</wp:posOffset>
                      </wp:positionV>
                      <wp:extent cx="222885" cy="545467"/>
                      <wp:effectExtent l="10159" t="27941" r="15874" b="15874"/>
                      <wp:wrapNone/>
                      <wp:docPr id="11" name="Rectangle 26"/>
                      <wp:cNvGraphicFramePr/>
                      <a:graphic xmlns:a="http://schemas.openxmlformats.org/drawingml/2006/main">
                        <a:graphicData uri="http://schemas.microsoft.com/office/word/2010/wordprocessingShape">
                          <wps:wsp>
                            <wps:cNvSpPr/>
                            <wps:spPr>
                              <a:xfrm rot="5400013">
                                <a:off x="0" y="0"/>
                                <a:ext cx="222885" cy="545467"/>
                              </a:xfrm>
                              <a:prstGeom prst="rect">
                                <a:avLst/>
                              </a:prstGeom>
                              <a:solidFill>
                                <a:srgbClr val="FFC000"/>
                              </a:solidFill>
                              <a:ln w="12701" cap="flat">
                                <a:solidFill>
                                  <a:srgbClr val="FFD966"/>
                                </a:solidFill>
                                <a:prstDash val="solid"/>
                                <a:miter/>
                              </a:ln>
                            </wps:spPr>
                            <wps:bodyPr lIns="0" tIns="0" rIns="0" bIns="0"/>
                          </wps:wsp>
                        </a:graphicData>
                      </a:graphic>
                    </wp:anchor>
                  </w:drawing>
                </mc:Choice>
                <mc:Fallback>
                  <w:pict>
                    <v:rect w14:anchorId="5F3B1468" id="Rectangle 26" o:spid="_x0000_s1026" style="position:absolute;margin-left:14.65pt;margin-top:12.95pt;width:17.55pt;height:42.95pt;rotation:5898254fd;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" fillcolor="#ffc000" strokecolor="#ffd966" strokeweight=".35281mm">
                      <v:textbox inset="0,0,0,0"/>
                    </v:rect>
                  </w:pict>
                </mc:Fallback>
              </mc:AlternateContent>
            </w:r>
          </w:p>
        </w:tc>
        <w:tc>
          <w:tcPr>
            <w:tcW w:w="641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CF1B5C" w14:textId="77777777" w:rsidR="008B1EFF" w:rsidRDefault="0042190C">
            <w:pPr>
              <w:pStyle w:val="a0"/>
              <w:spacing w:before="120" w:after="120" w:line="264" w:lineRule="auto"/>
              <w:jc w:val="both"/>
              <w:rPr>
                <w:rFonts w:eastAsia="Calibri"/>
                <w:sz w:val="20"/>
                <w:szCs w:val="20"/>
              </w:rPr>
            </w:pPr>
            <w:r>
              <w:rPr>
                <w:rFonts w:eastAsia="Calibri"/>
                <w:sz w:val="20"/>
                <w:szCs w:val="20"/>
              </w:rPr>
              <w:t>Спестени емисии по сектори</w:t>
            </w:r>
          </w:p>
        </w:tc>
      </w:tr>
      <w:tr w:rsidR="008B1EFF" w14:paraId="030B2AB0" w14:textId="77777777">
        <w:trPr>
          <w:trHeight w:val="144"/>
        </w:trPr>
        <w:tc>
          <w:tcPr>
            <w:tcW w:w="311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F74C38" w14:textId="77777777" w:rsidR="008B1EFF" w:rsidRDefault="008B1EFF">
            <w:pPr>
              <w:pStyle w:val="a0"/>
              <w:spacing w:before="120" w:after="120" w:line="264" w:lineRule="auto"/>
              <w:jc w:val="both"/>
              <w:rPr>
                <w:rFonts w:eastAsia="Calibri"/>
                <w:sz w:val="20"/>
                <w:szCs w:val="20"/>
              </w:rPr>
            </w:pPr>
          </w:p>
        </w:tc>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3DFBA" w14:textId="77777777" w:rsidR="008B1EFF" w:rsidRDefault="0042190C">
            <w:pPr>
              <w:pStyle w:val="a0"/>
              <w:spacing w:before="120" w:after="120" w:line="264" w:lineRule="auto"/>
              <w:jc w:val="both"/>
              <w:rPr>
                <w:rFonts w:eastAsia="Calibri"/>
                <w:sz w:val="20"/>
                <w:szCs w:val="20"/>
              </w:rPr>
            </w:pPr>
            <w:r>
              <w:rPr>
                <w:rFonts w:eastAsia="Calibri"/>
                <w:sz w:val="20"/>
                <w:szCs w:val="20"/>
              </w:rPr>
              <w:t>Отчетени спестявания към 2017г.</w:t>
            </w:r>
          </w:p>
        </w:tc>
        <w:tc>
          <w:tcPr>
            <w:tcW w:w="33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1AC52D" w14:textId="77777777" w:rsidR="008B1EFF" w:rsidRDefault="0042190C">
            <w:pPr>
              <w:pStyle w:val="a0"/>
              <w:spacing w:before="120" w:after="120" w:line="264" w:lineRule="auto"/>
              <w:jc w:val="both"/>
              <w:rPr>
                <w:rFonts w:eastAsia="Calibri"/>
                <w:sz w:val="20"/>
                <w:szCs w:val="20"/>
              </w:rPr>
            </w:pPr>
            <w:r>
              <w:rPr>
                <w:rFonts w:eastAsia="Calibri"/>
                <w:sz w:val="20"/>
                <w:szCs w:val="20"/>
              </w:rPr>
              <w:t>Планирани спестявания до 2020г.</w:t>
            </w:r>
          </w:p>
        </w:tc>
      </w:tr>
      <w:tr w:rsidR="008B1EFF" w14:paraId="75FE8D00" w14:textId="77777777">
        <w:trPr>
          <w:trHeight w:val="144"/>
        </w:trPr>
        <w:tc>
          <w:tcPr>
            <w:tcW w:w="3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16585" w14:textId="77777777" w:rsidR="008B1EFF" w:rsidRDefault="0042190C">
            <w:pPr>
              <w:pStyle w:val="a0"/>
              <w:jc w:val="right"/>
            </w:pPr>
            <w:r>
              <w:rPr>
                <w:rStyle w:val="a1"/>
                <w:rFonts w:eastAsia="Calibri"/>
                <w:sz w:val="20"/>
                <w:szCs w:val="20"/>
              </w:rPr>
              <w:t>„</w:t>
            </w:r>
            <w:r>
              <w:rPr>
                <w:rStyle w:val="a1"/>
                <w:rFonts w:eastAsia="Calibri"/>
                <w:b/>
                <w:sz w:val="20"/>
                <w:szCs w:val="20"/>
              </w:rPr>
              <w:t>Енергетика</w:t>
            </w:r>
            <w:r>
              <w:rPr>
                <w:rStyle w:val="a1"/>
                <w:rFonts w:eastAsia="Calibri"/>
                <w:sz w:val="20"/>
                <w:szCs w:val="20"/>
              </w:rPr>
              <w:t xml:space="preserve">“ </w:t>
            </w:r>
          </w:p>
          <w:p w14:paraId="3F509961" w14:textId="77777777" w:rsidR="008B1EFF" w:rsidRDefault="0042190C">
            <w:pPr>
              <w:pStyle w:val="a0"/>
              <w:spacing w:before="120"/>
            </w:pPr>
            <w:r>
              <w:rPr>
                <w:rStyle w:val="a1"/>
                <w:rFonts w:eastAsia="Calibri"/>
                <w:noProof/>
                <w:sz w:val="20"/>
                <w:szCs w:val="20"/>
                <w:lang w:val="en-GB" w:eastAsia="en-GB"/>
              </w:rPr>
              <mc:AlternateContent>
                <mc:Choice Requires="wps">
                  <w:drawing>
                    <wp:anchor distT="0" distB="0" distL="114300" distR="114300" simplePos="0" relativeHeight="251659264" behindDoc="0" locked="0" layoutInCell="1" allowOverlap="1" wp14:anchorId="454FB4FB" wp14:editId="1DDEDCD3">
                      <wp:simplePos x="0" y="0"/>
                      <wp:positionH relativeFrom="column">
                        <wp:posOffset>187259</wp:posOffset>
                      </wp:positionH>
                      <wp:positionV relativeFrom="paragraph">
                        <wp:posOffset>295214</wp:posOffset>
                      </wp:positionV>
                      <wp:extent cx="222885" cy="541023"/>
                      <wp:effectExtent l="12381" t="25719" r="18096" b="18096"/>
                      <wp:wrapNone/>
                      <wp:docPr id="12" name="Rectangle 26"/>
                      <wp:cNvGraphicFramePr/>
                      <a:graphic xmlns:a="http://schemas.openxmlformats.org/drawingml/2006/main">
                        <a:graphicData uri="http://schemas.microsoft.com/office/word/2010/wordprocessingShape">
                          <wps:wsp>
                            <wps:cNvSpPr/>
                            <wps:spPr>
                              <a:xfrm rot="5400013">
                                <a:off x="0" y="0"/>
                                <a:ext cx="222885" cy="541023"/>
                              </a:xfrm>
                              <a:prstGeom prst="rect">
                                <a:avLst/>
                              </a:prstGeom>
                              <a:solidFill>
                                <a:srgbClr val="FFC000"/>
                              </a:solidFill>
                              <a:ln w="12701" cap="flat">
                                <a:solidFill>
                                  <a:srgbClr val="FFD966"/>
                                </a:solidFill>
                                <a:prstDash val="solid"/>
                                <a:miter/>
                              </a:ln>
                            </wps:spPr>
                            <wps:bodyPr lIns="0" tIns="0" rIns="0" bIns="0"/>
                          </wps:wsp>
                        </a:graphicData>
                      </a:graphic>
                    </wp:anchor>
                  </w:drawing>
                </mc:Choice>
                <mc:Fallback>
                  <w:pict>
                    <v:rect w14:anchorId="4A97EEDE" id="Rectangle 26" o:spid="_x0000_s1026" style="position:absolute;margin-left:14.75pt;margin-top:23.25pt;width:17.55pt;height:42.6pt;rotation:5898254fd;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" fillcolor="#ffc000" strokecolor="#ffd966" strokeweight=".35281mm">
                      <v:textbox inset="0,0,0,0"/>
                    </v:rect>
                  </w:pict>
                </mc:Fallback>
              </mc:AlternateContent>
            </w:r>
            <w:r>
              <w:rPr>
                <w:rStyle w:val="a1"/>
                <w:rFonts w:eastAsia="Calibri"/>
                <w:i/>
                <w:sz w:val="20"/>
                <w:szCs w:val="20"/>
              </w:rPr>
              <w:t>Една от заложените мерки с пряк ефект не се изпълнява</w:t>
            </w:r>
          </w:p>
        </w:tc>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18E499" w14:textId="77777777" w:rsidR="008B1EFF" w:rsidRDefault="0042190C">
            <w:pPr>
              <w:pStyle w:val="a0"/>
              <w:spacing w:before="120" w:after="120" w:line="264" w:lineRule="auto"/>
              <w:jc w:val="both"/>
              <w:rPr>
                <w:rFonts w:eastAsia="Calibri"/>
                <w:sz w:val="20"/>
                <w:szCs w:val="20"/>
              </w:rPr>
            </w:pPr>
            <w:r>
              <w:rPr>
                <w:rFonts w:eastAsia="Calibri"/>
                <w:sz w:val="20"/>
                <w:szCs w:val="20"/>
              </w:rPr>
              <w:t>8 083 705 тона СO2 екв./година,</w:t>
            </w:r>
          </w:p>
        </w:tc>
        <w:tc>
          <w:tcPr>
            <w:tcW w:w="33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068A90" w14:textId="77777777" w:rsidR="008B1EFF" w:rsidRDefault="0042190C">
            <w:pPr>
              <w:pStyle w:val="a0"/>
              <w:spacing w:before="120" w:after="120" w:line="264" w:lineRule="auto"/>
              <w:jc w:val="both"/>
              <w:rPr>
                <w:rFonts w:eastAsia="Calibri"/>
                <w:sz w:val="20"/>
                <w:szCs w:val="20"/>
              </w:rPr>
            </w:pPr>
            <w:r>
              <w:rPr>
                <w:rFonts w:eastAsia="Calibri"/>
                <w:sz w:val="20"/>
                <w:szCs w:val="20"/>
              </w:rPr>
              <w:t xml:space="preserve">2 236 722 тона СO2 екв./година </w:t>
            </w:r>
          </w:p>
        </w:tc>
      </w:tr>
      <w:tr w:rsidR="008B1EFF" w14:paraId="0C9F130B" w14:textId="77777777">
        <w:trPr>
          <w:trHeight w:val="144"/>
        </w:trPr>
        <w:tc>
          <w:tcPr>
            <w:tcW w:w="3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43F46" w14:textId="77777777" w:rsidR="008B1EFF" w:rsidRDefault="0042190C">
            <w:pPr>
              <w:pStyle w:val="a0"/>
              <w:spacing w:before="120" w:after="120" w:line="264" w:lineRule="auto"/>
              <w:jc w:val="right"/>
            </w:pPr>
            <w:r>
              <w:rPr>
                <w:rStyle w:val="a1"/>
                <w:rFonts w:eastAsia="Calibri"/>
                <w:sz w:val="20"/>
                <w:szCs w:val="20"/>
              </w:rPr>
              <w:t>„</w:t>
            </w:r>
            <w:r>
              <w:rPr>
                <w:rStyle w:val="a1"/>
                <w:rFonts w:eastAsia="Calibri"/>
                <w:b/>
                <w:sz w:val="20"/>
                <w:szCs w:val="20"/>
              </w:rPr>
              <w:t>Бит и услуги</w:t>
            </w:r>
            <w:r>
              <w:rPr>
                <w:rStyle w:val="a1"/>
                <w:rFonts w:eastAsia="Calibri"/>
                <w:sz w:val="20"/>
                <w:szCs w:val="20"/>
              </w:rPr>
              <w:t>“</w:t>
            </w:r>
          </w:p>
          <w:p w14:paraId="23AC2717" w14:textId="77777777" w:rsidR="008B1EFF" w:rsidRDefault="0042190C">
            <w:pPr>
              <w:pStyle w:val="a0"/>
              <w:spacing w:before="120" w:after="120" w:line="264" w:lineRule="auto"/>
              <w:jc w:val="both"/>
            </w:pPr>
            <w:r>
              <w:rPr>
                <w:rStyle w:val="a1"/>
                <w:rFonts w:eastAsia="Calibri"/>
                <w:noProof/>
                <w:sz w:val="20"/>
                <w:szCs w:val="20"/>
                <w:lang w:val="en-GB" w:eastAsia="en-GB"/>
              </w:rPr>
              <mc:AlternateContent>
                <mc:Choice Requires="wps">
                  <w:drawing>
                    <wp:anchor distT="0" distB="0" distL="114300" distR="114300" simplePos="0" relativeHeight="251662336" behindDoc="0" locked="0" layoutInCell="1" allowOverlap="1" wp14:anchorId="09CA43C0" wp14:editId="2F95DFF6">
                      <wp:simplePos x="0" y="0"/>
                      <wp:positionH relativeFrom="column">
                        <wp:posOffset>185887</wp:posOffset>
                      </wp:positionH>
                      <wp:positionV relativeFrom="paragraph">
                        <wp:posOffset>263174</wp:posOffset>
                      </wp:positionV>
                      <wp:extent cx="222885" cy="545467"/>
                      <wp:effectExtent l="10159" t="27941" r="15874" b="15874"/>
                      <wp:wrapNone/>
                      <wp:docPr id="13" name="Rectangle 26"/>
                      <wp:cNvGraphicFramePr/>
                      <a:graphic xmlns:a="http://schemas.openxmlformats.org/drawingml/2006/main">
                        <a:graphicData uri="http://schemas.microsoft.com/office/word/2010/wordprocessingShape">
                          <wps:wsp>
                            <wps:cNvSpPr/>
                            <wps:spPr>
                              <a:xfrm rot="5400013">
                                <a:off x="0" y="0"/>
                                <a:ext cx="222885" cy="545467"/>
                              </a:xfrm>
                              <a:prstGeom prst="rect">
                                <a:avLst/>
                              </a:prstGeom>
                              <a:solidFill>
                                <a:srgbClr val="FFC000"/>
                              </a:solidFill>
                              <a:ln w="12701" cap="flat">
                                <a:solidFill>
                                  <a:srgbClr val="FFD966"/>
                                </a:solidFill>
                                <a:prstDash val="solid"/>
                                <a:miter/>
                              </a:ln>
                            </wps:spPr>
                            <wps:bodyPr lIns="0" tIns="0" rIns="0" bIns="0"/>
                          </wps:wsp>
                        </a:graphicData>
                      </a:graphic>
                    </wp:anchor>
                  </w:drawing>
                </mc:Choice>
                <mc:Fallback>
                  <w:pict>
                    <v:rect w14:anchorId="1ED90AF0" id="Rectangle 26" o:spid="_x0000_s1026" style="position:absolute;margin-left:14.65pt;margin-top:20.7pt;width:17.55pt;height:42.95pt;rotation:5898254fd;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" fillcolor="#ffc000" strokecolor="#ffd966" strokeweight=".35281mm">
                      <v:textbox inset="0,0,0,0"/>
                    </v:rect>
                  </w:pict>
                </mc:Fallback>
              </mc:AlternateContent>
            </w:r>
            <w:r>
              <w:rPr>
                <w:rStyle w:val="a1"/>
                <w:rFonts w:eastAsia="Calibri"/>
                <w:i/>
                <w:sz w:val="20"/>
                <w:szCs w:val="20"/>
              </w:rPr>
              <w:t>Три от заложените мерки с пряк ефект не се изпълняват</w:t>
            </w:r>
          </w:p>
        </w:tc>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645BD9" w14:textId="77777777" w:rsidR="008B1EFF" w:rsidRDefault="0042190C">
            <w:pPr>
              <w:pStyle w:val="a0"/>
              <w:spacing w:before="120" w:after="120" w:line="264" w:lineRule="auto"/>
              <w:ind w:left="280"/>
              <w:jc w:val="both"/>
              <w:rPr>
                <w:rFonts w:eastAsia="Calibri"/>
                <w:sz w:val="20"/>
                <w:szCs w:val="20"/>
              </w:rPr>
            </w:pPr>
            <w:r>
              <w:rPr>
                <w:rFonts w:eastAsia="Calibri"/>
                <w:sz w:val="20"/>
                <w:szCs w:val="20"/>
              </w:rPr>
              <w:t>283 666 t CO2 екв./година</w:t>
            </w:r>
          </w:p>
        </w:tc>
        <w:tc>
          <w:tcPr>
            <w:tcW w:w="33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245A0B" w14:textId="77777777" w:rsidR="008B1EFF" w:rsidRDefault="0042190C">
            <w:pPr>
              <w:pStyle w:val="a0"/>
              <w:spacing w:before="120" w:after="120" w:line="264" w:lineRule="auto"/>
              <w:ind w:firstLine="310"/>
              <w:jc w:val="both"/>
              <w:rPr>
                <w:rFonts w:eastAsia="Calibri"/>
                <w:sz w:val="20"/>
                <w:szCs w:val="20"/>
              </w:rPr>
            </w:pPr>
            <w:r>
              <w:rPr>
                <w:rFonts w:eastAsia="Calibri"/>
                <w:sz w:val="20"/>
                <w:szCs w:val="20"/>
              </w:rPr>
              <w:t>283 666 t CO2 екв./година</w:t>
            </w:r>
          </w:p>
        </w:tc>
      </w:tr>
      <w:tr w:rsidR="008B1EFF" w14:paraId="6E9CD592" w14:textId="77777777">
        <w:trPr>
          <w:trHeight w:val="144"/>
        </w:trPr>
        <w:tc>
          <w:tcPr>
            <w:tcW w:w="3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A4591" w14:textId="77777777" w:rsidR="008B1EFF" w:rsidRDefault="0042190C">
            <w:pPr>
              <w:pStyle w:val="a0"/>
              <w:spacing w:before="120" w:after="120" w:line="264" w:lineRule="auto"/>
              <w:jc w:val="right"/>
            </w:pPr>
            <w:r>
              <w:rPr>
                <w:rStyle w:val="a1"/>
                <w:rFonts w:eastAsia="Calibri"/>
                <w:sz w:val="20"/>
                <w:szCs w:val="20"/>
              </w:rPr>
              <w:t xml:space="preserve">  „</w:t>
            </w:r>
            <w:r>
              <w:rPr>
                <w:rStyle w:val="a1"/>
                <w:rFonts w:eastAsia="Calibri"/>
                <w:b/>
                <w:sz w:val="20"/>
                <w:szCs w:val="20"/>
              </w:rPr>
              <w:t>Промишленос</w:t>
            </w:r>
            <w:r>
              <w:rPr>
                <w:rStyle w:val="a1"/>
                <w:rFonts w:eastAsia="Calibri"/>
                <w:sz w:val="20"/>
                <w:szCs w:val="20"/>
              </w:rPr>
              <w:t>т“</w:t>
            </w:r>
          </w:p>
          <w:p w14:paraId="183BAAD6" w14:textId="77777777" w:rsidR="008B1EFF" w:rsidRDefault="0042190C">
            <w:pPr>
              <w:pStyle w:val="a0"/>
              <w:spacing w:before="120" w:after="120" w:line="264" w:lineRule="auto"/>
              <w:jc w:val="both"/>
            </w:pPr>
            <w:r>
              <w:rPr>
                <w:rStyle w:val="a1"/>
                <w:rFonts w:eastAsia="Calibri"/>
                <w:noProof/>
                <w:sz w:val="20"/>
                <w:szCs w:val="20"/>
                <w:lang w:val="en-GB" w:eastAsia="en-GB"/>
              </w:rPr>
              <mc:AlternateContent>
                <mc:Choice Requires="wps">
                  <w:drawing>
                    <wp:anchor distT="0" distB="0" distL="114300" distR="114300" simplePos="0" relativeHeight="251660288" behindDoc="0" locked="0" layoutInCell="1" allowOverlap="1" wp14:anchorId="23BDB796" wp14:editId="4038B974">
                      <wp:simplePos x="0" y="0"/>
                      <wp:positionH relativeFrom="column">
                        <wp:posOffset>176189</wp:posOffset>
                      </wp:positionH>
                      <wp:positionV relativeFrom="paragraph">
                        <wp:posOffset>313643</wp:posOffset>
                      </wp:positionV>
                      <wp:extent cx="242572" cy="545467"/>
                      <wp:effectExtent l="20002" t="18098" r="25081" b="25080"/>
                      <wp:wrapNone/>
                      <wp:docPr id="14" name="Rectangle 27"/>
                      <wp:cNvGraphicFramePr/>
                      <a:graphic xmlns:a="http://schemas.openxmlformats.org/drawingml/2006/main">
                        <a:graphicData uri="http://schemas.microsoft.com/office/word/2010/wordprocessingShape">
                          <wps:wsp>
                            <wps:cNvSpPr/>
                            <wps:spPr>
                              <a:xfrm rot="5400013">
                                <a:off x="0" y="0"/>
                                <a:ext cx="242572" cy="545467"/>
                              </a:xfrm>
                              <a:prstGeom prst="rect">
                                <a:avLst/>
                              </a:prstGeom>
                              <a:solidFill>
                                <a:srgbClr val="70AD47"/>
                              </a:solidFill>
                              <a:ln w="12701" cap="flat">
                                <a:solidFill>
                                  <a:srgbClr val="A9D18E"/>
                                </a:solidFill>
                                <a:prstDash val="solid"/>
                                <a:miter/>
                              </a:ln>
                            </wps:spPr>
                            <wps:bodyPr lIns="0" tIns="0" rIns="0" bIns="0"/>
                          </wps:wsp>
                        </a:graphicData>
                      </a:graphic>
                    </wp:anchor>
                  </w:drawing>
                </mc:Choice>
                <mc:Fallback>
                  <w:pict>
                    <v:rect w14:anchorId="56B09FA9" id="Rectangle 27" o:spid="_x0000_s1026" style="position:absolute;margin-left:13.85pt;margin-top:24.7pt;width:19.1pt;height:42.95pt;rotation:5898254fd;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" fillcolor="#70ad47" strokecolor="#a9d18e" strokeweight=".35281mm">
                      <v:textbox inset="0,0,0,0"/>
                    </v:rect>
                  </w:pict>
                </mc:Fallback>
              </mc:AlternateContent>
            </w:r>
            <w:r>
              <w:rPr>
                <w:rStyle w:val="a1"/>
                <w:rFonts w:eastAsia="Calibri"/>
                <w:i/>
                <w:sz w:val="20"/>
                <w:szCs w:val="20"/>
              </w:rPr>
              <w:t>една мярка с пряк ефект не се изпълнява</w:t>
            </w:r>
          </w:p>
        </w:tc>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15A171" w14:textId="77777777" w:rsidR="008B1EFF" w:rsidRDefault="0042190C">
            <w:pPr>
              <w:pStyle w:val="a0"/>
              <w:spacing w:before="120" w:after="120" w:line="264" w:lineRule="auto"/>
              <w:ind w:left="280"/>
              <w:jc w:val="both"/>
            </w:pPr>
            <w:r>
              <w:rPr>
                <w:rStyle w:val="a1"/>
                <w:rFonts w:eastAsia="Calibri"/>
                <w:sz w:val="20"/>
                <w:szCs w:val="20"/>
              </w:rPr>
              <w:t>126 604 t CO2 екв./година</w:t>
            </w:r>
          </w:p>
        </w:tc>
        <w:tc>
          <w:tcPr>
            <w:tcW w:w="33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DF53C1" w14:textId="77777777" w:rsidR="008B1EFF" w:rsidRDefault="0042190C">
            <w:pPr>
              <w:pStyle w:val="a0"/>
              <w:spacing w:before="120" w:after="120" w:line="264" w:lineRule="auto"/>
              <w:ind w:firstLine="310"/>
              <w:jc w:val="both"/>
              <w:rPr>
                <w:rFonts w:eastAsia="Calibri"/>
                <w:sz w:val="20"/>
                <w:szCs w:val="20"/>
              </w:rPr>
            </w:pPr>
            <w:r>
              <w:rPr>
                <w:rFonts w:eastAsia="Calibri"/>
                <w:sz w:val="20"/>
                <w:szCs w:val="20"/>
              </w:rPr>
              <w:t>751 841 t CO2 екв./година</w:t>
            </w:r>
          </w:p>
        </w:tc>
      </w:tr>
      <w:tr w:rsidR="008B1EFF" w14:paraId="4E75987E" w14:textId="77777777">
        <w:trPr>
          <w:trHeight w:val="144"/>
        </w:trPr>
        <w:tc>
          <w:tcPr>
            <w:tcW w:w="3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A46AA" w14:textId="77777777" w:rsidR="008B1EFF" w:rsidRDefault="0042190C">
            <w:pPr>
              <w:pStyle w:val="a0"/>
              <w:spacing w:before="120" w:after="120" w:line="264" w:lineRule="auto"/>
              <w:jc w:val="right"/>
            </w:pPr>
            <w:r>
              <w:rPr>
                <w:rStyle w:val="a1"/>
                <w:rFonts w:eastAsia="Calibri"/>
                <w:sz w:val="20"/>
                <w:szCs w:val="20"/>
              </w:rPr>
              <w:t xml:space="preserve"> „</w:t>
            </w:r>
            <w:r>
              <w:rPr>
                <w:rStyle w:val="a1"/>
                <w:rFonts w:eastAsia="Calibri"/>
                <w:b/>
                <w:sz w:val="20"/>
                <w:szCs w:val="20"/>
              </w:rPr>
              <w:t>Отпадъци“</w:t>
            </w:r>
          </w:p>
          <w:p w14:paraId="3235AEB7" w14:textId="77777777" w:rsidR="008B1EFF" w:rsidRDefault="0042190C">
            <w:pPr>
              <w:pStyle w:val="a0"/>
              <w:spacing w:before="120" w:after="120" w:line="264" w:lineRule="auto"/>
              <w:jc w:val="both"/>
            </w:pPr>
            <w:r>
              <w:rPr>
                <w:rStyle w:val="a1"/>
                <w:rFonts w:eastAsia="Calibri"/>
                <w:i/>
                <w:sz w:val="20"/>
                <w:szCs w:val="20"/>
              </w:rPr>
              <w:t>Всички заложени мерки в плана се изпълняват</w:t>
            </w:r>
          </w:p>
        </w:tc>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7C7CD8" w14:textId="77777777" w:rsidR="008B1EFF" w:rsidRDefault="0042190C">
            <w:pPr>
              <w:pStyle w:val="a0"/>
              <w:spacing w:before="120" w:after="120" w:line="264" w:lineRule="auto"/>
              <w:ind w:left="280"/>
              <w:jc w:val="both"/>
            </w:pPr>
            <w:r>
              <w:rPr>
                <w:rStyle w:val="a1"/>
                <w:rFonts w:eastAsia="Calibri"/>
                <w:sz w:val="20"/>
                <w:szCs w:val="20"/>
              </w:rPr>
              <w:t>1 489 934 t CO2 екв./година</w:t>
            </w:r>
          </w:p>
        </w:tc>
        <w:tc>
          <w:tcPr>
            <w:tcW w:w="33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E468E" w14:textId="77777777" w:rsidR="008B1EFF" w:rsidRDefault="0042190C">
            <w:pPr>
              <w:pStyle w:val="a0"/>
              <w:spacing w:before="120" w:after="120" w:line="264" w:lineRule="auto"/>
              <w:ind w:firstLine="310"/>
              <w:jc w:val="both"/>
              <w:rPr>
                <w:rFonts w:eastAsia="Calibri"/>
                <w:sz w:val="20"/>
                <w:szCs w:val="20"/>
              </w:rPr>
            </w:pPr>
            <w:r>
              <w:rPr>
                <w:rFonts w:eastAsia="Calibri"/>
                <w:sz w:val="20"/>
                <w:szCs w:val="20"/>
              </w:rPr>
              <w:t>542 920 t CO2 екв./година</w:t>
            </w:r>
          </w:p>
        </w:tc>
      </w:tr>
      <w:tr w:rsidR="008B1EFF" w14:paraId="548CD678" w14:textId="77777777">
        <w:trPr>
          <w:trHeight w:val="144"/>
        </w:trPr>
        <w:tc>
          <w:tcPr>
            <w:tcW w:w="3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67EAA0" w14:textId="77777777" w:rsidR="008B1EFF" w:rsidRDefault="0042190C">
            <w:pPr>
              <w:pStyle w:val="a0"/>
              <w:spacing w:before="120" w:after="120" w:line="264" w:lineRule="auto"/>
              <w:jc w:val="right"/>
            </w:pPr>
            <w:r>
              <w:rPr>
                <w:rStyle w:val="a1"/>
                <w:rFonts w:eastAsia="Calibri"/>
                <w:noProof/>
                <w:sz w:val="20"/>
                <w:szCs w:val="20"/>
                <w:lang w:val="en-GB" w:eastAsia="en-GB"/>
              </w:rPr>
              <mc:AlternateContent>
                <mc:Choice Requires="wps">
                  <w:drawing>
                    <wp:anchor distT="0" distB="0" distL="114300" distR="114300" simplePos="0" relativeHeight="251661312" behindDoc="0" locked="0" layoutInCell="1" allowOverlap="1" wp14:anchorId="5B2F6750" wp14:editId="449B4F8A">
                      <wp:simplePos x="0" y="0"/>
                      <wp:positionH relativeFrom="column">
                        <wp:posOffset>184748</wp:posOffset>
                      </wp:positionH>
                      <wp:positionV relativeFrom="paragraph">
                        <wp:posOffset>-119380</wp:posOffset>
                      </wp:positionV>
                      <wp:extent cx="226698" cy="542925"/>
                      <wp:effectExtent l="13336" t="24764" r="15239" b="15238"/>
                      <wp:wrapNone/>
                      <wp:docPr id="15" name="Rectangle 27"/>
                      <wp:cNvGraphicFramePr/>
                      <a:graphic xmlns:a="http://schemas.openxmlformats.org/drawingml/2006/main">
                        <a:graphicData uri="http://schemas.microsoft.com/office/word/2010/wordprocessingShape">
                          <wps:wsp>
                            <wps:cNvSpPr/>
                            <wps:spPr>
                              <a:xfrm rot="5400013">
                                <a:off x="0" y="0"/>
                                <a:ext cx="226698" cy="542925"/>
                              </a:xfrm>
                              <a:prstGeom prst="rect">
                                <a:avLst/>
                              </a:prstGeom>
                              <a:solidFill>
                                <a:srgbClr val="70AD47"/>
                              </a:solidFill>
                              <a:ln w="12701" cap="flat">
                                <a:solidFill>
                                  <a:srgbClr val="A9D18E"/>
                                </a:solidFill>
                                <a:prstDash val="solid"/>
                                <a:miter/>
                              </a:ln>
                            </wps:spPr>
                            <wps:bodyPr lIns="0" tIns="0" rIns="0" bIns="0"/>
                          </wps:wsp>
                        </a:graphicData>
                      </a:graphic>
                    </wp:anchor>
                  </w:drawing>
                </mc:Choice>
                <mc:Fallback>
                  <w:pict>
                    <v:rect w14:anchorId="54981D89" id="Rectangle 27" o:spid="_x0000_s1026" style="position:absolute;margin-left:14.55pt;margin-top:-9.4pt;width:17.85pt;height:42.75pt;rotation:5898254fd;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" fillcolor="#70ad47" strokecolor="#a9d18e" strokeweight=".35281mm">
                      <v:textbox inset="0,0,0,0"/>
                    </v:rect>
                  </w:pict>
                </mc:Fallback>
              </mc:AlternateContent>
            </w:r>
            <w:r>
              <w:rPr>
                <w:rStyle w:val="a1"/>
                <w:rFonts w:eastAsia="Calibri"/>
                <w:sz w:val="20"/>
                <w:szCs w:val="20"/>
              </w:rPr>
              <w:t>„</w:t>
            </w:r>
            <w:r>
              <w:rPr>
                <w:rStyle w:val="a1"/>
                <w:rFonts w:eastAsia="Calibri"/>
                <w:b/>
                <w:sz w:val="20"/>
                <w:szCs w:val="20"/>
              </w:rPr>
              <w:t>Селско стопанство</w:t>
            </w:r>
            <w:r>
              <w:rPr>
                <w:rStyle w:val="a1"/>
                <w:rFonts w:eastAsia="Calibri"/>
                <w:sz w:val="20"/>
                <w:szCs w:val="20"/>
              </w:rPr>
              <w:t xml:space="preserve">“ </w:t>
            </w:r>
          </w:p>
          <w:p w14:paraId="7DA0AF39" w14:textId="77777777" w:rsidR="008B1EFF" w:rsidRDefault="0042190C">
            <w:pPr>
              <w:pStyle w:val="a0"/>
              <w:spacing w:before="120" w:after="120" w:line="264" w:lineRule="auto"/>
              <w:jc w:val="both"/>
            </w:pPr>
            <w:r>
              <w:rPr>
                <w:rStyle w:val="a1"/>
                <w:rFonts w:eastAsia="Calibri"/>
                <w:noProof/>
                <w:sz w:val="20"/>
                <w:szCs w:val="20"/>
                <w:lang w:val="en-GB" w:eastAsia="en-GB"/>
              </w:rPr>
              <mc:AlternateContent>
                <mc:Choice Requires="wps">
                  <w:drawing>
                    <wp:anchor distT="0" distB="0" distL="114300" distR="114300" simplePos="0" relativeHeight="251693056" behindDoc="0" locked="0" layoutInCell="1" allowOverlap="1" wp14:anchorId="1547350E" wp14:editId="67CB1E58">
                      <wp:simplePos x="0" y="0"/>
                      <wp:positionH relativeFrom="column">
                        <wp:posOffset>178402</wp:posOffset>
                      </wp:positionH>
                      <wp:positionV relativeFrom="paragraph">
                        <wp:posOffset>332105</wp:posOffset>
                      </wp:positionV>
                      <wp:extent cx="226698" cy="542925"/>
                      <wp:effectExtent l="13336" t="24764" r="15239" b="15238"/>
                      <wp:wrapNone/>
                      <wp:docPr id="16" name="Rectangle 27"/>
                      <wp:cNvGraphicFramePr/>
                      <a:graphic xmlns:a="http://schemas.openxmlformats.org/drawingml/2006/main">
                        <a:graphicData uri="http://schemas.microsoft.com/office/word/2010/wordprocessingShape">
                          <wps:wsp>
                            <wps:cNvSpPr/>
                            <wps:spPr>
                              <a:xfrm rot="5400013">
                                <a:off x="0" y="0"/>
                                <a:ext cx="226698" cy="542925"/>
                              </a:xfrm>
                              <a:prstGeom prst="rect">
                                <a:avLst/>
                              </a:prstGeom>
                              <a:solidFill>
                                <a:srgbClr val="70AD47"/>
                              </a:solidFill>
                              <a:ln w="12701" cap="flat">
                                <a:solidFill>
                                  <a:srgbClr val="A9D18E"/>
                                </a:solidFill>
                                <a:prstDash val="solid"/>
                                <a:miter/>
                              </a:ln>
                            </wps:spPr>
                            <wps:bodyPr lIns="0" tIns="0" rIns="0" bIns="0"/>
                          </wps:wsp>
                        </a:graphicData>
                      </a:graphic>
                    </wp:anchor>
                  </w:drawing>
                </mc:Choice>
                <mc:Fallback>
                  <w:pict>
                    <v:rect w14:anchorId="0F576BE7" id="Rectangle 27" o:spid="_x0000_s1026" style="position:absolute;margin-left:14.05pt;margin-top:26.15pt;width:17.85pt;height:42.75pt;rotation:5898254fd;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" fillcolor="#70ad47" strokecolor="#a9d18e" strokeweight=".35281mm">
                      <v:textbox inset="0,0,0,0"/>
                    </v:rect>
                  </w:pict>
                </mc:Fallback>
              </mc:AlternateContent>
            </w:r>
            <w:r>
              <w:rPr>
                <w:rStyle w:val="a1"/>
                <w:rFonts w:eastAsia="Calibri"/>
                <w:i/>
                <w:sz w:val="20"/>
                <w:szCs w:val="20"/>
              </w:rPr>
              <w:t>Заложените в документа мерки в сектора са преизпълнени</w:t>
            </w:r>
          </w:p>
        </w:tc>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F1944" w14:textId="77777777" w:rsidR="008B1EFF" w:rsidRDefault="0042190C">
            <w:pPr>
              <w:pStyle w:val="a0"/>
              <w:spacing w:before="120" w:after="120" w:line="264" w:lineRule="auto"/>
              <w:ind w:firstLine="310"/>
              <w:jc w:val="both"/>
              <w:rPr>
                <w:rFonts w:eastAsia="Calibri"/>
                <w:sz w:val="20"/>
                <w:szCs w:val="20"/>
              </w:rPr>
            </w:pPr>
            <w:r>
              <w:rPr>
                <w:rFonts w:eastAsia="Calibri"/>
                <w:sz w:val="20"/>
                <w:szCs w:val="20"/>
              </w:rPr>
              <w:t>310 986 t CO2 екв./година</w:t>
            </w:r>
          </w:p>
          <w:p w14:paraId="79290D68" w14:textId="77777777" w:rsidR="008B1EFF" w:rsidRDefault="008B1EFF">
            <w:pPr>
              <w:pStyle w:val="a0"/>
              <w:spacing w:before="120" w:after="120" w:line="264" w:lineRule="auto"/>
              <w:ind w:left="280"/>
              <w:jc w:val="both"/>
              <w:rPr>
                <w:rFonts w:eastAsia="Calibri"/>
                <w:sz w:val="20"/>
                <w:szCs w:val="20"/>
              </w:rPr>
            </w:pPr>
          </w:p>
        </w:tc>
        <w:tc>
          <w:tcPr>
            <w:tcW w:w="33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F44877" w14:textId="77777777" w:rsidR="008B1EFF" w:rsidRDefault="0042190C">
            <w:pPr>
              <w:pStyle w:val="a0"/>
              <w:spacing w:before="120" w:after="120" w:line="264" w:lineRule="auto"/>
              <w:ind w:firstLine="310"/>
              <w:jc w:val="both"/>
              <w:rPr>
                <w:rFonts w:eastAsia="Calibri"/>
                <w:sz w:val="20"/>
                <w:szCs w:val="20"/>
              </w:rPr>
            </w:pPr>
            <w:r>
              <w:rPr>
                <w:rFonts w:eastAsia="Calibri"/>
                <w:sz w:val="20"/>
                <w:szCs w:val="20"/>
              </w:rPr>
              <w:t>3 759 t CO2 екв./година</w:t>
            </w:r>
          </w:p>
        </w:tc>
      </w:tr>
      <w:tr w:rsidR="008B1EFF" w14:paraId="0EBA316C" w14:textId="77777777">
        <w:trPr>
          <w:trHeight w:val="144"/>
        </w:trPr>
        <w:tc>
          <w:tcPr>
            <w:tcW w:w="3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0CA03F" w14:textId="77777777" w:rsidR="008B1EFF" w:rsidRDefault="0042190C">
            <w:pPr>
              <w:pStyle w:val="a0"/>
              <w:spacing w:before="120" w:after="120" w:line="264" w:lineRule="auto"/>
              <w:jc w:val="right"/>
            </w:pPr>
            <w:r>
              <w:rPr>
                <w:rStyle w:val="a1"/>
                <w:rFonts w:eastAsia="Calibri"/>
                <w:sz w:val="20"/>
                <w:szCs w:val="20"/>
              </w:rPr>
              <w:t xml:space="preserve"> „З</w:t>
            </w:r>
            <w:r>
              <w:rPr>
                <w:rStyle w:val="a1"/>
                <w:rFonts w:eastAsia="Calibri"/>
                <w:b/>
                <w:sz w:val="20"/>
                <w:szCs w:val="20"/>
              </w:rPr>
              <w:t>ПЗГС</w:t>
            </w:r>
            <w:r>
              <w:rPr>
                <w:rStyle w:val="a1"/>
                <w:rFonts w:eastAsia="Calibri"/>
                <w:sz w:val="20"/>
                <w:szCs w:val="20"/>
              </w:rPr>
              <w:t>“</w:t>
            </w:r>
          </w:p>
          <w:p w14:paraId="116C64E2" w14:textId="77777777" w:rsidR="008B1EFF" w:rsidRDefault="0042190C">
            <w:pPr>
              <w:pStyle w:val="a0"/>
              <w:spacing w:before="120" w:after="120" w:line="264" w:lineRule="auto"/>
            </w:pPr>
            <w:r>
              <w:rPr>
                <w:rStyle w:val="a1"/>
                <w:rFonts w:eastAsia="Calibri"/>
                <w:noProof/>
                <w:sz w:val="20"/>
                <w:szCs w:val="20"/>
                <w:lang w:val="en-GB" w:eastAsia="en-GB"/>
              </w:rPr>
              <mc:AlternateContent>
                <mc:Choice Requires="wps">
                  <w:drawing>
                    <wp:anchor distT="0" distB="0" distL="114300" distR="114300" simplePos="0" relativeHeight="251664384" behindDoc="0" locked="0" layoutInCell="1" allowOverlap="1" wp14:anchorId="76580203" wp14:editId="29522A72">
                      <wp:simplePos x="0" y="0"/>
                      <wp:positionH relativeFrom="column">
                        <wp:posOffset>233742</wp:posOffset>
                      </wp:positionH>
                      <wp:positionV relativeFrom="paragraph">
                        <wp:posOffset>309674</wp:posOffset>
                      </wp:positionV>
                      <wp:extent cx="226698" cy="542925"/>
                      <wp:effectExtent l="13336" t="24764" r="15239" b="15238"/>
                      <wp:wrapNone/>
                      <wp:docPr id="17" name="Rectangle 27"/>
                      <wp:cNvGraphicFramePr/>
                      <a:graphic xmlns:a="http://schemas.openxmlformats.org/drawingml/2006/main">
                        <a:graphicData uri="http://schemas.microsoft.com/office/word/2010/wordprocessingShape">
                          <wps:wsp>
                            <wps:cNvSpPr/>
                            <wps:spPr>
                              <a:xfrm rot="5400013">
                                <a:off x="0" y="0"/>
                                <a:ext cx="226698" cy="542925"/>
                              </a:xfrm>
                              <a:prstGeom prst="rect">
                                <a:avLst/>
                              </a:prstGeom>
                              <a:solidFill>
                                <a:srgbClr val="70AD47"/>
                              </a:solidFill>
                              <a:ln w="12701" cap="flat">
                                <a:solidFill>
                                  <a:srgbClr val="A9D18E"/>
                                </a:solidFill>
                                <a:prstDash val="solid"/>
                                <a:miter/>
                              </a:ln>
                            </wps:spPr>
                            <wps:bodyPr lIns="0" tIns="0" rIns="0" bIns="0"/>
                          </wps:wsp>
                        </a:graphicData>
                      </a:graphic>
                    </wp:anchor>
                  </w:drawing>
                </mc:Choice>
                <mc:Fallback>
                  <w:pict>
                    <v:rect w14:anchorId="58BFCDB1" id="Rectangle 27" o:spid="_x0000_s1026" style="position:absolute;margin-left:18.4pt;margin-top:24.4pt;width:17.85pt;height:42.75pt;rotation:5898254fd;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" fillcolor="#70ad47" strokecolor="#a9d18e" strokeweight=".35281mm">
                      <v:textbox inset="0,0,0,0"/>
                    </v:rect>
                  </w:pict>
                </mc:Fallback>
              </mc:AlternateContent>
            </w:r>
            <w:r>
              <w:rPr>
                <w:rStyle w:val="a1"/>
                <w:rFonts w:eastAsia="Calibri"/>
                <w:i/>
                <w:sz w:val="20"/>
                <w:szCs w:val="20"/>
              </w:rPr>
              <w:t>Заложените в документа мерки в сектора са преизпълнени</w:t>
            </w:r>
          </w:p>
        </w:tc>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66FD55" w14:textId="77777777" w:rsidR="008B1EFF" w:rsidRDefault="0042190C">
            <w:pPr>
              <w:pStyle w:val="a0"/>
              <w:spacing w:before="120" w:after="120" w:line="264" w:lineRule="auto"/>
              <w:ind w:left="280"/>
              <w:jc w:val="both"/>
              <w:rPr>
                <w:rFonts w:eastAsia="Calibri"/>
                <w:sz w:val="20"/>
                <w:szCs w:val="20"/>
              </w:rPr>
            </w:pPr>
            <w:r>
              <w:rPr>
                <w:rFonts w:eastAsia="Calibri"/>
                <w:sz w:val="20"/>
                <w:szCs w:val="20"/>
              </w:rPr>
              <w:t>54 673 t CO2 екв./година</w:t>
            </w:r>
          </w:p>
        </w:tc>
        <w:tc>
          <w:tcPr>
            <w:tcW w:w="33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16771" w14:textId="77777777" w:rsidR="008B1EFF" w:rsidRDefault="0042190C">
            <w:pPr>
              <w:pStyle w:val="a0"/>
              <w:spacing w:before="120" w:after="120" w:line="264" w:lineRule="auto"/>
              <w:ind w:firstLine="310"/>
              <w:jc w:val="both"/>
              <w:rPr>
                <w:rFonts w:eastAsia="Calibri"/>
                <w:sz w:val="20"/>
                <w:szCs w:val="20"/>
              </w:rPr>
            </w:pPr>
            <w:r>
              <w:rPr>
                <w:rFonts w:eastAsia="Calibri"/>
                <w:sz w:val="20"/>
                <w:szCs w:val="20"/>
              </w:rPr>
              <w:t>10 128 t CO2 екв./година</w:t>
            </w:r>
          </w:p>
        </w:tc>
      </w:tr>
      <w:tr w:rsidR="008B1EFF" w14:paraId="11A2CF2C" w14:textId="77777777">
        <w:trPr>
          <w:trHeight w:val="144"/>
        </w:trPr>
        <w:tc>
          <w:tcPr>
            <w:tcW w:w="3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6A7C5" w14:textId="77777777" w:rsidR="008B1EFF" w:rsidRDefault="0042190C">
            <w:pPr>
              <w:pStyle w:val="a0"/>
              <w:spacing w:before="120" w:after="120" w:line="264" w:lineRule="auto"/>
              <w:jc w:val="right"/>
            </w:pPr>
            <w:r>
              <w:rPr>
                <w:rStyle w:val="a1"/>
                <w:rFonts w:eastAsia="Calibri"/>
                <w:sz w:val="20"/>
                <w:szCs w:val="20"/>
              </w:rPr>
              <w:t>„</w:t>
            </w:r>
            <w:r>
              <w:rPr>
                <w:rStyle w:val="a1"/>
                <w:rFonts w:eastAsia="Calibri"/>
                <w:b/>
                <w:sz w:val="20"/>
                <w:szCs w:val="20"/>
              </w:rPr>
              <w:t>Транспорт</w:t>
            </w:r>
            <w:r>
              <w:rPr>
                <w:rStyle w:val="a1"/>
                <w:rFonts w:eastAsia="Calibri"/>
                <w:sz w:val="20"/>
                <w:szCs w:val="20"/>
              </w:rPr>
              <w:t>“</w:t>
            </w:r>
          </w:p>
          <w:p w14:paraId="525EF87F" w14:textId="77777777" w:rsidR="008B1EFF" w:rsidRDefault="0042190C">
            <w:pPr>
              <w:pStyle w:val="a0"/>
              <w:spacing w:before="120" w:after="120" w:line="264" w:lineRule="auto"/>
            </w:pPr>
            <w:r>
              <w:rPr>
                <w:rStyle w:val="a1"/>
                <w:rFonts w:eastAsia="Calibri"/>
                <w:i/>
                <w:sz w:val="20"/>
                <w:szCs w:val="20"/>
              </w:rPr>
              <w:lastRenderedPageBreak/>
              <w:t>Заложените в документа мерки в сектора се изпълняват</w:t>
            </w:r>
          </w:p>
        </w:tc>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70085D" w14:textId="77777777" w:rsidR="008B1EFF" w:rsidRDefault="0042190C">
            <w:pPr>
              <w:pStyle w:val="a0"/>
              <w:spacing w:before="120" w:after="120" w:line="264" w:lineRule="auto"/>
              <w:ind w:left="280"/>
              <w:jc w:val="both"/>
              <w:rPr>
                <w:rFonts w:eastAsia="Calibri"/>
                <w:sz w:val="20"/>
                <w:szCs w:val="20"/>
              </w:rPr>
            </w:pPr>
            <w:r>
              <w:rPr>
                <w:rFonts w:eastAsia="Calibri"/>
                <w:sz w:val="20"/>
                <w:szCs w:val="20"/>
              </w:rPr>
              <w:lastRenderedPageBreak/>
              <w:t>657 982 t CO2 екв./година.</w:t>
            </w:r>
          </w:p>
        </w:tc>
        <w:tc>
          <w:tcPr>
            <w:tcW w:w="33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DA4AA" w14:textId="77777777" w:rsidR="008B1EFF" w:rsidRDefault="0042190C">
            <w:pPr>
              <w:pStyle w:val="a0"/>
              <w:spacing w:before="120" w:after="120" w:line="264" w:lineRule="auto"/>
              <w:ind w:firstLine="310"/>
              <w:jc w:val="both"/>
              <w:rPr>
                <w:rFonts w:eastAsia="Calibri"/>
                <w:sz w:val="20"/>
                <w:szCs w:val="20"/>
              </w:rPr>
            </w:pPr>
            <w:r>
              <w:rPr>
                <w:rFonts w:eastAsia="Calibri"/>
                <w:sz w:val="20"/>
                <w:szCs w:val="20"/>
              </w:rPr>
              <w:t>730 459 t CO2 екв./година</w:t>
            </w:r>
          </w:p>
        </w:tc>
      </w:tr>
    </w:tbl>
    <w:p w14:paraId="2DF2946A" w14:textId="77777777" w:rsidR="008B1EFF" w:rsidRDefault="0042190C">
      <w:pPr>
        <w:pStyle w:val="a0"/>
        <w:rPr>
          <w:rFonts w:eastAsia="Calibri"/>
          <w:i/>
        </w:rPr>
      </w:pPr>
      <w:r>
        <w:rPr>
          <w:rFonts w:eastAsia="Calibri"/>
          <w:i/>
        </w:rPr>
        <w:t>Източник: Първи отчет на трети национален план за действие по изменение на климата</w:t>
      </w:r>
    </w:p>
    <w:p w14:paraId="4E3480A5" w14:textId="3B8302CF" w:rsidR="008B1EFF" w:rsidRPr="002E54A0" w:rsidRDefault="0042190C">
      <w:pPr>
        <w:pStyle w:val="a0"/>
        <w:spacing w:before="120" w:line="276" w:lineRule="auto"/>
        <w:jc w:val="both"/>
        <w:rPr>
          <w:sz w:val="22"/>
          <w:szCs w:val="22"/>
        </w:rPr>
      </w:pPr>
      <w:r w:rsidRPr="002E54A0">
        <w:rPr>
          <w:sz w:val="22"/>
          <w:szCs w:val="22"/>
        </w:rPr>
        <w:t xml:space="preserve">България е на път да постигне своята цел за 2020 г. по отношение на емисиите в секторите извън </w:t>
      </w:r>
      <w:r w:rsidR="00BC0778">
        <w:rPr>
          <w:sz w:val="22"/>
          <w:szCs w:val="22"/>
        </w:rPr>
        <w:t>системата</w:t>
      </w:r>
      <w:r w:rsidRPr="002E54A0">
        <w:rPr>
          <w:sz w:val="22"/>
          <w:szCs w:val="22"/>
        </w:rPr>
        <w:t xml:space="preserve"> на ЕС за търговия с емисии</w:t>
      </w:r>
      <w:r w:rsidRPr="002E54A0">
        <w:rPr>
          <w:rStyle w:val="a1"/>
          <w:b/>
          <w:sz w:val="22"/>
          <w:szCs w:val="22"/>
        </w:rPr>
        <w:t>.</w:t>
      </w:r>
      <w:r w:rsidRPr="002E54A0">
        <w:rPr>
          <w:sz w:val="22"/>
          <w:szCs w:val="22"/>
        </w:rPr>
        <w:t xml:space="preserve"> Въпреки това, 2017 г. е първата година, през която докладваните емисии надвишават целта на България за разпределяне на усилията. През 2018 г. и (по предварителни данни) 2019г. Негативната тенденция продължава, като неизпълнението е съответно с 1,1 и 3,6 процентни пункта</w:t>
      </w:r>
      <w:r w:rsidRPr="002E54A0">
        <w:rPr>
          <w:rStyle w:val="ab"/>
          <w:sz w:val="22"/>
          <w:szCs w:val="22"/>
        </w:rPr>
        <w:footnoteReference w:id="26"/>
      </w:r>
      <w:r w:rsidRPr="002E54A0">
        <w:rPr>
          <w:sz w:val="22"/>
          <w:szCs w:val="22"/>
        </w:rPr>
        <w:t xml:space="preserve">. </w:t>
      </w:r>
    </w:p>
    <w:p w14:paraId="4F38277C" w14:textId="77777777" w:rsidR="008B1EFF" w:rsidRPr="002E54A0" w:rsidRDefault="0042190C">
      <w:pPr>
        <w:pStyle w:val="a0"/>
        <w:spacing w:before="120" w:line="276" w:lineRule="auto"/>
        <w:jc w:val="both"/>
        <w:rPr>
          <w:sz w:val="22"/>
          <w:szCs w:val="22"/>
        </w:rPr>
      </w:pPr>
      <w:r w:rsidRPr="002E54A0">
        <w:rPr>
          <w:rStyle w:val="a1"/>
          <w:b/>
          <w:bCs/>
          <w:sz w:val="22"/>
          <w:szCs w:val="22"/>
        </w:rPr>
        <w:t>Стратегически документи и политики по отношение на енергийната интензивност/ ефективност и възобновяемите енергийни източници </w:t>
      </w:r>
    </w:p>
    <w:p w14:paraId="384FAF51" w14:textId="77777777" w:rsidR="008B1EFF" w:rsidRPr="002E54A0" w:rsidRDefault="0042190C">
      <w:pPr>
        <w:pStyle w:val="a0"/>
        <w:numPr>
          <w:ilvl w:val="0"/>
          <w:numId w:val="14"/>
        </w:numPr>
        <w:spacing w:before="120" w:after="120" w:line="264" w:lineRule="auto"/>
        <w:jc w:val="both"/>
        <w:rPr>
          <w:sz w:val="22"/>
          <w:szCs w:val="22"/>
        </w:rPr>
      </w:pPr>
      <w:r w:rsidRPr="002E54A0">
        <w:rPr>
          <w:rStyle w:val="a1"/>
          <w:b/>
          <w:bCs/>
          <w:sz w:val="22"/>
          <w:szCs w:val="22"/>
        </w:rPr>
        <w:t xml:space="preserve">Енергийна стратегия на Република България до 2020 г., </w:t>
      </w:r>
      <w:r w:rsidRPr="002E54A0">
        <w:rPr>
          <w:rStyle w:val="a1"/>
          <w:bCs/>
          <w:sz w:val="22"/>
          <w:szCs w:val="22"/>
        </w:rPr>
        <w:t>приета с решение на НС от 1.06.2011 г. (ДВ, бр. 43 от 7.06.2011 г., доп., бр. 101 от 7.12.2018 г.)</w:t>
      </w:r>
    </w:p>
    <w:p w14:paraId="64058626" w14:textId="77777777" w:rsidR="008B1EFF" w:rsidRPr="002E54A0" w:rsidRDefault="0042190C">
      <w:pPr>
        <w:pStyle w:val="a0"/>
        <w:spacing w:before="120" w:after="120" w:line="264" w:lineRule="auto"/>
        <w:jc w:val="both"/>
        <w:rPr>
          <w:sz w:val="22"/>
          <w:szCs w:val="22"/>
        </w:rPr>
      </w:pPr>
      <w:r w:rsidRPr="002E54A0">
        <w:rPr>
          <w:sz w:val="22"/>
          <w:szCs w:val="22"/>
        </w:rPr>
        <w:t>Енергийната стратегия на Република България е основният стратегически документ на национално ниво. Отправна точка за разработването на стратегията е европейската енергийна политика, в която устойчивото енергийно развитие е изведено като цел и постигането му е обвързано с дългосрочни количествени цели до 2020 г.:</w:t>
      </w:r>
    </w:p>
    <w:p w14:paraId="42F843D6" w14:textId="77777777" w:rsidR="008B1EFF" w:rsidRPr="002E54A0" w:rsidRDefault="0042190C">
      <w:pPr>
        <w:pStyle w:val="a0"/>
        <w:numPr>
          <w:ilvl w:val="0"/>
          <w:numId w:val="15"/>
        </w:numPr>
        <w:spacing w:before="120" w:after="120" w:line="264" w:lineRule="auto"/>
        <w:jc w:val="both"/>
        <w:rPr>
          <w:sz w:val="22"/>
          <w:szCs w:val="22"/>
        </w:rPr>
      </w:pPr>
      <w:r w:rsidRPr="002E54A0">
        <w:rPr>
          <w:sz w:val="22"/>
          <w:szCs w:val="22"/>
        </w:rPr>
        <w:t>20-процентно намаляване на емисиите на парникови газове спрямо 1990 г.;</w:t>
      </w:r>
    </w:p>
    <w:p w14:paraId="494F2F06" w14:textId="77777777" w:rsidR="008B1EFF" w:rsidRPr="002E54A0" w:rsidRDefault="0042190C">
      <w:pPr>
        <w:pStyle w:val="a0"/>
        <w:numPr>
          <w:ilvl w:val="0"/>
          <w:numId w:val="15"/>
        </w:numPr>
        <w:spacing w:before="120" w:after="120" w:line="264" w:lineRule="auto"/>
        <w:jc w:val="both"/>
        <w:rPr>
          <w:sz w:val="22"/>
          <w:szCs w:val="22"/>
        </w:rPr>
      </w:pPr>
      <w:r w:rsidRPr="002E54A0">
        <w:rPr>
          <w:sz w:val="22"/>
          <w:szCs w:val="22"/>
        </w:rPr>
        <w:t>20-процентов дял на ВЕИ, вкл. 10% дял на биогоривата в транспорта;</w:t>
      </w:r>
    </w:p>
    <w:p w14:paraId="7DCBE18D" w14:textId="77777777" w:rsidR="008B1EFF" w:rsidRPr="002E54A0" w:rsidRDefault="0042190C">
      <w:pPr>
        <w:pStyle w:val="a0"/>
        <w:numPr>
          <w:ilvl w:val="0"/>
          <w:numId w:val="15"/>
        </w:numPr>
        <w:spacing w:before="120" w:after="120" w:line="264" w:lineRule="auto"/>
        <w:jc w:val="both"/>
        <w:rPr>
          <w:sz w:val="22"/>
          <w:szCs w:val="22"/>
        </w:rPr>
      </w:pPr>
      <w:r w:rsidRPr="002E54A0">
        <w:rPr>
          <w:sz w:val="22"/>
          <w:szCs w:val="22"/>
        </w:rPr>
        <w:t>Подобряване на енергийната ефективност с 25%.</w:t>
      </w:r>
    </w:p>
    <w:p w14:paraId="1198DF67" w14:textId="77777777" w:rsidR="008B1EFF" w:rsidRPr="002E54A0" w:rsidRDefault="0042190C">
      <w:pPr>
        <w:pStyle w:val="a0"/>
        <w:spacing w:before="120" w:after="120" w:line="264" w:lineRule="auto"/>
        <w:jc w:val="both"/>
        <w:rPr>
          <w:sz w:val="22"/>
          <w:szCs w:val="22"/>
        </w:rPr>
      </w:pPr>
      <w:r w:rsidRPr="002E54A0">
        <w:rPr>
          <w:sz w:val="22"/>
          <w:szCs w:val="22"/>
        </w:rPr>
        <w:t xml:space="preserve">В областта на </w:t>
      </w:r>
      <w:r w:rsidRPr="002E54A0">
        <w:rPr>
          <w:rStyle w:val="a1"/>
          <w:b/>
          <w:sz w:val="22"/>
          <w:szCs w:val="22"/>
        </w:rPr>
        <w:t>енергийната ефективност в стратегията е посочена цел от 50% намаляване на първичната енергийна интензивност към 2020 г. в сравнение с нивото през 2005</w:t>
      </w:r>
      <w:r w:rsidRPr="002E54A0">
        <w:rPr>
          <w:sz w:val="22"/>
          <w:szCs w:val="22"/>
        </w:rPr>
        <w:t xml:space="preserve"> г. До 2009 г. енергийната интензивност </w:t>
      </w:r>
      <w:r w:rsidRPr="002E54A0">
        <w:rPr>
          <w:rStyle w:val="a1"/>
          <w:i/>
          <w:sz w:val="22"/>
          <w:szCs w:val="22"/>
        </w:rPr>
        <w:t>намаляваше със сравнително високи темпове. През следващите три години се наблюдаваше стабилизация и дори известен ръст на енергийната интензивност през 2012 г. в сравнение с 2009 г.</w:t>
      </w:r>
      <w:r w:rsidRPr="002E54A0">
        <w:rPr>
          <w:rStyle w:val="a1"/>
          <w:i/>
          <w:iCs/>
          <w:sz w:val="22"/>
          <w:szCs w:val="22"/>
        </w:rPr>
        <w:t> </w:t>
      </w:r>
    </w:p>
    <w:p w14:paraId="30BF2B97" w14:textId="77777777" w:rsidR="008B1EFF" w:rsidRPr="002E54A0" w:rsidRDefault="0042190C">
      <w:pPr>
        <w:pStyle w:val="a0"/>
        <w:numPr>
          <w:ilvl w:val="0"/>
          <w:numId w:val="16"/>
        </w:numPr>
        <w:spacing w:before="120" w:after="120" w:line="264" w:lineRule="auto"/>
        <w:jc w:val="both"/>
        <w:rPr>
          <w:sz w:val="22"/>
          <w:szCs w:val="22"/>
        </w:rPr>
      </w:pPr>
      <w:r w:rsidRPr="002E54A0">
        <w:rPr>
          <w:rStyle w:val="a1"/>
          <w:b/>
          <w:bCs/>
          <w:sz w:val="22"/>
          <w:szCs w:val="22"/>
        </w:rPr>
        <w:t xml:space="preserve">Национален план за действие по енергийна ефективност 2014-2020 г., </w:t>
      </w:r>
      <w:r w:rsidRPr="002E54A0">
        <w:rPr>
          <w:rStyle w:val="a1"/>
          <w:bCs/>
          <w:sz w:val="22"/>
          <w:szCs w:val="22"/>
        </w:rPr>
        <w:t>приет с Решение № 796 на Министерски съвет от 20.12.2018г. </w:t>
      </w:r>
    </w:p>
    <w:p w14:paraId="30F80A09" w14:textId="7004C9EE" w:rsidR="008B1EFF" w:rsidRPr="002E54A0" w:rsidRDefault="0042190C">
      <w:pPr>
        <w:pStyle w:val="a0"/>
        <w:spacing w:before="120" w:after="120" w:line="264" w:lineRule="auto"/>
        <w:jc w:val="both"/>
        <w:rPr>
          <w:sz w:val="22"/>
          <w:szCs w:val="22"/>
        </w:rPr>
      </w:pPr>
      <w:r w:rsidRPr="002E54A0">
        <w:rPr>
          <w:sz w:val="22"/>
          <w:szCs w:val="22"/>
        </w:rPr>
        <w:t>В изпълнение на изискванията на Директива 2012/27/ЕС относно енергийната ефективност през 2014 г. Република България разработи и представи в ЕК Национален план за действие по енергийна ефективност (НПДЕЕ) 2014–2020 г. Във връзка с разпоредбите на чл. 7, ал. 1, т. 2 и параграф 17, ал. 1 от Преходните и заключителни разпоредби на Закона за енергийната ефективност и в съответствие с изискванията на чл. 24, ал. 2 от Директива 2012/27/ЕС през 2018 г. е разработена актуализация на НПДЕЕ 2014–2020 г.</w:t>
      </w:r>
    </w:p>
    <w:p w14:paraId="36A5CE5E" w14:textId="77777777" w:rsidR="008B1EFF" w:rsidRPr="002E54A0" w:rsidRDefault="0042190C">
      <w:pPr>
        <w:pStyle w:val="a0"/>
        <w:spacing w:before="120" w:after="120" w:line="264" w:lineRule="auto"/>
        <w:jc w:val="both"/>
        <w:rPr>
          <w:sz w:val="22"/>
          <w:szCs w:val="22"/>
        </w:rPr>
      </w:pPr>
      <w:r w:rsidRPr="002E54A0">
        <w:rPr>
          <w:sz w:val="22"/>
          <w:szCs w:val="22"/>
        </w:rPr>
        <w:t>С НПДЕЕ 2014-2020 г. Република България е определила следните индикативни национални цели за енергийни спестявания за 2020 г.:</w:t>
      </w:r>
    </w:p>
    <w:p w14:paraId="11EAB07C" w14:textId="77777777" w:rsidR="008B1EFF" w:rsidRPr="002E54A0" w:rsidRDefault="0042190C">
      <w:pPr>
        <w:pStyle w:val="a0"/>
        <w:numPr>
          <w:ilvl w:val="0"/>
          <w:numId w:val="17"/>
        </w:numPr>
        <w:spacing w:before="120" w:after="120" w:line="264" w:lineRule="auto"/>
        <w:jc w:val="both"/>
        <w:rPr>
          <w:sz w:val="22"/>
          <w:szCs w:val="22"/>
        </w:rPr>
      </w:pPr>
      <w:r w:rsidRPr="002E54A0">
        <w:rPr>
          <w:sz w:val="22"/>
          <w:szCs w:val="22"/>
        </w:rPr>
        <w:lastRenderedPageBreak/>
        <w:t xml:space="preserve">в крайното енергийно потребление: 716 </w:t>
      </w:r>
      <w:proofErr w:type="spellStart"/>
      <w:r w:rsidRPr="002E54A0">
        <w:rPr>
          <w:sz w:val="22"/>
          <w:szCs w:val="22"/>
        </w:rPr>
        <w:t>ktoe</w:t>
      </w:r>
      <w:proofErr w:type="spellEnd"/>
      <w:r w:rsidRPr="002E54A0">
        <w:rPr>
          <w:sz w:val="22"/>
          <w:szCs w:val="22"/>
        </w:rPr>
        <w:t xml:space="preserve">/г. (8 325,65 </w:t>
      </w:r>
      <w:proofErr w:type="spellStart"/>
      <w:r w:rsidRPr="002E54A0">
        <w:rPr>
          <w:sz w:val="22"/>
          <w:szCs w:val="22"/>
        </w:rPr>
        <w:t>GWh</w:t>
      </w:r>
      <w:proofErr w:type="spellEnd"/>
      <w:r w:rsidRPr="002E54A0">
        <w:rPr>
          <w:sz w:val="22"/>
          <w:szCs w:val="22"/>
        </w:rPr>
        <w:t>)</w:t>
      </w:r>
    </w:p>
    <w:p w14:paraId="738151B2" w14:textId="77777777" w:rsidR="008B1EFF" w:rsidRPr="002E54A0" w:rsidRDefault="0042190C">
      <w:pPr>
        <w:pStyle w:val="a0"/>
        <w:numPr>
          <w:ilvl w:val="0"/>
          <w:numId w:val="17"/>
        </w:numPr>
        <w:spacing w:before="120" w:after="120" w:line="264" w:lineRule="auto"/>
        <w:jc w:val="both"/>
        <w:rPr>
          <w:sz w:val="22"/>
          <w:szCs w:val="22"/>
        </w:rPr>
      </w:pPr>
      <w:r w:rsidRPr="002E54A0">
        <w:rPr>
          <w:sz w:val="22"/>
          <w:szCs w:val="22"/>
        </w:rPr>
        <w:t xml:space="preserve">в първичното енергийно потребление: 1 590 </w:t>
      </w:r>
      <w:proofErr w:type="spellStart"/>
      <w:r w:rsidRPr="002E54A0">
        <w:rPr>
          <w:sz w:val="22"/>
          <w:szCs w:val="22"/>
        </w:rPr>
        <w:t>ktoe</w:t>
      </w:r>
      <w:proofErr w:type="spellEnd"/>
      <w:r w:rsidRPr="002E54A0">
        <w:rPr>
          <w:sz w:val="22"/>
          <w:szCs w:val="22"/>
        </w:rPr>
        <w:t xml:space="preserve">/г. (18 488,52 </w:t>
      </w:r>
      <w:proofErr w:type="spellStart"/>
      <w:r w:rsidRPr="002E54A0">
        <w:rPr>
          <w:sz w:val="22"/>
          <w:szCs w:val="22"/>
        </w:rPr>
        <w:t>GWh</w:t>
      </w:r>
      <w:proofErr w:type="spellEnd"/>
      <w:r w:rsidRPr="002E54A0">
        <w:rPr>
          <w:sz w:val="22"/>
          <w:szCs w:val="22"/>
        </w:rPr>
        <w:t xml:space="preserve">), от които 169 </w:t>
      </w:r>
      <w:proofErr w:type="spellStart"/>
      <w:r w:rsidRPr="002E54A0">
        <w:rPr>
          <w:sz w:val="22"/>
          <w:szCs w:val="22"/>
        </w:rPr>
        <w:t>ktoe</w:t>
      </w:r>
      <w:proofErr w:type="spellEnd"/>
      <w:r w:rsidRPr="002E54A0">
        <w:rPr>
          <w:sz w:val="22"/>
          <w:szCs w:val="22"/>
        </w:rPr>
        <w:t xml:space="preserve">/г. (1965,13 </w:t>
      </w:r>
      <w:proofErr w:type="spellStart"/>
      <w:r w:rsidRPr="002E54A0">
        <w:rPr>
          <w:sz w:val="22"/>
          <w:szCs w:val="22"/>
        </w:rPr>
        <w:t>GWh</w:t>
      </w:r>
      <w:proofErr w:type="spellEnd"/>
      <w:r w:rsidRPr="002E54A0">
        <w:rPr>
          <w:sz w:val="22"/>
          <w:szCs w:val="22"/>
        </w:rPr>
        <w:t>) в процесите на преобразуване, пренос и разпределение в енергийния сектор. </w:t>
      </w:r>
    </w:p>
    <w:p w14:paraId="432812E6" w14:textId="28F495F9" w:rsidR="008B1EFF" w:rsidRPr="002E54A0" w:rsidRDefault="0042190C">
      <w:pPr>
        <w:pStyle w:val="a0"/>
        <w:spacing w:before="120" w:after="120" w:line="264" w:lineRule="auto"/>
        <w:jc w:val="both"/>
        <w:rPr>
          <w:sz w:val="22"/>
          <w:szCs w:val="22"/>
        </w:rPr>
      </w:pPr>
      <w:r w:rsidRPr="002E54A0">
        <w:rPr>
          <w:sz w:val="22"/>
          <w:szCs w:val="22"/>
        </w:rPr>
        <w:t xml:space="preserve">Отчетните данни сочат постигнати енергийни спестявания в размер на  6 167,1 </w:t>
      </w:r>
      <w:proofErr w:type="spellStart"/>
      <w:r w:rsidRPr="002E54A0">
        <w:rPr>
          <w:sz w:val="22"/>
          <w:szCs w:val="22"/>
        </w:rPr>
        <w:t>GWh</w:t>
      </w:r>
      <w:proofErr w:type="spellEnd"/>
      <w:r w:rsidRPr="002E54A0">
        <w:rPr>
          <w:sz w:val="22"/>
          <w:szCs w:val="22"/>
        </w:rPr>
        <w:t xml:space="preserve"> за периода 2014-2020 г. Това е показател, че страната ни има реална възможност да изпълни поставената крайна цел за енергийни спестявания от 8 325 </w:t>
      </w:r>
      <w:proofErr w:type="spellStart"/>
      <w:r w:rsidRPr="002E54A0">
        <w:rPr>
          <w:sz w:val="22"/>
          <w:szCs w:val="22"/>
        </w:rPr>
        <w:t>GWh</w:t>
      </w:r>
      <w:proofErr w:type="spellEnd"/>
      <w:r w:rsidRPr="002E54A0">
        <w:rPr>
          <w:sz w:val="22"/>
          <w:szCs w:val="22"/>
        </w:rPr>
        <w:t xml:space="preserve"> до 2020 г. Въпреки отчетения напредък, има риск за постигането на индикативната национална цел за енергийна ефективност за 2020 г. Предварителните данни показват, че крайното енергопотребление на България леко се е увеличило през 2018 г., оставайки с 11 процентни пункта над линейната крива (ЕАОС, 2019</w:t>
      </w:r>
      <w:r w:rsidR="004A7521">
        <w:rPr>
          <w:sz w:val="22"/>
          <w:szCs w:val="22"/>
        </w:rPr>
        <w:t xml:space="preserve"> </w:t>
      </w:r>
      <w:r w:rsidRPr="002E54A0">
        <w:rPr>
          <w:sz w:val="22"/>
          <w:szCs w:val="22"/>
        </w:rPr>
        <w:t>г</w:t>
      </w:r>
      <w:r w:rsidR="004A7521">
        <w:rPr>
          <w:sz w:val="22"/>
          <w:szCs w:val="22"/>
        </w:rPr>
        <w:t>.</w:t>
      </w:r>
      <w:r w:rsidRPr="002E54A0">
        <w:rPr>
          <w:sz w:val="22"/>
          <w:szCs w:val="22"/>
        </w:rPr>
        <w:t>). Освен това през 2018 г. първичното енергопотребление в България също остана над линейната крива, което излага на риск изпълнението на задължението на страната до 2020 г.</w:t>
      </w:r>
      <w:r w:rsidRPr="002E54A0">
        <w:rPr>
          <w:rStyle w:val="ab"/>
          <w:sz w:val="22"/>
          <w:szCs w:val="22"/>
        </w:rPr>
        <w:footnoteReference w:id="27"/>
      </w:r>
    </w:p>
    <w:p w14:paraId="7369D77F" w14:textId="77777777" w:rsidR="008B1EFF" w:rsidRPr="002E54A0" w:rsidRDefault="0042190C">
      <w:pPr>
        <w:pStyle w:val="a0"/>
        <w:spacing w:before="120" w:after="120" w:line="264" w:lineRule="auto"/>
        <w:jc w:val="both"/>
        <w:rPr>
          <w:sz w:val="22"/>
          <w:szCs w:val="22"/>
        </w:rPr>
      </w:pPr>
      <w:r w:rsidRPr="002E54A0">
        <w:rPr>
          <w:sz w:val="22"/>
          <w:szCs w:val="22"/>
        </w:rPr>
        <w:t>Постигнатите спестявания на енергия намаляват търсенето на конвенционални горива от внос и по този начин оказват благоприятен ефект върху намаляването на дефицита на търговския баланс. Енергийните спестявания допринасят пряко за повишаване на конкурентоспособността на икономиката и са начин за стимулиране на икономическия растеж и създаване на нови работни места в условията на растящи цени на горивата и енергията. </w:t>
      </w:r>
    </w:p>
    <w:p w14:paraId="3E7D0A17" w14:textId="4A2A2802" w:rsidR="008B1EFF" w:rsidRPr="002E54A0" w:rsidRDefault="0042190C">
      <w:pPr>
        <w:pStyle w:val="a0"/>
        <w:numPr>
          <w:ilvl w:val="0"/>
          <w:numId w:val="18"/>
        </w:numPr>
        <w:spacing w:before="120" w:after="120" w:line="264" w:lineRule="auto"/>
        <w:jc w:val="both"/>
        <w:rPr>
          <w:sz w:val="22"/>
          <w:szCs w:val="22"/>
        </w:rPr>
      </w:pPr>
      <w:r w:rsidRPr="002E54A0">
        <w:rPr>
          <w:rStyle w:val="a1"/>
          <w:b/>
          <w:bCs/>
          <w:sz w:val="22"/>
          <w:szCs w:val="22"/>
        </w:rPr>
        <w:t xml:space="preserve">Национален план за действие за енергията от възобновяеми източници, </w:t>
      </w:r>
      <w:r w:rsidRPr="002E54A0">
        <w:rPr>
          <w:rStyle w:val="a1"/>
          <w:bCs/>
          <w:sz w:val="22"/>
          <w:szCs w:val="22"/>
        </w:rPr>
        <w:t>приет с Протокол № 1.38 на Министерския съвет от 09.01.2013 г</w:t>
      </w:r>
      <w:r w:rsidR="004A7521">
        <w:rPr>
          <w:rStyle w:val="a1"/>
          <w:bCs/>
          <w:sz w:val="22"/>
          <w:szCs w:val="22"/>
        </w:rPr>
        <w:t>.</w:t>
      </w:r>
    </w:p>
    <w:p w14:paraId="5DF8DE02" w14:textId="77777777" w:rsidR="008B1EFF" w:rsidRPr="002E54A0" w:rsidRDefault="0042190C">
      <w:pPr>
        <w:pStyle w:val="a0"/>
        <w:spacing w:before="120" w:after="120" w:line="264" w:lineRule="auto"/>
        <w:jc w:val="both"/>
        <w:rPr>
          <w:sz w:val="22"/>
          <w:szCs w:val="22"/>
        </w:rPr>
      </w:pPr>
      <w:r w:rsidRPr="002E54A0">
        <w:rPr>
          <w:sz w:val="22"/>
          <w:szCs w:val="22"/>
        </w:rPr>
        <w:t>На основание чл. 4 от Директива 2009/28/ЕО и в съответствие с чл. 4, ал. 2, т. 1 и чл. 12 от ЗЕВИ е изготвен Национален план за действие за енергията от възобновяеми източници, където е установена задължителната национална цел от 16 % дял на енергията от ВИ източници в брутното крайно потребление на енергия до 2020 г., която обхваща секторни цели: дял на електрическа енергия от ВИ в брутното крайно потребление на електрическа енергия в страната – 20,8 %, дял на енергия за отопление и охлаждане от ВИ в брутното крайно потребление на енергията за отопление и охлаждане в страната – 23,8 %, дял на енергия от ВИ в транспорта – 10,8 % и са определени мерките за постигането им.</w:t>
      </w:r>
    </w:p>
    <w:p w14:paraId="2F69E1C6" w14:textId="77777777" w:rsidR="008B1EFF" w:rsidRPr="002E54A0" w:rsidRDefault="0042190C">
      <w:pPr>
        <w:pStyle w:val="a0"/>
        <w:spacing w:before="120" w:after="120" w:line="264" w:lineRule="auto"/>
        <w:jc w:val="both"/>
        <w:rPr>
          <w:sz w:val="22"/>
          <w:szCs w:val="22"/>
        </w:rPr>
      </w:pPr>
      <w:r w:rsidRPr="002E54A0">
        <w:rPr>
          <w:sz w:val="22"/>
          <w:szCs w:val="22"/>
        </w:rPr>
        <w:t xml:space="preserve">Петият доклад за напредъка на Република България в насърчаването и използването на енергията от ВИ за периода 2017- 2018 г. е представен в ЕК в началото на 2020 г., като е отчетен постигнат дял на енергията от ВИ в брутното крайно потребление на енергия на страната в размер на 20,59 %. </w:t>
      </w:r>
    </w:p>
    <w:p w14:paraId="0C0723C0" w14:textId="77777777" w:rsidR="008B1EFF" w:rsidRPr="002E54A0" w:rsidRDefault="0042190C">
      <w:pPr>
        <w:pStyle w:val="a0"/>
        <w:spacing w:before="120" w:after="120" w:line="264" w:lineRule="auto"/>
        <w:jc w:val="both"/>
        <w:rPr>
          <w:sz w:val="22"/>
          <w:szCs w:val="22"/>
        </w:rPr>
      </w:pPr>
      <w:r w:rsidRPr="002E54A0">
        <w:rPr>
          <w:sz w:val="22"/>
          <w:szCs w:val="22"/>
        </w:rPr>
        <w:t>Предварителните инвентаризации показват положителен резултат — през 2018 г. България вече е превишила целта си за 2020 г. за дела на енергията от възобновяеми източници. Делът на енергията от възобновяеми източници в транспорта обаче все още е под целта за 2020 г. от 10 %.</w:t>
      </w:r>
    </w:p>
    <w:p w14:paraId="08F346C8" w14:textId="77777777" w:rsidR="008B1EFF" w:rsidRPr="002E54A0" w:rsidRDefault="0042190C">
      <w:pPr>
        <w:pStyle w:val="a0"/>
        <w:spacing w:before="120" w:after="120" w:line="264" w:lineRule="auto"/>
        <w:jc w:val="both"/>
        <w:rPr>
          <w:b/>
          <w:sz w:val="22"/>
          <w:szCs w:val="22"/>
        </w:rPr>
      </w:pPr>
      <w:r w:rsidRPr="002E54A0">
        <w:rPr>
          <w:b/>
          <w:sz w:val="22"/>
          <w:szCs w:val="22"/>
        </w:rPr>
        <w:t>България участва успешно в Европейската схема за търговия с емисии на парникови газове.</w:t>
      </w:r>
    </w:p>
    <w:p w14:paraId="77EF2BD0" w14:textId="77777777" w:rsidR="008B1EFF" w:rsidRPr="002E54A0" w:rsidRDefault="0042190C">
      <w:pPr>
        <w:pStyle w:val="a0"/>
        <w:spacing w:before="120" w:after="120" w:line="264" w:lineRule="auto"/>
        <w:jc w:val="both"/>
        <w:rPr>
          <w:sz w:val="22"/>
          <w:szCs w:val="22"/>
        </w:rPr>
      </w:pPr>
      <w:r w:rsidRPr="002E54A0">
        <w:rPr>
          <w:sz w:val="22"/>
          <w:szCs w:val="22"/>
        </w:rPr>
        <w:t xml:space="preserve">През 2020 г. на общата тръжна платформа, осигурена от Европейската енергийна борса, са проведени 139 търга на квоти за емисии на парникови газове от инсталации и 6 търга на квоти от авиационни дейности от Третия период на Европейската схема за търговия с емисии (ЕСТЕ). </w:t>
      </w:r>
    </w:p>
    <w:p w14:paraId="2D70BD81" w14:textId="77777777" w:rsidR="008B1EFF" w:rsidRPr="002E54A0" w:rsidRDefault="0042190C">
      <w:pPr>
        <w:pStyle w:val="a0"/>
        <w:spacing w:before="120" w:after="120" w:line="264" w:lineRule="auto"/>
        <w:jc w:val="both"/>
        <w:rPr>
          <w:sz w:val="22"/>
          <w:szCs w:val="22"/>
        </w:rPr>
      </w:pPr>
      <w:r w:rsidRPr="002E54A0">
        <w:rPr>
          <w:sz w:val="22"/>
          <w:szCs w:val="22"/>
        </w:rPr>
        <w:lastRenderedPageBreak/>
        <w:t>В рамките на тези търгове предложеното от България количество квоти за продажба, е както следва:</w:t>
      </w:r>
    </w:p>
    <w:p w14:paraId="5922C9EA" w14:textId="77777777" w:rsidR="008B1EFF" w:rsidRPr="002E54A0" w:rsidRDefault="0042190C">
      <w:pPr>
        <w:pStyle w:val="a0"/>
        <w:numPr>
          <w:ilvl w:val="0"/>
          <w:numId w:val="19"/>
        </w:numPr>
        <w:spacing w:before="120" w:after="120" w:line="264" w:lineRule="auto"/>
        <w:jc w:val="both"/>
        <w:rPr>
          <w:sz w:val="22"/>
          <w:szCs w:val="22"/>
        </w:rPr>
      </w:pPr>
      <w:r w:rsidRPr="002E54A0">
        <w:rPr>
          <w:sz w:val="22"/>
          <w:szCs w:val="22"/>
        </w:rPr>
        <w:t>18 431 500 квоти за емисии на парникови газове от инсталации, при средна тръжна цена на годишна база 24,37 евро/квота;</w:t>
      </w:r>
    </w:p>
    <w:p w14:paraId="26A8FDDC" w14:textId="77777777" w:rsidR="008B1EFF" w:rsidRPr="002E54A0" w:rsidRDefault="0042190C">
      <w:pPr>
        <w:pStyle w:val="a0"/>
        <w:numPr>
          <w:ilvl w:val="0"/>
          <w:numId w:val="19"/>
        </w:numPr>
        <w:spacing w:before="120" w:after="120" w:line="264" w:lineRule="auto"/>
        <w:jc w:val="both"/>
        <w:rPr>
          <w:sz w:val="22"/>
          <w:szCs w:val="22"/>
        </w:rPr>
      </w:pPr>
      <w:r w:rsidRPr="002E54A0">
        <w:rPr>
          <w:sz w:val="22"/>
          <w:szCs w:val="22"/>
        </w:rPr>
        <w:t>42500 авиационни квоти, при средна тръжна цена на годишна база 23,73 евро/квота.</w:t>
      </w:r>
    </w:p>
    <w:p w14:paraId="3C1FB152" w14:textId="0DD4D41C" w:rsidR="008B1EFF" w:rsidRPr="002E54A0" w:rsidRDefault="0042190C">
      <w:pPr>
        <w:pStyle w:val="a0"/>
        <w:spacing w:before="120" w:after="120" w:line="264" w:lineRule="auto"/>
        <w:jc w:val="both"/>
        <w:rPr>
          <w:sz w:val="22"/>
          <w:szCs w:val="22"/>
        </w:rPr>
      </w:pPr>
      <w:r w:rsidRPr="002E54A0">
        <w:rPr>
          <w:sz w:val="22"/>
          <w:szCs w:val="22"/>
        </w:rPr>
        <w:t xml:space="preserve">В резултат, генерираните приходи за България от продажби чрез търг на квоти за емисии на парникови газове от инсталации </w:t>
      </w:r>
      <w:r w:rsidR="00045B92">
        <w:rPr>
          <w:sz w:val="22"/>
          <w:szCs w:val="22"/>
        </w:rPr>
        <w:t xml:space="preserve">през 2020 г. </w:t>
      </w:r>
      <w:r w:rsidRPr="002E54A0">
        <w:rPr>
          <w:sz w:val="22"/>
          <w:szCs w:val="22"/>
        </w:rPr>
        <w:t xml:space="preserve">са в размер на 447 545 340 евро, което в левова равностойност прави 875 322 602 лв. </w:t>
      </w:r>
    </w:p>
    <w:p w14:paraId="26E26CCF" w14:textId="4820F487" w:rsidR="008B1EFF" w:rsidRPr="002E54A0" w:rsidRDefault="0042190C">
      <w:pPr>
        <w:pStyle w:val="a0"/>
        <w:spacing w:before="120" w:after="120" w:line="264" w:lineRule="auto"/>
        <w:jc w:val="both"/>
        <w:rPr>
          <w:sz w:val="22"/>
          <w:szCs w:val="22"/>
        </w:rPr>
      </w:pPr>
      <w:r w:rsidRPr="002E54A0">
        <w:rPr>
          <w:sz w:val="22"/>
          <w:szCs w:val="22"/>
        </w:rPr>
        <w:t>От тръжните продажби на авиационни квоти реализираните приходи</w:t>
      </w:r>
      <w:r w:rsidR="00045B92">
        <w:rPr>
          <w:sz w:val="22"/>
          <w:szCs w:val="22"/>
        </w:rPr>
        <w:t xml:space="preserve"> през 2020 г.</w:t>
      </w:r>
      <w:r w:rsidRPr="002E54A0">
        <w:rPr>
          <w:sz w:val="22"/>
          <w:szCs w:val="22"/>
        </w:rPr>
        <w:t xml:space="preserve"> са в размер на 1 008 505 евро, което в левова равностойност прави 1 972 464 лв.</w:t>
      </w:r>
    </w:p>
    <w:p w14:paraId="577508C1" w14:textId="77777777" w:rsidR="008B1EFF" w:rsidRPr="002E54A0" w:rsidRDefault="0042190C">
      <w:pPr>
        <w:pStyle w:val="a0"/>
        <w:spacing w:before="120" w:after="120" w:line="264" w:lineRule="auto"/>
        <w:jc w:val="both"/>
        <w:rPr>
          <w:b/>
          <w:sz w:val="22"/>
          <w:szCs w:val="22"/>
        </w:rPr>
      </w:pPr>
      <w:r w:rsidRPr="002E54A0">
        <w:rPr>
          <w:b/>
          <w:sz w:val="22"/>
          <w:szCs w:val="22"/>
        </w:rPr>
        <w:t>Цели до 2030 година</w:t>
      </w:r>
    </w:p>
    <w:p w14:paraId="3FDDBFDC" w14:textId="77777777" w:rsidR="008B1EFF" w:rsidRPr="002E54A0" w:rsidRDefault="0042190C">
      <w:pPr>
        <w:pStyle w:val="a0"/>
        <w:spacing w:before="120" w:after="120" w:line="264" w:lineRule="auto"/>
        <w:jc w:val="both"/>
        <w:rPr>
          <w:sz w:val="22"/>
          <w:szCs w:val="22"/>
        </w:rPr>
      </w:pPr>
      <w:r w:rsidRPr="002E54A0">
        <w:rPr>
          <w:sz w:val="22"/>
          <w:szCs w:val="22"/>
        </w:rPr>
        <w:t xml:space="preserve">През октомври 2014 г. ръководителите на ДЧ договориха новите по-амбициозни цели за периода 2021—2030 г. С тези цели ЕС пое ангажимент да намали своите емисии на парникови газове с най-малко 40 % до 2030 г. спрямо 1990 г. </w:t>
      </w:r>
    </w:p>
    <w:p w14:paraId="6E27A381" w14:textId="77777777" w:rsidR="00FB1508" w:rsidRDefault="0042190C">
      <w:pPr>
        <w:pStyle w:val="a0"/>
        <w:spacing w:before="120" w:after="120" w:line="264" w:lineRule="auto"/>
        <w:jc w:val="both"/>
        <w:rPr>
          <w:color w:val="000000"/>
          <w:sz w:val="22"/>
          <w:szCs w:val="22"/>
        </w:rPr>
      </w:pPr>
      <w:r w:rsidRPr="002E54A0">
        <w:rPr>
          <w:color w:val="000000"/>
          <w:sz w:val="22"/>
          <w:szCs w:val="22"/>
        </w:rPr>
        <w:t xml:space="preserve">Рамката съдържа политики и цели, които да направят икономиката и енергийната система на ЕС по-конкурентни, по-сигурни и по-устойчиви. Всички сектори следва да допринесат за постигането на тези намаления на емисиите. Целта ще бъде постигната колективно от ЕС, като намаленията в СТЕ и секторите извън СТЕ възлизат съответно на 43 % и 30 % до 2030 г. в сравнение с 2005 г. ЕС също така реформира СТЕ, прие правила за мониторинг и докладване и заяви необходимостта от национални планове в областта на климата и енергетиката и дългосрочни стратегии. </w:t>
      </w:r>
    </w:p>
    <w:p w14:paraId="1D4A37B9" w14:textId="77777777" w:rsidR="00FB1508" w:rsidRDefault="0042190C">
      <w:pPr>
        <w:pStyle w:val="a0"/>
        <w:spacing w:before="120" w:after="120" w:line="264" w:lineRule="auto"/>
        <w:jc w:val="both"/>
        <w:rPr>
          <w:color w:val="000000"/>
          <w:sz w:val="22"/>
          <w:szCs w:val="22"/>
        </w:rPr>
      </w:pPr>
      <w:r w:rsidRPr="002E54A0">
        <w:rPr>
          <w:color w:val="000000"/>
          <w:sz w:val="22"/>
          <w:szCs w:val="22"/>
        </w:rPr>
        <w:t xml:space="preserve">В допълнение, бе приет Регламент (ЕС) № 2018/842 за задължителните годишни намаления на емисиите на парникови газове за държавите членки през периода 2021—2030 г., допринасящи за действията в областта на климата в изпълнение на задълженията, поети по Парижкото споразумение, и за изменение на Регламент (ЕС) № 525/2013, определя национални цели за секторите извън СТЕ (сграден фонд, селско стопанство, управление на отпадъците и транспорт). За тези сектори националната цел на България за намаляване на емисиите на ПГ до 2030 г. в сравнение с 2005 г. е 0%. </w:t>
      </w:r>
    </w:p>
    <w:p w14:paraId="39163C68" w14:textId="01B87AC3" w:rsidR="008B1EFF" w:rsidRPr="002E54A0" w:rsidRDefault="0042190C">
      <w:pPr>
        <w:pStyle w:val="a0"/>
        <w:spacing w:before="120" w:after="120" w:line="264" w:lineRule="auto"/>
        <w:jc w:val="both"/>
        <w:rPr>
          <w:color w:val="000000"/>
          <w:sz w:val="22"/>
          <w:szCs w:val="22"/>
        </w:rPr>
      </w:pPr>
      <w:r w:rsidRPr="002E54A0">
        <w:rPr>
          <w:color w:val="000000"/>
          <w:sz w:val="22"/>
          <w:szCs w:val="22"/>
        </w:rPr>
        <w:t xml:space="preserve">Регламент (ЕС) № 2018/841 за включването на емисиите и поглъщанията на парникови газове от </w:t>
      </w:r>
      <w:proofErr w:type="spellStart"/>
      <w:r w:rsidRPr="002E54A0">
        <w:rPr>
          <w:color w:val="000000"/>
          <w:sz w:val="22"/>
          <w:szCs w:val="22"/>
        </w:rPr>
        <w:t>земеползването</w:t>
      </w:r>
      <w:proofErr w:type="spellEnd"/>
      <w:r w:rsidRPr="002E54A0">
        <w:rPr>
          <w:color w:val="000000"/>
          <w:sz w:val="22"/>
          <w:szCs w:val="22"/>
        </w:rPr>
        <w:t xml:space="preserve">, промените в </w:t>
      </w:r>
      <w:proofErr w:type="spellStart"/>
      <w:r w:rsidRPr="002E54A0">
        <w:rPr>
          <w:color w:val="000000"/>
          <w:sz w:val="22"/>
          <w:szCs w:val="22"/>
        </w:rPr>
        <w:t>земеползването</w:t>
      </w:r>
      <w:proofErr w:type="spellEnd"/>
      <w:r w:rsidRPr="002E54A0">
        <w:rPr>
          <w:color w:val="000000"/>
          <w:sz w:val="22"/>
          <w:szCs w:val="22"/>
        </w:rPr>
        <w:t xml:space="preserve"> и горското стопанство в рамката в областта на климата и енергетиката до 2030 г. и за изменение на Регламент (ЕС) № 525/2013 и Решение № 529/2013/ЕС, е част от усилията на ЕС за намаляване емисиите на ПГ с 40 % до 2030 г. в сравнение с 1990 г. Регламентът изисква от държавите членки да гарантират, че емисиите от всички категории </w:t>
      </w:r>
      <w:proofErr w:type="spellStart"/>
      <w:r w:rsidRPr="002E54A0">
        <w:rPr>
          <w:color w:val="000000"/>
          <w:sz w:val="22"/>
          <w:szCs w:val="22"/>
        </w:rPr>
        <w:t>земеползване</w:t>
      </w:r>
      <w:proofErr w:type="spellEnd"/>
      <w:r w:rsidRPr="002E54A0">
        <w:rPr>
          <w:color w:val="000000"/>
          <w:sz w:val="22"/>
          <w:szCs w:val="22"/>
        </w:rPr>
        <w:t xml:space="preserve"> не надвишават поглъщанията на ПГ в продължение на два петгодишни периода между 2021 и 2030 г. (2021 до 2025 г. и от 2026 г. до 2030 г.), като се прилагат определени правила за отчитане и се позволява известна гъвкавост.</w:t>
      </w:r>
    </w:p>
    <w:p w14:paraId="25182153" w14:textId="77777777" w:rsidR="008B1EFF" w:rsidRPr="002E54A0" w:rsidRDefault="0042190C">
      <w:pPr>
        <w:pStyle w:val="a0"/>
        <w:spacing w:before="120" w:after="120" w:line="264" w:lineRule="auto"/>
        <w:jc w:val="both"/>
        <w:rPr>
          <w:color w:val="000000"/>
          <w:sz w:val="22"/>
          <w:szCs w:val="22"/>
        </w:rPr>
      </w:pPr>
      <w:r w:rsidRPr="002E54A0">
        <w:rPr>
          <w:color w:val="000000"/>
          <w:sz w:val="22"/>
          <w:szCs w:val="22"/>
        </w:rPr>
        <w:t xml:space="preserve">С цел осигуряване на координиран и съгласуван подход в целия ЕС и изпълнение на стратегията на Енергийния съюз всяка държава членка (ДЧ) трябва да представи на Европейската комисия (ЕК) Интегриран план в областта на енергетиката и климата до 31 декември 2018 г. </w:t>
      </w:r>
    </w:p>
    <w:p w14:paraId="29C321D4" w14:textId="77777777" w:rsidR="008B1EFF" w:rsidRPr="002E54A0" w:rsidRDefault="0042190C">
      <w:pPr>
        <w:pStyle w:val="a0"/>
        <w:spacing w:before="120" w:after="120" w:line="264" w:lineRule="auto"/>
        <w:jc w:val="both"/>
        <w:rPr>
          <w:sz w:val="22"/>
          <w:szCs w:val="22"/>
        </w:rPr>
      </w:pPr>
      <w:r w:rsidRPr="002E54A0">
        <w:rPr>
          <w:sz w:val="22"/>
          <w:szCs w:val="22"/>
        </w:rPr>
        <w:t xml:space="preserve">В съответствие с изискванията на Регламент (ЕС) 2018/1999 България изготви и представи на ЕК Интегриран план в областта на енергетиката и климата на Република България 2021 – 2030 г. </w:t>
      </w:r>
      <w:r w:rsidRPr="002E54A0">
        <w:rPr>
          <w:sz w:val="22"/>
          <w:szCs w:val="22"/>
        </w:rPr>
        <w:lastRenderedPageBreak/>
        <w:t xml:space="preserve">(ИНПЕК). Планът е приет с Протокол № 8 на Министерския съвет от 27.02.2020 </w:t>
      </w:r>
      <w:r w:rsidRPr="002E54A0">
        <w:rPr>
          <w:rStyle w:val="a1"/>
          <w:rFonts w:eastAsia="Calibri"/>
          <w:sz w:val="22"/>
          <w:szCs w:val="22"/>
        </w:rPr>
        <w:t xml:space="preserve">г. след отразяване на  всички препоръки на ЕК по проекта на Интегриран план. </w:t>
      </w:r>
    </w:p>
    <w:p w14:paraId="3DF59017" w14:textId="77777777" w:rsidR="008B1EFF" w:rsidRPr="002E54A0" w:rsidRDefault="0042190C">
      <w:pPr>
        <w:pStyle w:val="a0"/>
        <w:spacing w:before="120" w:after="120" w:line="264" w:lineRule="auto"/>
        <w:jc w:val="both"/>
        <w:rPr>
          <w:sz w:val="22"/>
          <w:szCs w:val="22"/>
        </w:rPr>
      </w:pPr>
      <w:r w:rsidRPr="002E54A0">
        <w:rPr>
          <w:rStyle w:val="a1"/>
          <w:rFonts w:eastAsia="Calibri"/>
          <w:sz w:val="22"/>
          <w:szCs w:val="22"/>
        </w:rPr>
        <w:t>Предварителните прогнози на ЕАОС, сочат че целта за ограничаване на емисиите от секторите извън СТЕ  до равнищата им от 2005 г. няма да бъде постигната — очертава се изоставане от около 8 процентни пункта</w:t>
      </w:r>
      <w:r w:rsidRPr="002E54A0">
        <w:rPr>
          <w:rStyle w:val="a1"/>
          <w:rFonts w:eastAsia="Calibri"/>
          <w:sz w:val="22"/>
          <w:szCs w:val="22"/>
          <w:vertAlign w:val="superscript"/>
        </w:rPr>
        <w:footnoteReference w:id="28"/>
      </w:r>
      <w:r w:rsidRPr="002E54A0">
        <w:rPr>
          <w:rStyle w:val="a1"/>
          <w:rFonts w:eastAsia="Calibri"/>
          <w:sz w:val="22"/>
          <w:szCs w:val="22"/>
        </w:rPr>
        <w:t xml:space="preserve">. Поради това е важно  да се планират и изцяло приложат  подходящи допълнителни мерки за преодоляване на изоставането спрямо целите за 2030 г. и за съобразяване с дългосрочните амбиции на ЕС за </w:t>
      </w:r>
      <w:proofErr w:type="spellStart"/>
      <w:r w:rsidRPr="002E54A0">
        <w:rPr>
          <w:rStyle w:val="a1"/>
          <w:rFonts w:eastAsia="Calibri"/>
          <w:sz w:val="22"/>
          <w:szCs w:val="22"/>
        </w:rPr>
        <w:t>декарбонизация</w:t>
      </w:r>
      <w:proofErr w:type="spellEnd"/>
      <w:r w:rsidRPr="002E54A0">
        <w:rPr>
          <w:rStyle w:val="a1"/>
          <w:rFonts w:eastAsia="Calibri"/>
          <w:sz w:val="22"/>
          <w:szCs w:val="22"/>
        </w:rPr>
        <w:t xml:space="preserve">. </w:t>
      </w:r>
    </w:p>
    <w:p w14:paraId="10A5A68A" w14:textId="77777777" w:rsidR="008B1EFF" w:rsidRPr="002E54A0" w:rsidRDefault="0042190C">
      <w:pPr>
        <w:pStyle w:val="a0"/>
        <w:spacing w:before="120" w:after="120" w:line="264" w:lineRule="auto"/>
        <w:jc w:val="both"/>
        <w:rPr>
          <w:rFonts w:eastAsia="Calibri"/>
          <w:sz w:val="22"/>
          <w:szCs w:val="22"/>
        </w:rPr>
      </w:pPr>
      <w:r w:rsidRPr="002E54A0">
        <w:rPr>
          <w:rFonts w:eastAsia="Calibri"/>
          <w:sz w:val="22"/>
          <w:szCs w:val="22"/>
        </w:rPr>
        <w:t>С ИНПЕК се определят основните цели и мерки за осъществяване на националните политики в областта на енергетиката и климата до 2030 г., както и за осигуряване приноса на България за изпълнение на общата европейска енергийна политика:</w:t>
      </w:r>
    </w:p>
    <w:p w14:paraId="3DF2A9FD" w14:textId="77777777" w:rsidR="008B1EFF" w:rsidRPr="002E54A0" w:rsidRDefault="0042190C">
      <w:pPr>
        <w:pStyle w:val="a0"/>
        <w:numPr>
          <w:ilvl w:val="0"/>
          <w:numId w:val="20"/>
        </w:numPr>
        <w:spacing w:before="120" w:after="120" w:line="264" w:lineRule="auto"/>
        <w:ind w:right="58" w:hanging="288"/>
        <w:jc w:val="both"/>
        <w:rPr>
          <w:rFonts w:eastAsia="Calibri"/>
          <w:sz w:val="22"/>
          <w:szCs w:val="22"/>
        </w:rPr>
      </w:pPr>
      <w:r w:rsidRPr="002E54A0">
        <w:rPr>
          <w:rFonts w:eastAsia="Calibri"/>
          <w:sz w:val="22"/>
          <w:szCs w:val="22"/>
        </w:rPr>
        <w:t>Намаляване на първичното енергийно потребление в сравнение с базовата прогноза PRIMES 2007 - 27.89%;</w:t>
      </w:r>
    </w:p>
    <w:p w14:paraId="21702F0C" w14:textId="77777777" w:rsidR="008B1EFF" w:rsidRPr="002E54A0" w:rsidRDefault="0042190C">
      <w:pPr>
        <w:pStyle w:val="a0"/>
        <w:numPr>
          <w:ilvl w:val="0"/>
          <w:numId w:val="20"/>
        </w:numPr>
        <w:spacing w:before="120" w:after="120" w:line="264" w:lineRule="auto"/>
        <w:ind w:right="58" w:hanging="288"/>
        <w:jc w:val="both"/>
        <w:rPr>
          <w:rFonts w:eastAsia="Calibri"/>
          <w:sz w:val="22"/>
          <w:szCs w:val="22"/>
        </w:rPr>
      </w:pPr>
      <w:r w:rsidRPr="002E54A0">
        <w:rPr>
          <w:rFonts w:eastAsia="Calibri"/>
          <w:sz w:val="22"/>
          <w:szCs w:val="22"/>
        </w:rPr>
        <w:t>Намаляване на крайното енергийно потребление в сравнение с базовата прогноза PRIMES 2007 - 31.67%;</w:t>
      </w:r>
    </w:p>
    <w:p w14:paraId="67C9948E" w14:textId="77777777" w:rsidR="008B1EFF" w:rsidRPr="002E54A0" w:rsidRDefault="0042190C">
      <w:pPr>
        <w:pStyle w:val="a0"/>
        <w:numPr>
          <w:ilvl w:val="0"/>
          <w:numId w:val="20"/>
        </w:numPr>
        <w:spacing w:before="120" w:after="120" w:line="264" w:lineRule="auto"/>
        <w:ind w:right="58" w:hanging="288"/>
        <w:jc w:val="both"/>
        <w:rPr>
          <w:rFonts w:eastAsia="Calibri"/>
          <w:sz w:val="22"/>
          <w:szCs w:val="22"/>
        </w:rPr>
      </w:pPr>
      <w:r w:rsidRPr="002E54A0">
        <w:rPr>
          <w:rFonts w:eastAsia="Calibri"/>
          <w:sz w:val="22"/>
          <w:szCs w:val="22"/>
        </w:rPr>
        <w:t xml:space="preserve">27.09% дял на енергията от ВЕИ в брутното крайно потребление на енергия; </w:t>
      </w:r>
    </w:p>
    <w:p w14:paraId="3B550A71" w14:textId="77777777" w:rsidR="008B1EFF" w:rsidRPr="002E54A0" w:rsidRDefault="0042190C">
      <w:pPr>
        <w:pStyle w:val="a0"/>
        <w:numPr>
          <w:ilvl w:val="0"/>
          <w:numId w:val="20"/>
        </w:numPr>
        <w:spacing w:before="120" w:after="120" w:line="264" w:lineRule="auto"/>
        <w:ind w:right="58" w:hanging="288"/>
        <w:jc w:val="both"/>
        <w:rPr>
          <w:rFonts w:eastAsia="Calibri"/>
          <w:sz w:val="22"/>
          <w:szCs w:val="22"/>
        </w:rPr>
      </w:pPr>
      <w:r w:rsidRPr="002E54A0">
        <w:rPr>
          <w:rFonts w:eastAsia="Calibri"/>
          <w:sz w:val="22"/>
          <w:szCs w:val="22"/>
        </w:rPr>
        <w:t xml:space="preserve">Най-малко 15% междусистемна електроенергийна свързаност. </w:t>
      </w:r>
    </w:p>
    <w:p w14:paraId="487E5862" w14:textId="77777777" w:rsidR="008B1EFF" w:rsidRPr="002E54A0" w:rsidRDefault="0042190C">
      <w:pPr>
        <w:pStyle w:val="a0"/>
        <w:spacing w:before="120" w:after="120" w:line="264" w:lineRule="auto"/>
        <w:jc w:val="both"/>
        <w:rPr>
          <w:sz w:val="22"/>
          <w:szCs w:val="22"/>
        </w:rPr>
      </w:pPr>
      <w:r w:rsidRPr="002E54A0">
        <w:rPr>
          <w:sz w:val="22"/>
          <w:szCs w:val="22"/>
        </w:rPr>
        <w:t xml:space="preserve">За постигане на целите по климата от важно значение имат и Националната програма за развитие „България 2030", приета с Протокол № 67.25 на Министерския съвет от 02.12.2020 г. НПР е рамков стратегически документ от най-висок порядък в йерархията на националните програмни документи. </w:t>
      </w:r>
    </w:p>
    <w:p w14:paraId="32117E72" w14:textId="77777777" w:rsidR="008B1EFF" w:rsidRPr="002E54A0" w:rsidRDefault="0042190C">
      <w:pPr>
        <w:pStyle w:val="a0"/>
        <w:spacing w:before="120" w:line="276" w:lineRule="auto"/>
        <w:jc w:val="both"/>
        <w:rPr>
          <w:sz w:val="22"/>
          <w:szCs w:val="22"/>
        </w:rPr>
      </w:pPr>
      <w:r w:rsidRPr="002E54A0">
        <w:rPr>
          <w:sz w:val="22"/>
          <w:szCs w:val="22"/>
        </w:rPr>
        <w:t>Един от основните приоритети, заложени в НПР „България 2030",  е прехода към кръгова и нисковъглеродна икономика. Областите на въздействие са:</w:t>
      </w:r>
    </w:p>
    <w:p w14:paraId="642CA2E5" w14:textId="77777777" w:rsidR="008B1EFF" w:rsidRPr="002E54A0" w:rsidRDefault="0042190C">
      <w:pPr>
        <w:pStyle w:val="a0"/>
        <w:numPr>
          <w:ilvl w:val="0"/>
          <w:numId w:val="21"/>
        </w:numPr>
        <w:spacing w:before="120" w:line="276" w:lineRule="auto"/>
        <w:jc w:val="both"/>
        <w:rPr>
          <w:sz w:val="22"/>
          <w:szCs w:val="22"/>
        </w:rPr>
      </w:pPr>
      <w:r w:rsidRPr="002E54A0">
        <w:rPr>
          <w:sz w:val="22"/>
          <w:szCs w:val="22"/>
        </w:rPr>
        <w:t xml:space="preserve">Енергийна ефективност: Мерките са насочени към подобряване на енергийната ефективност в предприятията и домакинствата, както и към насърчаване използването на електрическа енергия, топлинна енергия и енергия за охлаждане, произведена от възобновяеми източници. </w:t>
      </w:r>
    </w:p>
    <w:p w14:paraId="1F720FF9" w14:textId="77777777" w:rsidR="008B1EFF" w:rsidRPr="002E54A0" w:rsidRDefault="0042190C">
      <w:pPr>
        <w:pStyle w:val="a0"/>
        <w:numPr>
          <w:ilvl w:val="0"/>
          <w:numId w:val="21"/>
        </w:numPr>
        <w:spacing w:before="120" w:line="276" w:lineRule="auto"/>
        <w:jc w:val="both"/>
        <w:rPr>
          <w:sz w:val="22"/>
          <w:szCs w:val="22"/>
        </w:rPr>
      </w:pPr>
      <w:r w:rsidRPr="002E54A0">
        <w:rPr>
          <w:sz w:val="22"/>
          <w:szCs w:val="22"/>
        </w:rPr>
        <w:t>Нисковъглеродни технологии: Мерките ще са насочени към увеличаване на дела на енергията от възобновяеми енергоизточници в брутното крайно потребление. Стимулират се иновативните технологии и постепенното навлизане на водорода като енергиен носител; разгръщане на електрическа мобилност, както и модернизация на железопътния сектор.</w:t>
      </w:r>
    </w:p>
    <w:p w14:paraId="75DB82B2" w14:textId="77777777" w:rsidR="008B1EFF" w:rsidRPr="002E54A0" w:rsidRDefault="0042190C">
      <w:pPr>
        <w:pStyle w:val="a0"/>
        <w:numPr>
          <w:ilvl w:val="0"/>
          <w:numId w:val="21"/>
        </w:numPr>
        <w:spacing w:before="120" w:line="276" w:lineRule="auto"/>
        <w:jc w:val="both"/>
        <w:rPr>
          <w:sz w:val="22"/>
          <w:szCs w:val="22"/>
        </w:rPr>
      </w:pPr>
      <w:proofErr w:type="spellStart"/>
      <w:r w:rsidRPr="002E54A0">
        <w:rPr>
          <w:sz w:val="22"/>
          <w:szCs w:val="22"/>
        </w:rPr>
        <w:t>Декарбонизация</w:t>
      </w:r>
      <w:proofErr w:type="spellEnd"/>
      <w:r w:rsidRPr="002E54A0">
        <w:rPr>
          <w:sz w:val="22"/>
          <w:szCs w:val="22"/>
        </w:rPr>
        <w:t xml:space="preserve"> на регионите: Целта на областта на въздействие е постигането на неутрална по отношение на климата икономика без да бъдат допуснати понижаване на конкурентоспособността и загуба на заетост, изтичане на въглерод, задълбочаване на регионалните дисбаланси, енергийна бедност и демографските проблеми. </w:t>
      </w:r>
    </w:p>
    <w:p w14:paraId="0131CC32" w14:textId="77777777" w:rsidR="008B1EFF" w:rsidRPr="002E54A0" w:rsidRDefault="0042190C">
      <w:pPr>
        <w:pStyle w:val="a0"/>
        <w:spacing w:before="120" w:after="120" w:line="264" w:lineRule="auto"/>
        <w:rPr>
          <w:sz w:val="22"/>
          <w:szCs w:val="22"/>
        </w:rPr>
      </w:pPr>
      <w:r w:rsidRPr="002E54A0">
        <w:rPr>
          <w:rStyle w:val="a1"/>
          <w:b/>
          <w:sz w:val="22"/>
          <w:szCs w:val="22"/>
        </w:rPr>
        <w:t>Повишаване на амбицията до 2030г. и постигане на неутралност по отношение на климата до 2050 година</w:t>
      </w:r>
    </w:p>
    <w:p w14:paraId="6E73526F" w14:textId="331342EE" w:rsidR="008B1EFF" w:rsidRPr="002E54A0" w:rsidRDefault="0042190C">
      <w:pPr>
        <w:pStyle w:val="a0"/>
        <w:spacing w:before="120" w:after="120" w:line="264" w:lineRule="auto"/>
        <w:jc w:val="both"/>
        <w:rPr>
          <w:sz w:val="22"/>
          <w:szCs w:val="22"/>
        </w:rPr>
      </w:pPr>
      <w:r w:rsidRPr="002E54A0">
        <w:rPr>
          <w:rStyle w:val="a1"/>
          <w:rFonts w:eastAsia="Calibri"/>
          <w:sz w:val="22"/>
          <w:szCs w:val="22"/>
        </w:rPr>
        <w:lastRenderedPageBreak/>
        <w:t xml:space="preserve">В контекста на Европейския зелен пакт и визията за ускорена трансформация и преход към неутрално към климата общество, през декември 2020 г., лидерите от ЕС одобриха обвързваща цел на ЕС за </w:t>
      </w:r>
      <w:r w:rsidR="0054381A">
        <w:rPr>
          <w:rStyle w:val="a1"/>
          <w:rFonts w:eastAsia="Calibri"/>
          <w:sz w:val="22"/>
          <w:szCs w:val="22"/>
        </w:rPr>
        <w:t xml:space="preserve">постигане на </w:t>
      </w:r>
      <w:r w:rsidRPr="002E54A0">
        <w:rPr>
          <w:rStyle w:val="a1"/>
          <w:rFonts w:eastAsia="Calibri"/>
          <w:sz w:val="22"/>
          <w:szCs w:val="22"/>
        </w:rPr>
        <w:t>нетно вътрешно намал</w:t>
      </w:r>
      <w:r w:rsidR="0054381A">
        <w:rPr>
          <w:rStyle w:val="a1"/>
          <w:rFonts w:eastAsia="Calibri"/>
          <w:sz w:val="22"/>
          <w:szCs w:val="22"/>
        </w:rPr>
        <w:t>ение</w:t>
      </w:r>
      <w:r w:rsidR="003E0B09">
        <w:rPr>
          <w:rStyle w:val="a1"/>
          <w:rFonts w:eastAsia="Calibri"/>
          <w:sz w:val="22"/>
          <w:szCs w:val="22"/>
        </w:rPr>
        <w:t xml:space="preserve"> на равнището на Съюза</w:t>
      </w:r>
      <w:r w:rsidRPr="002E54A0">
        <w:rPr>
          <w:rStyle w:val="a1"/>
          <w:rFonts w:eastAsia="Calibri"/>
          <w:sz w:val="22"/>
          <w:szCs w:val="22"/>
        </w:rPr>
        <w:t xml:space="preserve"> на емисиите на парникови газове </w:t>
      </w:r>
      <w:r w:rsidR="007C5265">
        <w:rPr>
          <w:rStyle w:val="a1"/>
          <w:rFonts w:eastAsia="Calibri"/>
          <w:sz w:val="22"/>
          <w:szCs w:val="22"/>
        </w:rPr>
        <w:t xml:space="preserve">до 2030г. </w:t>
      </w:r>
      <w:r w:rsidRPr="002E54A0">
        <w:rPr>
          <w:rStyle w:val="a1"/>
          <w:rFonts w:eastAsia="Calibri"/>
          <w:sz w:val="22"/>
          <w:szCs w:val="22"/>
        </w:rPr>
        <w:t xml:space="preserve">с най-малко 55% </w:t>
      </w:r>
      <w:r w:rsidR="000374D8">
        <w:rPr>
          <w:rStyle w:val="a1"/>
          <w:rFonts w:eastAsia="Calibri"/>
          <w:sz w:val="22"/>
          <w:szCs w:val="22"/>
        </w:rPr>
        <w:t xml:space="preserve">спрямо равнището от </w:t>
      </w:r>
      <w:r w:rsidRPr="002E54A0">
        <w:rPr>
          <w:rStyle w:val="a1"/>
          <w:rFonts w:eastAsia="Calibri"/>
          <w:sz w:val="22"/>
          <w:szCs w:val="22"/>
        </w:rPr>
        <w:t>1990 г., което представлява значително увеличение спрямо предишната цел на ЕС за намаляване на емисиите с 40% до 2030 г.</w:t>
      </w:r>
      <w:r w:rsidR="000374D8">
        <w:rPr>
          <w:rStyle w:val="a1"/>
          <w:rFonts w:eastAsia="Calibri"/>
          <w:sz w:val="22"/>
          <w:szCs w:val="22"/>
        </w:rPr>
        <w:t xml:space="preserve"> </w:t>
      </w:r>
    </w:p>
    <w:p w14:paraId="36944C7A" w14:textId="5F76D6E9" w:rsidR="004A5DAD" w:rsidRPr="007D1A72" w:rsidRDefault="0042190C">
      <w:pPr>
        <w:pStyle w:val="a0"/>
        <w:spacing w:before="120" w:after="120" w:line="264" w:lineRule="auto"/>
        <w:jc w:val="both"/>
        <w:rPr>
          <w:rStyle w:val="a1"/>
          <w:rFonts w:eastAsia="Calibri"/>
          <w:sz w:val="22"/>
          <w:szCs w:val="22"/>
        </w:rPr>
      </w:pPr>
      <w:r w:rsidRPr="002E54A0">
        <w:rPr>
          <w:rStyle w:val="a1"/>
          <w:rFonts w:eastAsia="Calibri"/>
          <w:sz w:val="22"/>
          <w:szCs w:val="22"/>
        </w:rPr>
        <w:t xml:space="preserve">Европейският зелен пакт предоставя подробен план и пътна карта за реализирането на амбициите на ЕС в областта на климата. В пакта се признава необходимостта всички действия и политики на ЕС да играят роля за постигането на неутралност по отношение на климата и се определя пътна карта за законодателни и незаконодателни инициативи, които ще помогнат на ЕС да постигне тази цел. </w:t>
      </w:r>
      <w:r w:rsidR="00DB1AF0" w:rsidRPr="00DB1AF0">
        <w:rPr>
          <w:rStyle w:val="a1"/>
          <w:rFonts w:eastAsia="Calibri"/>
          <w:sz w:val="22"/>
          <w:szCs w:val="22"/>
        </w:rPr>
        <w:t>За да се постиг</w:t>
      </w:r>
      <w:r w:rsidR="00482CAB">
        <w:rPr>
          <w:rStyle w:val="a1"/>
          <w:rFonts w:eastAsia="Calibri"/>
          <w:sz w:val="22"/>
          <w:szCs w:val="22"/>
        </w:rPr>
        <w:t>нат новите амбициозни цели, в програмат</w:t>
      </w:r>
      <w:r w:rsidR="00A83A4E">
        <w:rPr>
          <w:rStyle w:val="a1"/>
          <w:rFonts w:eastAsia="Calibri"/>
          <w:sz w:val="22"/>
          <w:szCs w:val="22"/>
        </w:rPr>
        <w:t xml:space="preserve">а на ЕК за 2021г. е включено </w:t>
      </w:r>
      <w:r w:rsidR="00781C1A">
        <w:rPr>
          <w:rStyle w:val="a1"/>
          <w:rFonts w:eastAsia="Calibri"/>
          <w:sz w:val="22"/>
          <w:szCs w:val="22"/>
        </w:rPr>
        <w:t xml:space="preserve">изготвяне и </w:t>
      </w:r>
      <w:r w:rsidR="00A83A4E">
        <w:rPr>
          <w:rStyle w:val="a1"/>
          <w:rFonts w:eastAsia="Calibri"/>
          <w:sz w:val="22"/>
          <w:szCs w:val="22"/>
        </w:rPr>
        <w:t>представяне</w:t>
      </w:r>
      <w:r w:rsidR="00781C1A">
        <w:rPr>
          <w:rStyle w:val="a1"/>
          <w:rFonts w:eastAsia="Calibri"/>
          <w:sz w:val="22"/>
          <w:szCs w:val="22"/>
        </w:rPr>
        <w:t xml:space="preserve"> на</w:t>
      </w:r>
      <w:r w:rsidR="00DB1AF0" w:rsidRPr="00DB1AF0">
        <w:rPr>
          <w:rStyle w:val="a1"/>
          <w:rFonts w:eastAsia="Calibri"/>
          <w:sz w:val="22"/>
          <w:szCs w:val="22"/>
        </w:rPr>
        <w:t> </w:t>
      </w:r>
      <w:r w:rsidR="00DB1AF0" w:rsidRPr="00DB1AF0">
        <w:rPr>
          <w:rStyle w:val="a1"/>
          <w:rFonts w:eastAsia="Calibri"/>
          <w:b/>
          <w:bCs/>
          <w:sz w:val="22"/>
          <w:szCs w:val="22"/>
        </w:rPr>
        <w:t>пакет „Адаптиране към цел 55“</w:t>
      </w:r>
      <w:r w:rsidR="00DB1AF0" w:rsidRPr="00DB1AF0">
        <w:rPr>
          <w:rStyle w:val="a1"/>
          <w:rFonts w:eastAsia="Calibri"/>
          <w:sz w:val="22"/>
          <w:szCs w:val="22"/>
        </w:rPr>
        <w:t xml:space="preserve"> . </w:t>
      </w:r>
      <w:r w:rsidR="00DB1AF0" w:rsidRPr="007D1A72">
        <w:rPr>
          <w:rStyle w:val="a1"/>
          <w:rFonts w:eastAsia="Calibri"/>
          <w:sz w:val="22"/>
          <w:szCs w:val="22"/>
        </w:rPr>
        <w:t>Той ще обхване широки области на политиката —</w:t>
      </w:r>
      <w:r w:rsidR="00EB53B2" w:rsidRPr="007D1A72">
        <w:rPr>
          <w:rStyle w:val="a1"/>
          <w:rFonts w:eastAsia="Calibri"/>
          <w:sz w:val="22"/>
          <w:szCs w:val="22"/>
        </w:rPr>
        <w:t xml:space="preserve">от </w:t>
      </w:r>
      <w:r w:rsidR="00DB1AF0" w:rsidRPr="007D1A72">
        <w:rPr>
          <w:rStyle w:val="a1"/>
          <w:rFonts w:eastAsia="Calibri"/>
          <w:sz w:val="22"/>
          <w:szCs w:val="22"/>
        </w:rPr>
        <w:t>възобновяеми енергийни източници</w:t>
      </w:r>
      <w:r w:rsidR="00EB53B2" w:rsidRPr="007D1A72">
        <w:rPr>
          <w:rStyle w:val="a1"/>
          <w:rFonts w:eastAsia="Calibri"/>
          <w:sz w:val="22"/>
          <w:szCs w:val="22"/>
        </w:rPr>
        <w:t xml:space="preserve"> и</w:t>
      </w:r>
      <w:r w:rsidR="00DB1AF0" w:rsidRPr="007D1A72">
        <w:rPr>
          <w:rStyle w:val="a1"/>
          <w:rFonts w:eastAsia="Calibri"/>
          <w:sz w:val="22"/>
          <w:szCs w:val="22"/>
        </w:rPr>
        <w:t xml:space="preserve"> принципа за поставяне на енергийната ефективност на първо място, </w:t>
      </w:r>
      <w:r w:rsidR="00EB53B2" w:rsidRPr="007D1A72">
        <w:rPr>
          <w:rStyle w:val="a1"/>
          <w:rFonts w:eastAsia="Calibri"/>
          <w:sz w:val="22"/>
          <w:szCs w:val="22"/>
        </w:rPr>
        <w:t xml:space="preserve">подобряване на </w:t>
      </w:r>
      <w:r w:rsidR="00DB1AF0" w:rsidRPr="007D1A72">
        <w:rPr>
          <w:rStyle w:val="a1"/>
          <w:rFonts w:eastAsia="Calibri"/>
          <w:sz w:val="22"/>
          <w:szCs w:val="22"/>
        </w:rPr>
        <w:t xml:space="preserve">енергийните характеристики на сградите, </w:t>
      </w:r>
      <w:r w:rsidR="00781C1A" w:rsidRPr="007D1A72">
        <w:rPr>
          <w:rStyle w:val="a1"/>
          <w:rFonts w:eastAsia="Calibri"/>
          <w:sz w:val="22"/>
          <w:szCs w:val="22"/>
        </w:rPr>
        <w:t>ролята на</w:t>
      </w:r>
      <w:r w:rsidR="00DB1AF0" w:rsidRPr="007D1A72">
        <w:rPr>
          <w:rStyle w:val="a1"/>
          <w:rFonts w:eastAsia="Calibri"/>
          <w:sz w:val="22"/>
          <w:szCs w:val="22"/>
        </w:rPr>
        <w:t xml:space="preserve"> </w:t>
      </w:r>
      <w:proofErr w:type="spellStart"/>
      <w:r w:rsidR="00DB1AF0" w:rsidRPr="007D1A72">
        <w:rPr>
          <w:rStyle w:val="a1"/>
          <w:rFonts w:eastAsia="Calibri"/>
          <w:sz w:val="22"/>
          <w:szCs w:val="22"/>
        </w:rPr>
        <w:t>земеползване</w:t>
      </w:r>
      <w:proofErr w:type="spellEnd"/>
      <w:r w:rsidR="00DB1AF0" w:rsidRPr="007D1A72">
        <w:rPr>
          <w:rStyle w:val="a1"/>
          <w:rFonts w:eastAsia="Calibri"/>
          <w:sz w:val="22"/>
          <w:szCs w:val="22"/>
        </w:rPr>
        <w:t>, енергийното данъчно облагане</w:t>
      </w:r>
      <w:r w:rsidR="00996346" w:rsidRPr="007D1A72">
        <w:rPr>
          <w:rStyle w:val="a1"/>
          <w:rFonts w:eastAsia="Calibri"/>
          <w:sz w:val="22"/>
          <w:szCs w:val="22"/>
        </w:rPr>
        <w:t xml:space="preserve"> и механизма за корекция на въглеродните емисии на границите</w:t>
      </w:r>
      <w:r w:rsidR="007D1A72" w:rsidRPr="007D1A72">
        <w:rPr>
          <w:rStyle w:val="a1"/>
          <w:rFonts w:eastAsia="Calibri"/>
          <w:sz w:val="22"/>
          <w:szCs w:val="22"/>
        </w:rPr>
        <w:t>,</w:t>
      </w:r>
      <w:r w:rsidR="00DB1AF0" w:rsidRPr="007D1A72">
        <w:rPr>
          <w:rStyle w:val="a1"/>
          <w:rFonts w:eastAsia="Calibri"/>
          <w:sz w:val="22"/>
          <w:szCs w:val="22"/>
        </w:rPr>
        <w:t xml:space="preserve"> разпределяне на усилията и търговията с емисии</w:t>
      </w:r>
      <w:r w:rsidR="00781C1A" w:rsidRPr="007D1A72">
        <w:rPr>
          <w:rStyle w:val="a1"/>
          <w:rFonts w:eastAsia="Calibri"/>
          <w:sz w:val="22"/>
          <w:szCs w:val="22"/>
        </w:rPr>
        <w:t xml:space="preserve">, </w:t>
      </w:r>
      <w:r w:rsidR="00EB53B2" w:rsidRPr="007D1A72">
        <w:rPr>
          <w:rStyle w:val="a1"/>
          <w:rFonts w:eastAsia="Calibri"/>
          <w:sz w:val="22"/>
          <w:szCs w:val="22"/>
        </w:rPr>
        <w:t xml:space="preserve"> </w:t>
      </w:r>
      <w:r w:rsidR="007D1A72" w:rsidRPr="007D1A72">
        <w:rPr>
          <w:rStyle w:val="a1"/>
          <w:rFonts w:eastAsia="Calibri"/>
          <w:sz w:val="22"/>
          <w:szCs w:val="22"/>
        </w:rPr>
        <w:t>и др</w:t>
      </w:r>
      <w:r w:rsidR="00DB1AF0" w:rsidRPr="007D1A72">
        <w:rPr>
          <w:rStyle w:val="a1"/>
          <w:rFonts w:eastAsia="Calibri"/>
          <w:sz w:val="22"/>
          <w:szCs w:val="22"/>
        </w:rPr>
        <w:t xml:space="preserve">. </w:t>
      </w:r>
    </w:p>
    <w:p w14:paraId="26D34E4E" w14:textId="77777777" w:rsidR="00AD3607" w:rsidRPr="00DB28E3" w:rsidRDefault="00AD3607" w:rsidP="00AD3607">
      <w:pPr>
        <w:pStyle w:val="a0"/>
        <w:spacing w:before="120" w:after="120" w:line="264" w:lineRule="auto"/>
        <w:jc w:val="both"/>
        <w:rPr>
          <w:rStyle w:val="a1"/>
          <w:rFonts w:eastAsia="Calibri"/>
          <w:sz w:val="22"/>
          <w:szCs w:val="22"/>
        </w:rPr>
      </w:pPr>
      <w:r w:rsidRPr="00DB28E3">
        <w:rPr>
          <w:rStyle w:val="a1"/>
          <w:rFonts w:eastAsia="Calibri"/>
          <w:sz w:val="22"/>
          <w:szCs w:val="22"/>
        </w:rPr>
        <w:t xml:space="preserve">На 5 май </w:t>
      </w:r>
      <w:r>
        <w:rPr>
          <w:rStyle w:val="a1"/>
          <w:rFonts w:eastAsia="Calibri"/>
          <w:sz w:val="22"/>
          <w:szCs w:val="22"/>
        </w:rPr>
        <w:t>2021г</w:t>
      </w:r>
      <w:r w:rsidRPr="00DB28E3">
        <w:rPr>
          <w:rStyle w:val="a1"/>
          <w:rFonts w:eastAsia="Calibri"/>
          <w:sz w:val="22"/>
          <w:szCs w:val="22"/>
        </w:rPr>
        <w:t xml:space="preserve">. приключиха преговорите между ЕП и Съвета по проекта на Регламент за Европейски закон за климата - рамков акт, имащ за цел да разпише климатичните цели в законодателството и да гарантира участието на всички сектори в постигането им. Окончателният текст на Регламента предвижда цел за намаление на емисиите на ЕС от „поне 55%“ до 2030 г., ограничаване ролята на </w:t>
      </w:r>
      <w:proofErr w:type="spellStart"/>
      <w:r w:rsidRPr="00DB28E3">
        <w:rPr>
          <w:rStyle w:val="a1"/>
          <w:rFonts w:eastAsia="Calibri"/>
          <w:sz w:val="22"/>
          <w:szCs w:val="22"/>
        </w:rPr>
        <w:t>погълтителите</w:t>
      </w:r>
      <w:proofErr w:type="spellEnd"/>
      <w:r w:rsidRPr="00DB28E3">
        <w:rPr>
          <w:rStyle w:val="a1"/>
          <w:rFonts w:eastAsia="Calibri"/>
          <w:sz w:val="22"/>
          <w:szCs w:val="22"/>
        </w:rPr>
        <w:t xml:space="preserve"> за постигането й, климатична неутралност на Съюза до 2050 г. и на негативни емисии след това, залагане на индикативни въглеродни бюджети и допълнителен европейски научен орган. </w:t>
      </w:r>
    </w:p>
    <w:p w14:paraId="161098DE" w14:textId="5A6EA2C4" w:rsidR="008B1EFF" w:rsidRPr="00DB28E3" w:rsidRDefault="0042190C">
      <w:pPr>
        <w:pStyle w:val="a0"/>
        <w:spacing w:before="120" w:after="120" w:line="264" w:lineRule="auto"/>
        <w:jc w:val="both"/>
        <w:rPr>
          <w:rStyle w:val="a1"/>
          <w:rFonts w:eastAsia="Calibri"/>
        </w:rPr>
      </w:pPr>
      <w:r w:rsidRPr="002E54A0">
        <w:rPr>
          <w:rFonts w:eastAsia="Calibri"/>
          <w:sz w:val="22"/>
          <w:szCs w:val="22"/>
        </w:rPr>
        <w:t>Засилената амбиция в областта на климата, за чието постигане се изисква трансформация на</w:t>
      </w:r>
      <w:r w:rsidR="005C087E">
        <w:rPr>
          <w:rFonts w:eastAsia="Calibri"/>
          <w:sz w:val="22"/>
          <w:szCs w:val="22"/>
        </w:rPr>
        <w:t xml:space="preserve"> </w:t>
      </w:r>
      <w:r w:rsidR="006F39DB">
        <w:rPr>
          <w:rFonts w:eastAsia="Calibri"/>
          <w:sz w:val="22"/>
          <w:szCs w:val="22"/>
        </w:rPr>
        <w:t xml:space="preserve">както на </w:t>
      </w:r>
      <w:r w:rsidR="005C087E">
        <w:rPr>
          <w:rFonts w:eastAsia="Calibri"/>
          <w:sz w:val="22"/>
          <w:szCs w:val="22"/>
        </w:rPr>
        <w:t>икономикат</w:t>
      </w:r>
      <w:r w:rsidR="006F39DB">
        <w:rPr>
          <w:rFonts w:eastAsia="Calibri"/>
          <w:sz w:val="22"/>
          <w:szCs w:val="22"/>
        </w:rPr>
        <w:t>а, така и на обществените отношения</w:t>
      </w:r>
      <w:r w:rsidR="004932F3">
        <w:rPr>
          <w:rFonts w:eastAsia="Calibri"/>
          <w:sz w:val="22"/>
          <w:szCs w:val="22"/>
        </w:rPr>
        <w:t xml:space="preserve"> в ДЧ</w:t>
      </w:r>
      <w:r w:rsidRPr="002E54A0">
        <w:rPr>
          <w:rFonts w:eastAsia="Calibri"/>
          <w:sz w:val="22"/>
          <w:szCs w:val="22"/>
        </w:rPr>
        <w:t xml:space="preserve"> на ЕС, ще</w:t>
      </w:r>
      <w:r w:rsidR="004932F3">
        <w:rPr>
          <w:rFonts w:eastAsia="Calibri"/>
          <w:sz w:val="22"/>
          <w:szCs w:val="22"/>
        </w:rPr>
        <w:t xml:space="preserve"> </w:t>
      </w:r>
      <w:r w:rsidRPr="002E54A0">
        <w:rPr>
          <w:rFonts w:eastAsia="Calibri"/>
          <w:sz w:val="22"/>
          <w:szCs w:val="22"/>
        </w:rPr>
        <w:t xml:space="preserve">стимулира устойчивия икономически растеж; </w:t>
      </w:r>
      <w:r w:rsidR="004932F3">
        <w:rPr>
          <w:rFonts w:eastAsia="Calibri"/>
          <w:sz w:val="22"/>
          <w:szCs w:val="22"/>
        </w:rPr>
        <w:t xml:space="preserve">ще </w:t>
      </w:r>
      <w:r w:rsidRPr="002E54A0">
        <w:rPr>
          <w:rFonts w:eastAsia="Calibri"/>
          <w:sz w:val="22"/>
          <w:szCs w:val="22"/>
        </w:rPr>
        <w:t xml:space="preserve">създаде работни места; </w:t>
      </w:r>
      <w:r w:rsidR="004932F3">
        <w:rPr>
          <w:rFonts w:eastAsia="Calibri"/>
          <w:sz w:val="22"/>
          <w:szCs w:val="22"/>
        </w:rPr>
        <w:t xml:space="preserve">и ще </w:t>
      </w:r>
      <w:r w:rsidRPr="002E54A0">
        <w:rPr>
          <w:rFonts w:eastAsia="Calibri"/>
          <w:sz w:val="22"/>
          <w:szCs w:val="22"/>
        </w:rPr>
        <w:t xml:space="preserve">донесе ползи за гражданите на ЕС, свързани със здравето и околната среда; </w:t>
      </w:r>
      <w:r w:rsidR="00EB7581">
        <w:rPr>
          <w:rFonts w:eastAsia="Calibri"/>
          <w:sz w:val="22"/>
          <w:szCs w:val="22"/>
        </w:rPr>
        <w:t xml:space="preserve">ще </w:t>
      </w:r>
      <w:r w:rsidRPr="002E54A0">
        <w:rPr>
          <w:rFonts w:eastAsia="Calibri"/>
          <w:sz w:val="22"/>
          <w:szCs w:val="22"/>
        </w:rPr>
        <w:t xml:space="preserve">допринесе за дългосрочната конкурентоспособност в световен план на икономиката на ЕС чрез </w:t>
      </w:r>
      <w:r w:rsidRPr="00DB28E3">
        <w:rPr>
          <w:rStyle w:val="a1"/>
          <w:rFonts w:eastAsia="Calibri"/>
        </w:rPr>
        <w:t>насърчаване на иновациите в зелени технологии.</w:t>
      </w:r>
    </w:p>
    <w:p w14:paraId="15C5385F" w14:textId="6386F11D" w:rsidR="008B1EFF" w:rsidRPr="002E54A0" w:rsidRDefault="00EB7581">
      <w:pPr>
        <w:pStyle w:val="a0"/>
        <w:spacing w:before="120" w:after="120" w:line="264" w:lineRule="auto"/>
        <w:jc w:val="both"/>
        <w:rPr>
          <w:rFonts w:eastAsia="Calibri"/>
          <w:sz w:val="22"/>
          <w:szCs w:val="22"/>
        </w:rPr>
      </w:pPr>
      <w:r>
        <w:rPr>
          <w:rFonts w:eastAsia="Calibri"/>
          <w:sz w:val="22"/>
          <w:szCs w:val="22"/>
        </w:rPr>
        <w:t>През декември 2020г. л</w:t>
      </w:r>
      <w:r w:rsidR="0042190C" w:rsidRPr="002E54A0">
        <w:rPr>
          <w:rFonts w:eastAsia="Calibri"/>
          <w:sz w:val="22"/>
          <w:szCs w:val="22"/>
        </w:rPr>
        <w:t xml:space="preserve">идерите от ЕС признаха и необходимостта от създаване на </w:t>
      </w:r>
      <w:r>
        <w:rPr>
          <w:rFonts w:eastAsia="Calibri"/>
          <w:sz w:val="22"/>
          <w:szCs w:val="22"/>
        </w:rPr>
        <w:t>улесняваща</w:t>
      </w:r>
      <w:r w:rsidR="0042190C" w:rsidRPr="002E54A0">
        <w:rPr>
          <w:rFonts w:eastAsia="Calibri"/>
          <w:sz w:val="22"/>
          <w:szCs w:val="22"/>
        </w:rPr>
        <w:t xml:space="preserve"> рамка, за да се гарантира, че преходът е икономически ефективен, социално балансиран и справедлив. Чрез създадения Механизъм за справедлив преход се предоставя съобразена с нуждите подкрепа за регионите и секторите, изправени пред конкретни предизвикателства в прехода към климатична неутралност.</w:t>
      </w:r>
    </w:p>
    <w:p w14:paraId="4A103F12" w14:textId="77777777" w:rsidR="008B1EFF" w:rsidRPr="002E54A0" w:rsidRDefault="0042190C">
      <w:pPr>
        <w:pStyle w:val="a0"/>
        <w:spacing w:before="120" w:after="120" w:line="264" w:lineRule="auto"/>
        <w:jc w:val="both"/>
        <w:rPr>
          <w:sz w:val="22"/>
          <w:szCs w:val="22"/>
        </w:rPr>
      </w:pPr>
      <w:r w:rsidRPr="002E54A0">
        <w:rPr>
          <w:rStyle w:val="a1"/>
          <w:rFonts w:eastAsia="Calibri"/>
          <w:sz w:val="22"/>
          <w:szCs w:val="22"/>
        </w:rPr>
        <w:t xml:space="preserve">Отчитайки факта, че за да се постигнат целите за устойчивост в областта на климата, околната среда и социалната сфера, са необходими мащабни частни и публични инвестиции, ЕС ще отдели 30% от общите разходи от многогодишната финансова рамка за периода 2021 – 2027 г. и </w:t>
      </w:r>
      <w:proofErr w:type="spellStart"/>
      <w:r w:rsidRPr="002E54A0">
        <w:rPr>
          <w:rStyle w:val="a1"/>
          <w:rFonts w:eastAsia="Calibri"/>
          <w:sz w:val="22"/>
          <w:szCs w:val="22"/>
        </w:rPr>
        <w:t>Next</w:t>
      </w:r>
      <w:proofErr w:type="spellEnd"/>
      <w:r w:rsidRPr="002E54A0">
        <w:rPr>
          <w:rStyle w:val="a1"/>
          <w:rFonts w:eastAsia="Calibri"/>
          <w:sz w:val="22"/>
          <w:szCs w:val="22"/>
        </w:rPr>
        <w:t xml:space="preserve"> </w:t>
      </w:r>
      <w:proofErr w:type="spellStart"/>
      <w:r w:rsidRPr="002E54A0">
        <w:rPr>
          <w:rStyle w:val="a1"/>
          <w:rFonts w:eastAsia="Calibri"/>
          <w:sz w:val="22"/>
          <w:szCs w:val="22"/>
        </w:rPr>
        <w:t>Generation</w:t>
      </w:r>
      <w:proofErr w:type="spellEnd"/>
      <w:r w:rsidRPr="002E54A0">
        <w:rPr>
          <w:rStyle w:val="a1"/>
          <w:rFonts w:eastAsia="Calibri"/>
          <w:sz w:val="22"/>
          <w:szCs w:val="22"/>
        </w:rPr>
        <w:t xml:space="preserve"> EU за действия, свързани с климата. </w:t>
      </w:r>
    </w:p>
    <w:p w14:paraId="6C5075F8" w14:textId="77777777" w:rsidR="008B1EFF" w:rsidRPr="002E54A0" w:rsidRDefault="0042190C">
      <w:pPr>
        <w:pStyle w:val="a0"/>
        <w:spacing w:before="120" w:after="120" w:line="264" w:lineRule="auto"/>
        <w:jc w:val="both"/>
        <w:rPr>
          <w:rFonts w:eastAsia="Calibri"/>
          <w:sz w:val="22"/>
          <w:szCs w:val="22"/>
        </w:rPr>
      </w:pPr>
      <w:r w:rsidRPr="002E54A0">
        <w:rPr>
          <w:rFonts w:eastAsia="Calibri"/>
          <w:sz w:val="22"/>
          <w:szCs w:val="22"/>
        </w:rPr>
        <w:t xml:space="preserve">В Европейския зелен пакт допълнително се подчертава необходимостта от мобилизиране на частни финансови и капиталови потоци за зелени инвестиции. Като елемент на стратегия за устойчиво финансиране, ЕС въвежда обща система за класификация, която да насърчава частните инвестиции в устойчив растеж и да допринася за изграждането на неутрална по отношение на климата икономика. Регламентът, в който се определя общоевропейска система за класификация </w:t>
      </w:r>
      <w:r w:rsidRPr="002E54A0">
        <w:rPr>
          <w:rFonts w:eastAsia="Calibri"/>
          <w:sz w:val="22"/>
          <w:szCs w:val="22"/>
        </w:rPr>
        <w:lastRenderedPageBreak/>
        <w:t>(„таксономия“), ще осигури на предприятията и инвеститорите обща терминология за идентифициране на онези икономически дейности, които се считат за екологично устойчиви.</w:t>
      </w:r>
    </w:p>
    <w:p w14:paraId="45F78214" w14:textId="2D84B46D" w:rsidR="008B1EFF" w:rsidRPr="002E54A0" w:rsidRDefault="0042190C">
      <w:pPr>
        <w:pStyle w:val="a0"/>
        <w:spacing w:before="120" w:after="120" w:line="264" w:lineRule="auto"/>
        <w:jc w:val="both"/>
        <w:rPr>
          <w:rFonts w:eastAsia="Calibri"/>
          <w:sz w:val="22"/>
          <w:szCs w:val="22"/>
        </w:rPr>
      </w:pPr>
      <w:r w:rsidRPr="002E54A0">
        <w:rPr>
          <w:rFonts w:eastAsia="Calibri"/>
          <w:sz w:val="22"/>
          <w:szCs w:val="22"/>
        </w:rPr>
        <w:t xml:space="preserve">За да се осъществи ускорен и справедлив преход към нисковъглеродна икономика на национално ниво, са необходими значителни инвестиции. Необходимо е в кратки срокове да се финализира разработването на стратегически документи за преход (на национално и регионално ниво), обхващащи социалните, икономическите, екологичните и технологичните аспекти, за да се гарантира ефективен процес на постепенна трансформация на </w:t>
      </w:r>
      <w:proofErr w:type="spellStart"/>
      <w:r w:rsidRPr="002E54A0">
        <w:rPr>
          <w:rFonts w:eastAsia="Calibri"/>
          <w:sz w:val="22"/>
          <w:szCs w:val="22"/>
        </w:rPr>
        <w:t>ресурсо</w:t>
      </w:r>
      <w:proofErr w:type="spellEnd"/>
      <w:r w:rsidRPr="002E54A0">
        <w:rPr>
          <w:rFonts w:eastAsia="Calibri"/>
          <w:sz w:val="22"/>
          <w:szCs w:val="22"/>
        </w:rPr>
        <w:t>- и енерго-интензивната  икономика, като усилия и средства се насочат приоритетно към най-уязвимите райони и сектори. В този контекст България ще използва фондовете по Споразумението за партньорство 2021-2027, както и средствата от Механизма за възстановяване и устойчивост, Механизма за справедлив преход и др.</w:t>
      </w:r>
    </w:p>
    <w:p w14:paraId="43462024" w14:textId="3DD34AA9" w:rsidR="008B1EFF" w:rsidRPr="002E54A0" w:rsidRDefault="0042190C">
      <w:pPr>
        <w:pStyle w:val="a0"/>
        <w:spacing w:before="120" w:after="120" w:line="264" w:lineRule="auto"/>
        <w:jc w:val="both"/>
        <w:rPr>
          <w:sz w:val="22"/>
          <w:szCs w:val="22"/>
        </w:rPr>
      </w:pPr>
      <w:r w:rsidRPr="002E54A0">
        <w:rPr>
          <w:rStyle w:val="a1"/>
          <w:rFonts w:eastAsia="Calibri"/>
          <w:sz w:val="22"/>
          <w:szCs w:val="22"/>
        </w:rPr>
        <w:t xml:space="preserve">Ефективното използване на ресурсите има стратегическо значение за </w:t>
      </w:r>
      <w:proofErr w:type="spellStart"/>
      <w:r w:rsidRPr="002E54A0">
        <w:rPr>
          <w:rStyle w:val="a1"/>
          <w:rFonts w:eastAsia="Calibri"/>
          <w:sz w:val="22"/>
          <w:szCs w:val="22"/>
        </w:rPr>
        <w:t>декарбонизацията</w:t>
      </w:r>
      <w:proofErr w:type="spellEnd"/>
      <w:r w:rsidRPr="002E54A0">
        <w:rPr>
          <w:rStyle w:val="a1"/>
          <w:rFonts w:eastAsia="Calibri"/>
          <w:sz w:val="22"/>
          <w:szCs w:val="22"/>
        </w:rPr>
        <w:t xml:space="preserve"> на икономиката. През следващите години системата на ЕС за търговия с емисии ще мобилизира значително финансиране за действия в областта на климата и инвестиции в областта на нисковъглеродните технологии. България ще получи близо 6 % от </w:t>
      </w:r>
      <w:proofErr w:type="spellStart"/>
      <w:r w:rsidRPr="002E54A0">
        <w:rPr>
          <w:rStyle w:val="a1"/>
          <w:rFonts w:eastAsia="Calibri"/>
          <w:sz w:val="22"/>
          <w:szCs w:val="22"/>
        </w:rPr>
        <w:t>Модернизационния</w:t>
      </w:r>
      <w:proofErr w:type="spellEnd"/>
      <w:r w:rsidRPr="002E54A0">
        <w:rPr>
          <w:rStyle w:val="a1"/>
          <w:rFonts w:eastAsia="Calibri"/>
          <w:sz w:val="22"/>
          <w:szCs w:val="22"/>
        </w:rPr>
        <w:t xml:space="preserve"> фонд (около 400 милиона евро, в зависимост от цената на въглеродните емисии), предназначени за подпомагането на енергийната ефективност и модернизирането на енергийните системи в държавите членки с по-ниски доходи. </w:t>
      </w:r>
      <w:r w:rsidR="00DC367C">
        <w:rPr>
          <w:rStyle w:val="a1"/>
          <w:rFonts w:eastAsia="Calibri"/>
          <w:sz w:val="22"/>
          <w:szCs w:val="22"/>
        </w:rPr>
        <w:t xml:space="preserve">В допълнение, </w:t>
      </w:r>
      <w:r w:rsidRPr="002E54A0">
        <w:rPr>
          <w:sz w:val="22"/>
          <w:szCs w:val="22"/>
        </w:rPr>
        <w:t xml:space="preserve">Многогодишната финансова рамка 2021-2027, Механизма за възстановяване и устойчивост, както и Фонда за справедлив преход предоставят значителен финансов ресурс, който </w:t>
      </w:r>
      <w:r w:rsidR="00DD39C7">
        <w:rPr>
          <w:sz w:val="22"/>
          <w:szCs w:val="22"/>
        </w:rPr>
        <w:t>при условие,</w:t>
      </w:r>
      <w:r w:rsidR="006264BE">
        <w:rPr>
          <w:sz w:val="22"/>
          <w:szCs w:val="22"/>
        </w:rPr>
        <w:t xml:space="preserve"> че се оползотвори правилно и напълно, може са</w:t>
      </w:r>
      <w:r w:rsidR="00676364">
        <w:rPr>
          <w:sz w:val="22"/>
          <w:szCs w:val="22"/>
        </w:rPr>
        <w:t xml:space="preserve"> </w:t>
      </w:r>
      <w:r w:rsidRPr="002E54A0">
        <w:rPr>
          <w:sz w:val="22"/>
          <w:szCs w:val="22"/>
        </w:rPr>
        <w:t xml:space="preserve">спомогне да се ускорят намаляването на въглеродния отпечатък и подобряването на състоянието на околната среда в района. </w:t>
      </w:r>
    </w:p>
    <w:p w14:paraId="744BEDFA" w14:textId="77777777" w:rsidR="008B1EFF" w:rsidRDefault="0042190C" w:rsidP="002700D9">
      <w:pPr>
        <w:pStyle w:val="Heading2"/>
        <w:rPr>
          <w:rFonts w:eastAsia="Calibri"/>
        </w:rPr>
      </w:pPr>
      <w:bookmarkStart w:id="31" w:name="_Toc72910311"/>
      <w:proofErr w:type="spellStart"/>
      <w:r>
        <w:rPr>
          <w:rFonts w:eastAsia="Calibri"/>
        </w:rPr>
        <w:t>Състояние</w:t>
      </w:r>
      <w:proofErr w:type="spellEnd"/>
      <w:r>
        <w:rPr>
          <w:rFonts w:eastAsia="Calibri"/>
        </w:rPr>
        <w:t xml:space="preserve"> и </w:t>
      </w:r>
      <w:proofErr w:type="spellStart"/>
      <w:r>
        <w:rPr>
          <w:rFonts w:eastAsia="Calibri"/>
        </w:rPr>
        <w:t>тенденции</w:t>
      </w:r>
      <w:bookmarkEnd w:id="31"/>
      <w:proofErr w:type="spellEnd"/>
    </w:p>
    <w:p w14:paraId="1FF5750D" w14:textId="77777777" w:rsidR="008B1EFF" w:rsidRDefault="0042190C">
      <w:pPr>
        <w:pStyle w:val="a0"/>
        <w:spacing w:before="120" w:after="120" w:line="264" w:lineRule="auto"/>
        <w:jc w:val="both"/>
        <w:rPr>
          <w:rFonts w:eastAsia="Calibri"/>
          <w:b/>
        </w:rPr>
      </w:pPr>
      <w:r>
        <w:rPr>
          <w:rFonts w:eastAsia="Calibri"/>
          <w:b/>
        </w:rPr>
        <w:t>Тенденции в емисиите на парникови газове</w:t>
      </w:r>
    </w:p>
    <w:p w14:paraId="2698367C" w14:textId="77777777" w:rsidR="008B1EFF" w:rsidRPr="002E54A0" w:rsidRDefault="0042190C" w:rsidP="002E54A0">
      <w:pPr>
        <w:pStyle w:val="a0"/>
        <w:spacing w:before="120" w:after="120" w:line="264" w:lineRule="auto"/>
        <w:jc w:val="both"/>
        <w:rPr>
          <w:sz w:val="22"/>
          <w:szCs w:val="22"/>
        </w:rPr>
      </w:pPr>
      <w:r w:rsidRPr="002E54A0">
        <w:rPr>
          <w:sz w:val="22"/>
          <w:szCs w:val="22"/>
        </w:rPr>
        <w:t xml:space="preserve">Според заключенията на Петия доклад по оценката на </w:t>
      </w:r>
      <w:r w:rsidRPr="002E54A0">
        <w:rPr>
          <w:rStyle w:val="a1"/>
          <w:bCs/>
          <w:iCs/>
          <w:sz w:val="22"/>
          <w:szCs w:val="22"/>
        </w:rPr>
        <w:t>Междуправителствения комитет по изменение на климата</w:t>
      </w:r>
      <w:r w:rsidRPr="002E54A0">
        <w:rPr>
          <w:rStyle w:val="a1"/>
          <w:b/>
          <w:bCs/>
          <w:iCs/>
          <w:sz w:val="22"/>
          <w:szCs w:val="22"/>
        </w:rPr>
        <w:t xml:space="preserve"> </w:t>
      </w:r>
      <w:r w:rsidRPr="002E54A0">
        <w:rPr>
          <w:sz w:val="22"/>
          <w:szCs w:val="22"/>
        </w:rPr>
        <w:t>(IPCC</w:t>
      </w:r>
      <w:r w:rsidRPr="002E54A0">
        <w:rPr>
          <w:rStyle w:val="ab"/>
          <w:sz w:val="22"/>
          <w:szCs w:val="22"/>
        </w:rPr>
        <w:footnoteReference w:id="29"/>
      </w:r>
      <w:r w:rsidRPr="002E54A0">
        <w:rPr>
          <w:sz w:val="22"/>
          <w:szCs w:val="22"/>
        </w:rPr>
        <w:t xml:space="preserve">), изменението на климата от средата на 20-ти век е резултат предимно на емисиите на парникови газове, генерирани от човешката дейност. Нарастването на количеството емисии на парникови газове неминуемо ще доведе до допълнително затопляне и промени във всички  компоненти на климатичната система. За да се постигне ограничаване изменението на климата се изисква значително и устойчиво намаляване на емисиите на парникови газове. </w:t>
      </w:r>
    </w:p>
    <w:p w14:paraId="386F06D1" w14:textId="77777777" w:rsidR="008B1EFF" w:rsidRPr="002E54A0" w:rsidRDefault="0042190C" w:rsidP="002E54A0">
      <w:pPr>
        <w:pStyle w:val="a0"/>
        <w:spacing w:before="120" w:after="120" w:line="264" w:lineRule="auto"/>
        <w:jc w:val="both"/>
        <w:rPr>
          <w:sz w:val="22"/>
          <w:szCs w:val="22"/>
        </w:rPr>
      </w:pPr>
      <w:r w:rsidRPr="002E54A0">
        <w:rPr>
          <w:sz w:val="22"/>
          <w:szCs w:val="22"/>
        </w:rPr>
        <w:t xml:space="preserve">Като страна по Рамковата конвенция на ООН по изменение на климата (РКООНИК), Република България има задължението да провежда ежегодни инвентаризации на емисиите на парникови газове по източници и </w:t>
      </w:r>
      <w:proofErr w:type="spellStart"/>
      <w:r w:rsidRPr="002E54A0">
        <w:rPr>
          <w:sz w:val="22"/>
          <w:szCs w:val="22"/>
        </w:rPr>
        <w:t>поглътители</w:t>
      </w:r>
      <w:proofErr w:type="spellEnd"/>
      <w:r w:rsidRPr="002E54A0">
        <w:rPr>
          <w:sz w:val="22"/>
          <w:szCs w:val="22"/>
        </w:rPr>
        <w:t>, съгласно утвърдената от РКООНИК методология. Инвентаризациите обхващат емисиите на основните парникови газове: въглероден диоксид (СО</w:t>
      </w:r>
      <w:r w:rsidRPr="002E54A0">
        <w:rPr>
          <w:rStyle w:val="a1"/>
          <w:sz w:val="22"/>
          <w:szCs w:val="22"/>
          <w:vertAlign w:val="subscript"/>
        </w:rPr>
        <w:t>2</w:t>
      </w:r>
      <w:r w:rsidRPr="002E54A0">
        <w:rPr>
          <w:sz w:val="22"/>
          <w:szCs w:val="22"/>
        </w:rPr>
        <w:t>), метан (CH</w:t>
      </w:r>
      <w:r w:rsidRPr="002E54A0">
        <w:rPr>
          <w:rStyle w:val="a1"/>
          <w:sz w:val="22"/>
          <w:szCs w:val="22"/>
          <w:vertAlign w:val="subscript"/>
        </w:rPr>
        <w:t>4</w:t>
      </w:r>
      <w:r w:rsidRPr="002E54A0">
        <w:rPr>
          <w:sz w:val="22"/>
          <w:szCs w:val="22"/>
        </w:rPr>
        <w:t xml:space="preserve">), </w:t>
      </w:r>
      <w:proofErr w:type="spellStart"/>
      <w:r w:rsidRPr="002E54A0">
        <w:rPr>
          <w:sz w:val="22"/>
          <w:szCs w:val="22"/>
        </w:rPr>
        <w:t>диазотен</w:t>
      </w:r>
      <w:proofErr w:type="spellEnd"/>
      <w:r w:rsidRPr="002E54A0">
        <w:rPr>
          <w:sz w:val="22"/>
          <w:szCs w:val="22"/>
        </w:rPr>
        <w:t xml:space="preserve"> оксид (N</w:t>
      </w:r>
      <w:r w:rsidRPr="002E54A0">
        <w:rPr>
          <w:rStyle w:val="a1"/>
          <w:sz w:val="22"/>
          <w:szCs w:val="22"/>
          <w:vertAlign w:val="subscript"/>
        </w:rPr>
        <w:t>2</w:t>
      </w:r>
      <w:r w:rsidRPr="002E54A0">
        <w:rPr>
          <w:sz w:val="22"/>
          <w:szCs w:val="22"/>
        </w:rPr>
        <w:t xml:space="preserve">O), </w:t>
      </w:r>
      <w:proofErr w:type="spellStart"/>
      <w:r w:rsidRPr="002E54A0">
        <w:rPr>
          <w:sz w:val="22"/>
          <w:szCs w:val="22"/>
        </w:rPr>
        <w:t>хидрофлуоркарбони</w:t>
      </w:r>
      <w:proofErr w:type="spellEnd"/>
      <w:r w:rsidRPr="002E54A0">
        <w:rPr>
          <w:sz w:val="22"/>
          <w:szCs w:val="22"/>
        </w:rPr>
        <w:t xml:space="preserve"> (</w:t>
      </w:r>
      <w:proofErr w:type="spellStart"/>
      <w:r w:rsidRPr="002E54A0">
        <w:rPr>
          <w:sz w:val="22"/>
          <w:szCs w:val="22"/>
        </w:rPr>
        <w:t>HFCs</w:t>
      </w:r>
      <w:proofErr w:type="spellEnd"/>
      <w:r w:rsidRPr="002E54A0">
        <w:rPr>
          <w:sz w:val="22"/>
          <w:szCs w:val="22"/>
        </w:rPr>
        <w:t xml:space="preserve">), </w:t>
      </w:r>
      <w:proofErr w:type="spellStart"/>
      <w:r w:rsidRPr="002E54A0">
        <w:rPr>
          <w:sz w:val="22"/>
          <w:szCs w:val="22"/>
        </w:rPr>
        <w:t>перфлуоркарбони</w:t>
      </w:r>
      <w:proofErr w:type="spellEnd"/>
      <w:r w:rsidRPr="002E54A0">
        <w:rPr>
          <w:sz w:val="22"/>
          <w:szCs w:val="22"/>
        </w:rPr>
        <w:t xml:space="preserve"> (</w:t>
      </w:r>
      <w:proofErr w:type="spellStart"/>
      <w:r w:rsidRPr="002E54A0">
        <w:rPr>
          <w:sz w:val="22"/>
          <w:szCs w:val="22"/>
        </w:rPr>
        <w:t>PFCs</w:t>
      </w:r>
      <w:proofErr w:type="spellEnd"/>
      <w:r w:rsidRPr="002E54A0">
        <w:rPr>
          <w:sz w:val="22"/>
          <w:szCs w:val="22"/>
        </w:rPr>
        <w:t xml:space="preserve">) и серен </w:t>
      </w:r>
      <w:proofErr w:type="spellStart"/>
      <w:r w:rsidRPr="002E54A0">
        <w:rPr>
          <w:sz w:val="22"/>
          <w:szCs w:val="22"/>
        </w:rPr>
        <w:t>хексафлуорид</w:t>
      </w:r>
      <w:proofErr w:type="spellEnd"/>
      <w:r w:rsidRPr="002E54A0">
        <w:rPr>
          <w:sz w:val="22"/>
          <w:szCs w:val="22"/>
        </w:rPr>
        <w:t xml:space="preserve"> (SF</w:t>
      </w:r>
      <w:r w:rsidRPr="002E54A0">
        <w:rPr>
          <w:rStyle w:val="a1"/>
          <w:sz w:val="22"/>
          <w:szCs w:val="22"/>
          <w:vertAlign w:val="subscript"/>
        </w:rPr>
        <w:t>6</w:t>
      </w:r>
      <w:r w:rsidRPr="002E54A0">
        <w:rPr>
          <w:sz w:val="22"/>
          <w:szCs w:val="22"/>
        </w:rPr>
        <w:t>), както и предшественици (</w:t>
      </w:r>
      <w:proofErr w:type="spellStart"/>
      <w:r w:rsidRPr="002E54A0">
        <w:rPr>
          <w:sz w:val="22"/>
          <w:szCs w:val="22"/>
        </w:rPr>
        <w:t>прекурсори</w:t>
      </w:r>
      <w:proofErr w:type="spellEnd"/>
      <w:r w:rsidRPr="002E54A0">
        <w:rPr>
          <w:sz w:val="22"/>
          <w:szCs w:val="22"/>
        </w:rPr>
        <w:t>) на парниковите газове (</w:t>
      </w:r>
      <w:proofErr w:type="spellStart"/>
      <w:r w:rsidRPr="002E54A0">
        <w:rPr>
          <w:sz w:val="22"/>
          <w:szCs w:val="22"/>
        </w:rPr>
        <w:t>NO</w:t>
      </w:r>
      <w:r w:rsidRPr="002E54A0">
        <w:rPr>
          <w:rStyle w:val="a1"/>
          <w:sz w:val="22"/>
          <w:szCs w:val="22"/>
          <w:vertAlign w:val="subscript"/>
        </w:rPr>
        <w:t>x</w:t>
      </w:r>
      <w:proofErr w:type="spellEnd"/>
      <w:r w:rsidRPr="002E54A0">
        <w:rPr>
          <w:sz w:val="22"/>
          <w:szCs w:val="22"/>
        </w:rPr>
        <w:t>, CO и NMVOC) и серен диоксид (SO</w:t>
      </w:r>
      <w:r w:rsidRPr="002E54A0">
        <w:rPr>
          <w:rStyle w:val="a1"/>
          <w:sz w:val="22"/>
          <w:szCs w:val="22"/>
          <w:vertAlign w:val="subscript"/>
        </w:rPr>
        <w:t>2</w:t>
      </w:r>
      <w:r w:rsidRPr="002E54A0">
        <w:rPr>
          <w:sz w:val="22"/>
          <w:szCs w:val="22"/>
        </w:rPr>
        <w:t xml:space="preserve">). </w:t>
      </w:r>
    </w:p>
    <w:p w14:paraId="16655C9D" w14:textId="77777777" w:rsidR="008B1EFF" w:rsidRPr="002E54A0" w:rsidRDefault="0042190C" w:rsidP="002E54A0">
      <w:pPr>
        <w:pStyle w:val="a0"/>
        <w:spacing w:before="120" w:after="120" w:line="264" w:lineRule="auto"/>
        <w:jc w:val="both"/>
        <w:rPr>
          <w:b/>
          <w:sz w:val="22"/>
          <w:szCs w:val="22"/>
        </w:rPr>
      </w:pPr>
      <w:r w:rsidRPr="002E54A0">
        <w:rPr>
          <w:b/>
          <w:sz w:val="22"/>
          <w:szCs w:val="22"/>
        </w:rPr>
        <w:t>Общи емисии парникови газове</w:t>
      </w:r>
    </w:p>
    <w:p w14:paraId="499EC0F6" w14:textId="77777777" w:rsidR="008B1EFF" w:rsidRPr="002E54A0" w:rsidRDefault="0042190C" w:rsidP="002E54A0">
      <w:pPr>
        <w:pStyle w:val="a0"/>
        <w:spacing w:before="120" w:after="120" w:line="264" w:lineRule="auto"/>
        <w:ind w:right="57"/>
        <w:jc w:val="both"/>
        <w:rPr>
          <w:bCs/>
          <w:sz w:val="22"/>
          <w:szCs w:val="22"/>
        </w:rPr>
      </w:pPr>
      <w:r w:rsidRPr="002E54A0">
        <w:rPr>
          <w:bCs/>
          <w:sz w:val="22"/>
          <w:szCs w:val="22"/>
        </w:rPr>
        <w:lastRenderedPageBreak/>
        <w:t xml:space="preserve">Генерирането на емисиите на парниковите газове до голяма степен се дължи на използването на изкопаеми горива, въпреки че обезлесяването, промяната в </w:t>
      </w:r>
      <w:proofErr w:type="spellStart"/>
      <w:r w:rsidRPr="002E54A0">
        <w:rPr>
          <w:bCs/>
          <w:sz w:val="22"/>
          <w:szCs w:val="22"/>
        </w:rPr>
        <w:t>земеползването</w:t>
      </w:r>
      <w:proofErr w:type="spellEnd"/>
      <w:r w:rsidRPr="002E54A0">
        <w:rPr>
          <w:bCs/>
          <w:sz w:val="22"/>
          <w:szCs w:val="22"/>
        </w:rPr>
        <w:t xml:space="preserve"> и селското стопанство също оказват значително (но по-малко) влияние. </w:t>
      </w:r>
    </w:p>
    <w:p w14:paraId="6A5D739B" w14:textId="77777777" w:rsidR="008B1EFF" w:rsidRPr="002E54A0" w:rsidRDefault="0042190C" w:rsidP="002E54A0">
      <w:pPr>
        <w:pStyle w:val="a0"/>
        <w:spacing w:before="120" w:after="120" w:line="264" w:lineRule="auto"/>
        <w:jc w:val="both"/>
        <w:rPr>
          <w:sz w:val="22"/>
          <w:szCs w:val="22"/>
        </w:rPr>
      </w:pPr>
      <w:r w:rsidRPr="002E54A0">
        <w:rPr>
          <w:rStyle w:val="a1"/>
          <w:bCs/>
          <w:sz w:val="22"/>
          <w:szCs w:val="22"/>
        </w:rPr>
        <w:t>Анализът на данните от националните инвентаризации за периода до 2018 г. показва, че емисиите на парникови газове са значително по-ниски в сравнение с базовата 1988 г. и в момента Република България има необходимия резерв, който осигурява изпълнение на ангажиментите, поети с подписването на Протокола от Киото.</w:t>
      </w:r>
    </w:p>
    <w:p w14:paraId="1E290423" w14:textId="77777777" w:rsidR="008B1EFF" w:rsidRPr="002E54A0" w:rsidRDefault="0042190C" w:rsidP="002E54A0">
      <w:pPr>
        <w:pStyle w:val="a0"/>
        <w:spacing w:before="120" w:after="120" w:line="264" w:lineRule="auto"/>
        <w:jc w:val="both"/>
        <w:rPr>
          <w:sz w:val="22"/>
          <w:szCs w:val="22"/>
        </w:rPr>
      </w:pPr>
      <w:r w:rsidRPr="002E54A0">
        <w:rPr>
          <w:sz w:val="22"/>
          <w:szCs w:val="22"/>
        </w:rPr>
        <w:t>Данните от инвентаризацията на емисиите на ПГ за 2018 г. показват, че общите емисии на ПГ в CO</w:t>
      </w:r>
      <w:r w:rsidRPr="002E54A0">
        <w:rPr>
          <w:rStyle w:val="a1"/>
          <w:sz w:val="22"/>
          <w:szCs w:val="22"/>
          <w:vertAlign w:val="subscript"/>
        </w:rPr>
        <w:t>2</w:t>
      </w:r>
      <w:r w:rsidRPr="002E54A0">
        <w:rPr>
          <w:sz w:val="22"/>
          <w:szCs w:val="22"/>
        </w:rPr>
        <w:t xml:space="preserve"> - екв. са 57 815,59 </w:t>
      </w:r>
      <w:proofErr w:type="spellStart"/>
      <w:r w:rsidRPr="002E54A0">
        <w:rPr>
          <w:sz w:val="22"/>
          <w:szCs w:val="22"/>
        </w:rPr>
        <w:t>гигаграма</w:t>
      </w:r>
      <w:proofErr w:type="spellEnd"/>
      <w:r w:rsidRPr="002E54A0">
        <w:rPr>
          <w:sz w:val="22"/>
          <w:szCs w:val="22"/>
        </w:rPr>
        <w:t xml:space="preserve"> (</w:t>
      </w:r>
      <w:proofErr w:type="spellStart"/>
      <w:r w:rsidRPr="002E54A0">
        <w:rPr>
          <w:sz w:val="22"/>
          <w:szCs w:val="22"/>
        </w:rPr>
        <w:t>Gg</w:t>
      </w:r>
      <w:proofErr w:type="spellEnd"/>
      <w:r w:rsidRPr="002E54A0">
        <w:rPr>
          <w:sz w:val="22"/>
          <w:szCs w:val="22"/>
        </w:rPr>
        <w:t>) без отчитане на поглъщането от сектор “</w:t>
      </w:r>
      <w:proofErr w:type="spellStart"/>
      <w:r w:rsidRPr="002E54A0">
        <w:rPr>
          <w:sz w:val="22"/>
          <w:szCs w:val="22"/>
        </w:rPr>
        <w:t>Земеползване</w:t>
      </w:r>
      <w:proofErr w:type="spellEnd"/>
      <w:r w:rsidRPr="002E54A0">
        <w:rPr>
          <w:sz w:val="22"/>
          <w:szCs w:val="22"/>
        </w:rPr>
        <w:t xml:space="preserve">, промяна в </w:t>
      </w:r>
      <w:proofErr w:type="spellStart"/>
      <w:r w:rsidRPr="002E54A0">
        <w:rPr>
          <w:sz w:val="22"/>
          <w:szCs w:val="22"/>
        </w:rPr>
        <w:t>земеползването</w:t>
      </w:r>
      <w:proofErr w:type="spellEnd"/>
      <w:r w:rsidRPr="002E54A0">
        <w:rPr>
          <w:sz w:val="22"/>
          <w:szCs w:val="22"/>
        </w:rPr>
        <w:t xml:space="preserve"> и горско стопанство” (ЗПЗГС). Емисиите през 2018 г. са намалели с 50,49% в сравнение с базовата година и с 6,3% в сравнение с емисиите от предходната година. </w:t>
      </w:r>
    </w:p>
    <w:p w14:paraId="26906BBD" w14:textId="77777777" w:rsidR="008B1EFF" w:rsidRPr="002E54A0" w:rsidRDefault="0042190C" w:rsidP="002E54A0">
      <w:pPr>
        <w:pStyle w:val="a0"/>
        <w:spacing w:before="120" w:after="120" w:line="264" w:lineRule="auto"/>
        <w:jc w:val="both"/>
        <w:rPr>
          <w:sz w:val="22"/>
          <w:szCs w:val="22"/>
        </w:rPr>
      </w:pPr>
      <w:r w:rsidRPr="002E54A0">
        <w:rPr>
          <w:sz w:val="22"/>
          <w:szCs w:val="22"/>
        </w:rPr>
        <w:t xml:space="preserve">Нетните емисии, включително отчитането на поглъщането от сектора ЗПЗГС, са 49 165 </w:t>
      </w:r>
      <w:proofErr w:type="spellStart"/>
      <w:r w:rsidRPr="002E54A0">
        <w:rPr>
          <w:sz w:val="22"/>
          <w:szCs w:val="22"/>
        </w:rPr>
        <w:t>Gg</w:t>
      </w:r>
      <w:proofErr w:type="spellEnd"/>
      <w:r w:rsidRPr="002E54A0">
        <w:rPr>
          <w:sz w:val="22"/>
          <w:szCs w:val="22"/>
        </w:rPr>
        <w:t xml:space="preserve"> CO</w:t>
      </w:r>
      <w:r w:rsidRPr="002E54A0">
        <w:rPr>
          <w:rStyle w:val="a1"/>
          <w:sz w:val="22"/>
          <w:szCs w:val="22"/>
          <w:vertAlign w:val="subscript"/>
        </w:rPr>
        <w:t>2</w:t>
      </w:r>
      <w:r w:rsidRPr="002E54A0">
        <w:rPr>
          <w:sz w:val="22"/>
          <w:szCs w:val="22"/>
        </w:rPr>
        <w:t xml:space="preserve"> екв. Емисиите са намалели с 49,5% в сравнение с базовата година. </w:t>
      </w:r>
    </w:p>
    <w:p w14:paraId="0D81EDE8" w14:textId="2C97639A" w:rsidR="008B1EFF" w:rsidRPr="002E54A0" w:rsidRDefault="0042190C" w:rsidP="002E54A0">
      <w:pPr>
        <w:pStyle w:val="a0"/>
        <w:spacing w:before="120" w:after="120" w:line="264" w:lineRule="auto"/>
        <w:jc w:val="both"/>
        <w:rPr>
          <w:sz w:val="22"/>
          <w:szCs w:val="22"/>
        </w:rPr>
      </w:pPr>
      <w:r w:rsidRPr="002E54A0">
        <w:rPr>
          <w:sz w:val="22"/>
          <w:szCs w:val="22"/>
        </w:rPr>
        <w:t xml:space="preserve">В Таблица </w:t>
      </w:r>
      <w:r w:rsidR="006F72FF" w:rsidRPr="006F72FF">
        <w:t>2</w:t>
      </w:r>
      <w:r w:rsidRPr="002E54A0">
        <w:rPr>
          <w:sz w:val="22"/>
          <w:szCs w:val="22"/>
        </w:rPr>
        <w:t xml:space="preserve"> са посочени емисиите на основните ПГ, сумарните емисии (без отчитане на ЗПЗГС) и делът на общите емисии от емисиите през базовата 1988 г., приети за 100%. </w:t>
      </w:r>
    </w:p>
    <w:p w14:paraId="4C909241" w14:textId="73994555" w:rsidR="008B1EFF" w:rsidRPr="006F72FF" w:rsidRDefault="006F72FF" w:rsidP="006F72FF">
      <w:pPr>
        <w:pStyle w:val="Caption"/>
        <w:jc w:val="both"/>
        <w:rPr>
          <w:rFonts w:ascii="Times New Roman" w:eastAsia="Times New Roman" w:hAnsi="Times New Roman"/>
          <w:b w:val="0"/>
          <w:bCs w:val="0"/>
          <w:i/>
          <w:color w:val="auto"/>
          <w:sz w:val="22"/>
          <w:szCs w:val="22"/>
          <w:lang w:val="bg-BG" w:eastAsia="bg-BG"/>
        </w:rPr>
      </w:pPr>
      <w:bookmarkStart w:id="32" w:name="_Toc71527457"/>
      <w:bookmarkStart w:id="33" w:name="_Toc72910350"/>
      <w:r>
        <w:rPr>
          <w:rFonts w:ascii="Times New Roman" w:eastAsia="Times New Roman" w:hAnsi="Times New Roman"/>
          <w:b w:val="0"/>
          <w:bCs w:val="0"/>
          <w:i/>
          <w:color w:val="auto"/>
          <w:sz w:val="22"/>
          <w:szCs w:val="22"/>
          <w:lang w:val="bg-BG" w:eastAsia="bg-BG"/>
        </w:rPr>
        <w:t>Таблица</w:t>
      </w:r>
      <w:r w:rsidRPr="006F72FF">
        <w:rPr>
          <w:rFonts w:ascii="Times New Roman" w:eastAsia="Times New Roman" w:hAnsi="Times New Roman"/>
          <w:b w:val="0"/>
          <w:bCs w:val="0"/>
          <w:i/>
          <w:color w:val="auto"/>
          <w:sz w:val="22"/>
          <w:szCs w:val="22"/>
          <w:lang w:val="bg-BG" w:eastAsia="bg-BG"/>
        </w:rPr>
        <w:t xml:space="preserve"> </w:t>
      </w:r>
      <w:r w:rsidRPr="006F72FF">
        <w:rPr>
          <w:rFonts w:ascii="Times New Roman" w:eastAsia="Times New Roman" w:hAnsi="Times New Roman"/>
          <w:b w:val="0"/>
          <w:bCs w:val="0"/>
          <w:i/>
          <w:color w:val="auto"/>
          <w:sz w:val="22"/>
          <w:szCs w:val="22"/>
          <w:lang w:val="bg-BG" w:eastAsia="bg-BG"/>
        </w:rPr>
        <w:fldChar w:fldCharType="begin"/>
      </w:r>
      <w:r w:rsidRPr="006F72FF">
        <w:rPr>
          <w:rFonts w:ascii="Times New Roman" w:eastAsia="Times New Roman" w:hAnsi="Times New Roman"/>
          <w:b w:val="0"/>
          <w:bCs w:val="0"/>
          <w:i/>
          <w:color w:val="auto"/>
          <w:sz w:val="22"/>
          <w:szCs w:val="22"/>
          <w:lang w:val="bg-BG" w:eastAsia="bg-BG"/>
        </w:rPr>
        <w:instrText xml:space="preserve"> SEQ Таблица_ \* ARABIC </w:instrText>
      </w:r>
      <w:r w:rsidRPr="006F72FF">
        <w:rPr>
          <w:rFonts w:ascii="Times New Roman" w:eastAsia="Times New Roman" w:hAnsi="Times New Roman"/>
          <w:b w:val="0"/>
          <w:bCs w:val="0"/>
          <w:i/>
          <w:color w:val="auto"/>
          <w:sz w:val="22"/>
          <w:szCs w:val="22"/>
          <w:lang w:val="bg-BG" w:eastAsia="bg-BG"/>
        </w:rPr>
        <w:fldChar w:fldCharType="separate"/>
      </w:r>
      <w:r w:rsidR="008059A7">
        <w:rPr>
          <w:rFonts w:ascii="Times New Roman" w:eastAsia="Times New Roman" w:hAnsi="Times New Roman"/>
          <w:b w:val="0"/>
          <w:bCs w:val="0"/>
          <w:i/>
          <w:noProof/>
          <w:color w:val="auto"/>
          <w:sz w:val="22"/>
          <w:szCs w:val="22"/>
          <w:lang w:val="bg-BG" w:eastAsia="bg-BG"/>
        </w:rPr>
        <w:t>2</w:t>
      </w:r>
      <w:r w:rsidRPr="006F72FF">
        <w:rPr>
          <w:rFonts w:ascii="Times New Roman" w:eastAsia="Times New Roman" w:hAnsi="Times New Roman"/>
          <w:b w:val="0"/>
          <w:bCs w:val="0"/>
          <w:i/>
          <w:color w:val="auto"/>
          <w:sz w:val="22"/>
          <w:szCs w:val="22"/>
          <w:lang w:val="bg-BG" w:eastAsia="bg-BG"/>
        </w:rPr>
        <w:fldChar w:fldCharType="end"/>
      </w:r>
      <w:r w:rsidRPr="006F72FF">
        <w:rPr>
          <w:rFonts w:ascii="Times New Roman" w:eastAsia="Times New Roman" w:hAnsi="Times New Roman"/>
          <w:b w:val="0"/>
          <w:bCs w:val="0"/>
          <w:i/>
          <w:color w:val="auto"/>
          <w:sz w:val="22"/>
          <w:szCs w:val="22"/>
          <w:lang w:val="bg-BG" w:eastAsia="bg-BG"/>
        </w:rPr>
        <w:t xml:space="preserve"> </w:t>
      </w:r>
      <w:proofErr w:type="spellStart"/>
      <w:r w:rsidR="0042190C" w:rsidRPr="006F72FF">
        <w:rPr>
          <w:rFonts w:ascii="Times New Roman" w:eastAsia="Times New Roman" w:hAnsi="Times New Roman"/>
          <w:b w:val="0"/>
          <w:i/>
          <w:color w:val="auto"/>
          <w:sz w:val="22"/>
          <w:szCs w:val="22"/>
          <w:lang w:val="bg-BG" w:eastAsia="bg-BG"/>
        </w:rPr>
        <w:t>Агрегирани</w:t>
      </w:r>
      <w:proofErr w:type="spellEnd"/>
      <w:r w:rsidR="0042190C" w:rsidRPr="006F72FF">
        <w:rPr>
          <w:rFonts w:ascii="Times New Roman" w:eastAsia="Times New Roman" w:hAnsi="Times New Roman"/>
          <w:b w:val="0"/>
          <w:i/>
          <w:color w:val="auto"/>
          <w:sz w:val="22"/>
          <w:szCs w:val="22"/>
          <w:lang w:val="bg-BG" w:eastAsia="bg-BG"/>
        </w:rPr>
        <w:t xml:space="preserve"> емисии на ПГ (без сектор “</w:t>
      </w:r>
      <w:proofErr w:type="spellStart"/>
      <w:r w:rsidR="0042190C" w:rsidRPr="006F72FF">
        <w:rPr>
          <w:rFonts w:ascii="Times New Roman" w:eastAsia="Times New Roman" w:hAnsi="Times New Roman"/>
          <w:b w:val="0"/>
          <w:i/>
          <w:color w:val="auto"/>
          <w:sz w:val="22"/>
          <w:szCs w:val="22"/>
          <w:lang w:val="bg-BG" w:eastAsia="bg-BG"/>
        </w:rPr>
        <w:t>Земеползване</w:t>
      </w:r>
      <w:proofErr w:type="spellEnd"/>
      <w:r w:rsidR="0042190C" w:rsidRPr="006F72FF">
        <w:rPr>
          <w:rFonts w:ascii="Times New Roman" w:eastAsia="Times New Roman" w:hAnsi="Times New Roman"/>
          <w:b w:val="0"/>
          <w:i/>
          <w:color w:val="auto"/>
          <w:sz w:val="22"/>
          <w:szCs w:val="22"/>
          <w:lang w:val="bg-BG" w:eastAsia="bg-BG"/>
        </w:rPr>
        <w:t xml:space="preserve">, промяна в </w:t>
      </w:r>
      <w:proofErr w:type="spellStart"/>
      <w:r w:rsidR="0042190C" w:rsidRPr="006F72FF">
        <w:rPr>
          <w:rFonts w:ascii="Times New Roman" w:eastAsia="Times New Roman" w:hAnsi="Times New Roman"/>
          <w:b w:val="0"/>
          <w:i/>
          <w:color w:val="auto"/>
          <w:sz w:val="22"/>
          <w:szCs w:val="22"/>
          <w:lang w:val="bg-BG" w:eastAsia="bg-BG"/>
        </w:rPr>
        <w:t>земеползването</w:t>
      </w:r>
      <w:proofErr w:type="spellEnd"/>
      <w:r w:rsidR="0042190C" w:rsidRPr="006F72FF">
        <w:rPr>
          <w:rFonts w:ascii="Times New Roman" w:eastAsia="Times New Roman" w:hAnsi="Times New Roman"/>
          <w:b w:val="0"/>
          <w:i/>
          <w:color w:val="auto"/>
          <w:sz w:val="22"/>
          <w:szCs w:val="22"/>
          <w:lang w:val="bg-BG" w:eastAsia="bg-BG"/>
        </w:rPr>
        <w:t xml:space="preserve"> и горско стопанство”), </w:t>
      </w:r>
      <w:proofErr w:type="spellStart"/>
      <w:r w:rsidR="0042190C" w:rsidRPr="006F72FF">
        <w:rPr>
          <w:rFonts w:ascii="Times New Roman" w:eastAsia="Times New Roman" w:hAnsi="Times New Roman"/>
          <w:b w:val="0"/>
          <w:i/>
          <w:color w:val="auto"/>
          <w:sz w:val="22"/>
          <w:szCs w:val="22"/>
          <w:lang w:val="bg-BG" w:eastAsia="bg-BG"/>
        </w:rPr>
        <w:t>Gg</w:t>
      </w:r>
      <w:proofErr w:type="spellEnd"/>
      <w:r w:rsidR="0042190C" w:rsidRPr="006F72FF">
        <w:rPr>
          <w:rFonts w:ascii="Times New Roman" w:eastAsia="Times New Roman" w:hAnsi="Times New Roman"/>
          <w:b w:val="0"/>
          <w:i/>
          <w:color w:val="auto"/>
          <w:sz w:val="22"/>
          <w:szCs w:val="22"/>
          <w:lang w:val="bg-BG" w:eastAsia="bg-BG"/>
        </w:rPr>
        <w:t xml:space="preserve"> CO2-екв. и дял в проценти на общите годишни емисии спрямо базовата година</w:t>
      </w:r>
      <w:bookmarkEnd w:id="32"/>
      <w:bookmarkEnd w:id="33"/>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695"/>
        <w:gridCol w:w="1215"/>
        <w:gridCol w:w="1140"/>
        <w:gridCol w:w="1140"/>
        <w:gridCol w:w="1020"/>
        <w:gridCol w:w="735"/>
        <w:gridCol w:w="780"/>
        <w:gridCol w:w="1290"/>
        <w:gridCol w:w="1020"/>
      </w:tblGrid>
      <w:tr w:rsidR="008B1EFF" w14:paraId="7D93BEAC" w14:textId="77777777" w:rsidTr="00F74A49">
        <w:tc>
          <w:tcPr>
            <w:tcW w:w="1695" w:type="dxa"/>
            <w:shd w:val="clear" w:color="auto" w:fill="auto"/>
            <w:noWrap/>
            <w:tcMar>
              <w:top w:w="15" w:type="dxa"/>
              <w:left w:w="15" w:type="dxa"/>
              <w:bottom w:w="15" w:type="dxa"/>
              <w:right w:w="15" w:type="dxa"/>
            </w:tcMar>
            <w:vAlign w:val="center"/>
          </w:tcPr>
          <w:p w14:paraId="6147B18F" w14:textId="77777777" w:rsidR="008B1EFF" w:rsidRDefault="0042190C">
            <w:pPr>
              <w:pStyle w:val="a0"/>
              <w:spacing w:before="120"/>
              <w:jc w:val="center"/>
            </w:pPr>
            <w:r>
              <w:rPr>
                <w:rStyle w:val="a1"/>
                <w:b/>
                <w:bCs/>
                <w:sz w:val="20"/>
                <w:szCs w:val="20"/>
              </w:rPr>
              <w:t>Парникови газове/години</w:t>
            </w:r>
          </w:p>
        </w:tc>
        <w:tc>
          <w:tcPr>
            <w:tcW w:w="1215" w:type="dxa"/>
            <w:shd w:val="clear" w:color="auto" w:fill="auto"/>
            <w:noWrap/>
            <w:tcMar>
              <w:top w:w="15" w:type="dxa"/>
              <w:left w:w="15" w:type="dxa"/>
              <w:bottom w:w="15" w:type="dxa"/>
              <w:right w:w="15" w:type="dxa"/>
            </w:tcMar>
            <w:vAlign w:val="center"/>
          </w:tcPr>
          <w:p w14:paraId="1673B503" w14:textId="77777777" w:rsidR="008B1EFF" w:rsidRDefault="0042190C">
            <w:pPr>
              <w:pStyle w:val="a0"/>
              <w:spacing w:before="120"/>
              <w:jc w:val="center"/>
            </w:pPr>
            <w:r>
              <w:rPr>
                <w:rStyle w:val="a1"/>
                <w:b/>
                <w:bCs/>
                <w:sz w:val="20"/>
                <w:szCs w:val="20"/>
              </w:rPr>
              <w:t>CO</w:t>
            </w:r>
            <w:r>
              <w:rPr>
                <w:rStyle w:val="a1"/>
                <w:b/>
                <w:bCs/>
                <w:sz w:val="20"/>
                <w:szCs w:val="20"/>
                <w:vertAlign w:val="subscript"/>
              </w:rPr>
              <w:t>2</w:t>
            </w:r>
          </w:p>
        </w:tc>
        <w:tc>
          <w:tcPr>
            <w:tcW w:w="1140" w:type="dxa"/>
            <w:shd w:val="clear" w:color="auto" w:fill="auto"/>
            <w:noWrap/>
            <w:tcMar>
              <w:top w:w="15" w:type="dxa"/>
              <w:left w:w="15" w:type="dxa"/>
              <w:bottom w:w="15" w:type="dxa"/>
              <w:right w:w="15" w:type="dxa"/>
            </w:tcMar>
            <w:vAlign w:val="center"/>
          </w:tcPr>
          <w:p w14:paraId="6FF3E371" w14:textId="77777777" w:rsidR="008B1EFF" w:rsidRDefault="0042190C">
            <w:pPr>
              <w:pStyle w:val="a0"/>
              <w:spacing w:before="120"/>
              <w:jc w:val="center"/>
            </w:pPr>
            <w:r>
              <w:rPr>
                <w:rStyle w:val="a1"/>
                <w:b/>
                <w:bCs/>
                <w:sz w:val="20"/>
                <w:szCs w:val="20"/>
              </w:rPr>
              <w:t>CH</w:t>
            </w:r>
            <w:r>
              <w:rPr>
                <w:rStyle w:val="a1"/>
                <w:b/>
                <w:bCs/>
                <w:sz w:val="20"/>
                <w:szCs w:val="20"/>
                <w:vertAlign w:val="subscript"/>
              </w:rPr>
              <w:t>4</w:t>
            </w:r>
          </w:p>
        </w:tc>
        <w:tc>
          <w:tcPr>
            <w:tcW w:w="1140" w:type="dxa"/>
            <w:shd w:val="clear" w:color="auto" w:fill="auto"/>
            <w:noWrap/>
            <w:tcMar>
              <w:top w:w="15" w:type="dxa"/>
              <w:left w:w="15" w:type="dxa"/>
              <w:bottom w:w="15" w:type="dxa"/>
              <w:right w:w="15" w:type="dxa"/>
            </w:tcMar>
            <w:vAlign w:val="center"/>
          </w:tcPr>
          <w:p w14:paraId="7A695E75" w14:textId="77777777" w:rsidR="008B1EFF" w:rsidRDefault="0042190C">
            <w:pPr>
              <w:pStyle w:val="a0"/>
              <w:spacing w:before="120"/>
              <w:jc w:val="center"/>
            </w:pPr>
            <w:r>
              <w:rPr>
                <w:rStyle w:val="a1"/>
                <w:b/>
                <w:bCs/>
                <w:sz w:val="20"/>
                <w:szCs w:val="20"/>
              </w:rPr>
              <w:t>N</w:t>
            </w:r>
            <w:r>
              <w:rPr>
                <w:rStyle w:val="a1"/>
                <w:b/>
                <w:bCs/>
                <w:sz w:val="20"/>
                <w:szCs w:val="20"/>
                <w:vertAlign w:val="subscript"/>
              </w:rPr>
              <w:t>2</w:t>
            </w:r>
            <w:r>
              <w:rPr>
                <w:rStyle w:val="a1"/>
                <w:b/>
                <w:bCs/>
                <w:sz w:val="20"/>
                <w:szCs w:val="20"/>
              </w:rPr>
              <w:t>O</w:t>
            </w:r>
          </w:p>
        </w:tc>
        <w:tc>
          <w:tcPr>
            <w:tcW w:w="1020" w:type="dxa"/>
            <w:shd w:val="clear" w:color="auto" w:fill="auto"/>
            <w:noWrap/>
            <w:tcMar>
              <w:top w:w="15" w:type="dxa"/>
              <w:left w:w="15" w:type="dxa"/>
              <w:bottom w:w="15" w:type="dxa"/>
              <w:right w:w="15" w:type="dxa"/>
            </w:tcMar>
            <w:vAlign w:val="center"/>
          </w:tcPr>
          <w:p w14:paraId="3759AAD0" w14:textId="77777777" w:rsidR="008B1EFF" w:rsidRDefault="0042190C">
            <w:pPr>
              <w:pStyle w:val="a0"/>
              <w:spacing w:before="120"/>
              <w:jc w:val="center"/>
            </w:pPr>
            <w:proofErr w:type="spellStart"/>
            <w:r>
              <w:rPr>
                <w:rStyle w:val="a1"/>
                <w:b/>
                <w:bCs/>
                <w:sz w:val="20"/>
                <w:szCs w:val="20"/>
              </w:rPr>
              <w:t>HFCs</w:t>
            </w:r>
            <w:proofErr w:type="spellEnd"/>
          </w:p>
        </w:tc>
        <w:tc>
          <w:tcPr>
            <w:tcW w:w="735" w:type="dxa"/>
            <w:shd w:val="clear" w:color="auto" w:fill="auto"/>
            <w:noWrap/>
            <w:tcMar>
              <w:top w:w="15" w:type="dxa"/>
              <w:left w:w="15" w:type="dxa"/>
              <w:bottom w:w="15" w:type="dxa"/>
              <w:right w:w="15" w:type="dxa"/>
            </w:tcMar>
            <w:vAlign w:val="center"/>
          </w:tcPr>
          <w:p w14:paraId="05FAAE3B" w14:textId="77777777" w:rsidR="008B1EFF" w:rsidRDefault="0042190C">
            <w:pPr>
              <w:pStyle w:val="a0"/>
              <w:spacing w:before="120"/>
              <w:jc w:val="center"/>
            </w:pPr>
            <w:proofErr w:type="spellStart"/>
            <w:r>
              <w:rPr>
                <w:rStyle w:val="a1"/>
                <w:b/>
                <w:bCs/>
                <w:sz w:val="20"/>
                <w:szCs w:val="20"/>
              </w:rPr>
              <w:t>PFCs</w:t>
            </w:r>
            <w:proofErr w:type="spellEnd"/>
          </w:p>
        </w:tc>
        <w:tc>
          <w:tcPr>
            <w:tcW w:w="780" w:type="dxa"/>
            <w:shd w:val="clear" w:color="auto" w:fill="auto"/>
            <w:noWrap/>
            <w:tcMar>
              <w:top w:w="15" w:type="dxa"/>
              <w:left w:w="15" w:type="dxa"/>
              <w:bottom w:w="15" w:type="dxa"/>
              <w:right w:w="15" w:type="dxa"/>
            </w:tcMar>
            <w:vAlign w:val="center"/>
          </w:tcPr>
          <w:p w14:paraId="7CFAB78A" w14:textId="77777777" w:rsidR="008B1EFF" w:rsidRDefault="0042190C">
            <w:pPr>
              <w:pStyle w:val="a0"/>
              <w:spacing w:before="120"/>
              <w:jc w:val="center"/>
            </w:pPr>
            <w:r>
              <w:rPr>
                <w:rStyle w:val="a1"/>
                <w:b/>
                <w:bCs/>
                <w:sz w:val="20"/>
                <w:szCs w:val="20"/>
              </w:rPr>
              <w:t>SF</w:t>
            </w:r>
            <w:r>
              <w:rPr>
                <w:rStyle w:val="a1"/>
                <w:b/>
                <w:bCs/>
                <w:sz w:val="20"/>
                <w:szCs w:val="20"/>
                <w:vertAlign w:val="subscript"/>
              </w:rPr>
              <w:t>6</w:t>
            </w:r>
          </w:p>
        </w:tc>
        <w:tc>
          <w:tcPr>
            <w:tcW w:w="1290" w:type="dxa"/>
            <w:shd w:val="clear" w:color="auto" w:fill="auto"/>
            <w:noWrap/>
            <w:tcMar>
              <w:top w:w="15" w:type="dxa"/>
              <w:left w:w="15" w:type="dxa"/>
              <w:bottom w:w="15" w:type="dxa"/>
              <w:right w:w="15" w:type="dxa"/>
            </w:tcMar>
            <w:vAlign w:val="center"/>
          </w:tcPr>
          <w:p w14:paraId="39602C7C" w14:textId="77777777" w:rsidR="008B1EFF" w:rsidRDefault="0042190C">
            <w:pPr>
              <w:pStyle w:val="a0"/>
              <w:spacing w:before="120"/>
              <w:jc w:val="center"/>
            </w:pPr>
            <w:r>
              <w:rPr>
                <w:rStyle w:val="a1"/>
                <w:b/>
                <w:bCs/>
                <w:sz w:val="20"/>
                <w:szCs w:val="20"/>
              </w:rPr>
              <w:t>Общо</w:t>
            </w:r>
          </w:p>
        </w:tc>
        <w:tc>
          <w:tcPr>
            <w:tcW w:w="1020" w:type="dxa"/>
            <w:shd w:val="clear" w:color="auto" w:fill="auto"/>
            <w:noWrap/>
            <w:tcMar>
              <w:top w:w="15" w:type="dxa"/>
              <w:left w:w="15" w:type="dxa"/>
              <w:bottom w:w="15" w:type="dxa"/>
              <w:right w:w="15" w:type="dxa"/>
            </w:tcMar>
            <w:vAlign w:val="center"/>
          </w:tcPr>
          <w:p w14:paraId="3997548F" w14:textId="77777777" w:rsidR="008B1EFF" w:rsidRDefault="0042190C">
            <w:pPr>
              <w:pStyle w:val="a0"/>
              <w:spacing w:before="120"/>
              <w:jc w:val="center"/>
            </w:pPr>
            <w:r>
              <w:rPr>
                <w:rStyle w:val="a1"/>
                <w:b/>
                <w:bCs/>
                <w:sz w:val="20"/>
                <w:szCs w:val="20"/>
              </w:rPr>
              <w:t>Дял</w:t>
            </w:r>
          </w:p>
        </w:tc>
      </w:tr>
      <w:tr w:rsidR="008B1EFF" w14:paraId="234BEF52" w14:textId="77777777" w:rsidTr="00F74A49">
        <w:tc>
          <w:tcPr>
            <w:tcW w:w="1695" w:type="dxa"/>
            <w:shd w:val="clear" w:color="auto" w:fill="auto"/>
            <w:noWrap/>
            <w:tcMar>
              <w:top w:w="15" w:type="dxa"/>
              <w:left w:w="15" w:type="dxa"/>
              <w:bottom w:w="15" w:type="dxa"/>
              <w:right w:w="15" w:type="dxa"/>
            </w:tcMar>
            <w:vAlign w:val="center"/>
          </w:tcPr>
          <w:p w14:paraId="2806CCB0" w14:textId="77777777" w:rsidR="008B1EFF" w:rsidRDefault="0042190C">
            <w:pPr>
              <w:pStyle w:val="a0"/>
              <w:spacing w:before="120"/>
              <w:jc w:val="center"/>
            </w:pPr>
            <w:r>
              <w:rPr>
                <w:rStyle w:val="a1"/>
                <w:b/>
                <w:bCs/>
                <w:sz w:val="20"/>
                <w:szCs w:val="20"/>
              </w:rPr>
              <w:t>1988</w:t>
            </w:r>
          </w:p>
        </w:tc>
        <w:tc>
          <w:tcPr>
            <w:tcW w:w="1215" w:type="dxa"/>
            <w:shd w:val="clear" w:color="auto" w:fill="auto"/>
            <w:noWrap/>
            <w:tcMar>
              <w:top w:w="15" w:type="dxa"/>
              <w:left w:w="15" w:type="dxa"/>
              <w:bottom w:w="15" w:type="dxa"/>
              <w:right w:w="15" w:type="dxa"/>
            </w:tcMar>
            <w:vAlign w:val="center"/>
          </w:tcPr>
          <w:p w14:paraId="27E74DB0" w14:textId="77777777" w:rsidR="008B1EFF" w:rsidRDefault="0042190C">
            <w:pPr>
              <w:pStyle w:val="a0"/>
              <w:spacing w:before="120"/>
              <w:jc w:val="center"/>
              <w:rPr>
                <w:sz w:val="20"/>
                <w:szCs w:val="20"/>
              </w:rPr>
            </w:pPr>
            <w:r>
              <w:rPr>
                <w:sz w:val="20"/>
                <w:szCs w:val="20"/>
              </w:rPr>
              <w:t>89606,70</w:t>
            </w:r>
          </w:p>
        </w:tc>
        <w:tc>
          <w:tcPr>
            <w:tcW w:w="1140" w:type="dxa"/>
            <w:shd w:val="clear" w:color="auto" w:fill="auto"/>
            <w:noWrap/>
            <w:tcMar>
              <w:top w:w="15" w:type="dxa"/>
              <w:left w:w="15" w:type="dxa"/>
              <w:bottom w:w="15" w:type="dxa"/>
              <w:right w:w="15" w:type="dxa"/>
            </w:tcMar>
            <w:vAlign w:val="center"/>
          </w:tcPr>
          <w:p w14:paraId="6F9C12EE" w14:textId="77777777" w:rsidR="008B1EFF" w:rsidRDefault="0042190C">
            <w:pPr>
              <w:pStyle w:val="a0"/>
              <w:spacing w:before="120"/>
              <w:jc w:val="center"/>
              <w:rPr>
                <w:sz w:val="20"/>
                <w:szCs w:val="20"/>
              </w:rPr>
            </w:pPr>
            <w:r>
              <w:rPr>
                <w:sz w:val="20"/>
                <w:szCs w:val="20"/>
              </w:rPr>
              <w:t>16638,29</w:t>
            </w:r>
          </w:p>
        </w:tc>
        <w:tc>
          <w:tcPr>
            <w:tcW w:w="1140" w:type="dxa"/>
            <w:shd w:val="clear" w:color="auto" w:fill="auto"/>
            <w:noWrap/>
            <w:tcMar>
              <w:top w:w="15" w:type="dxa"/>
              <w:left w:w="15" w:type="dxa"/>
              <w:bottom w:w="15" w:type="dxa"/>
              <w:right w:w="15" w:type="dxa"/>
            </w:tcMar>
            <w:vAlign w:val="center"/>
          </w:tcPr>
          <w:p w14:paraId="518F24ED" w14:textId="77777777" w:rsidR="008B1EFF" w:rsidRDefault="0042190C">
            <w:pPr>
              <w:pStyle w:val="a0"/>
              <w:spacing w:before="120"/>
              <w:jc w:val="center"/>
              <w:rPr>
                <w:sz w:val="20"/>
                <w:szCs w:val="20"/>
              </w:rPr>
            </w:pPr>
            <w:r>
              <w:rPr>
                <w:sz w:val="20"/>
                <w:szCs w:val="20"/>
              </w:rPr>
              <w:t>10506,22</w:t>
            </w:r>
          </w:p>
        </w:tc>
        <w:tc>
          <w:tcPr>
            <w:tcW w:w="1020" w:type="dxa"/>
            <w:shd w:val="clear" w:color="auto" w:fill="auto"/>
            <w:noWrap/>
            <w:tcMar>
              <w:top w:w="15" w:type="dxa"/>
              <w:left w:w="15" w:type="dxa"/>
              <w:bottom w:w="15" w:type="dxa"/>
              <w:right w:w="15" w:type="dxa"/>
            </w:tcMar>
            <w:vAlign w:val="center"/>
          </w:tcPr>
          <w:p w14:paraId="7B888AA9" w14:textId="77777777" w:rsidR="008B1EFF" w:rsidRDefault="0042190C">
            <w:pPr>
              <w:pStyle w:val="a0"/>
              <w:spacing w:before="120"/>
              <w:jc w:val="center"/>
              <w:rPr>
                <w:sz w:val="20"/>
                <w:szCs w:val="20"/>
              </w:rPr>
            </w:pPr>
            <w:r>
              <w:rPr>
                <w:sz w:val="20"/>
                <w:szCs w:val="20"/>
              </w:rPr>
              <w:t>0,00</w:t>
            </w:r>
          </w:p>
        </w:tc>
        <w:tc>
          <w:tcPr>
            <w:tcW w:w="735" w:type="dxa"/>
            <w:shd w:val="clear" w:color="auto" w:fill="auto"/>
            <w:noWrap/>
            <w:tcMar>
              <w:top w:w="15" w:type="dxa"/>
              <w:left w:w="15" w:type="dxa"/>
              <w:bottom w:w="15" w:type="dxa"/>
              <w:right w:w="15" w:type="dxa"/>
            </w:tcMar>
            <w:vAlign w:val="center"/>
          </w:tcPr>
          <w:p w14:paraId="403C6B2F" w14:textId="77777777" w:rsidR="008B1EFF" w:rsidRDefault="0042190C">
            <w:pPr>
              <w:pStyle w:val="a0"/>
              <w:spacing w:before="120"/>
              <w:jc w:val="center"/>
              <w:rPr>
                <w:sz w:val="20"/>
                <w:szCs w:val="20"/>
              </w:rPr>
            </w:pPr>
            <w:r>
              <w:rPr>
                <w:sz w:val="20"/>
                <w:szCs w:val="20"/>
              </w:rPr>
              <w:t>0,00</w:t>
            </w:r>
          </w:p>
        </w:tc>
        <w:tc>
          <w:tcPr>
            <w:tcW w:w="780" w:type="dxa"/>
            <w:shd w:val="clear" w:color="auto" w:fill="auto"/>
            <w:noWrap/>
            <w:tcMar>
              <w:top w:w="15" w:type="dxa"/>
              <w:left w:w="15" w:type="dxa"/>
              <w:bottom w:w="15" w:type="dxa"/>
              <w:right w:w="15" w:type="dxa"/>
            </w:tcMar>
            <w:vAlign w:val="center"/>
          </w:tcPr>
          <w:p w14:paraId="68E8B23A" w14:textId="77777777" w:rsidR="008B1EFF" w:rsidRDefault="0042190C">
            <w:pPr>
              <w:pStyle w:val="a0"/>
              <w:spacing w:before="120"/>
              <w:jc w:val="center"/>
              <w:rPr>
                <w:sz w:val="20"/>
                <w:szCs w:val="20"/>
              </w:rPr>
            </w:pPr>
            <w:r>
              <w:rPr>
                <w:sz w:val="20"/>
                <w:szCs w:val="20"/>
              </w:rPr>
              <w:t>3,30</w:t>
            </w:r>
          </w:p>
        </w:tc>
        <w:tc>
          <w:tcPr>
            <w:tcW w:w="1290" w:type="dxa"/>
            <w:shd w:val="clear" w:color="auto" w:fill="auto"/>
            <w:noWrap/>
            <w:tcMar>
              <w:top w:w="15" w:type="dxa"/>
              <w:left w:w="15" w:type="dxa"/>
              <w:bottom w:w="15" w:type="dxa"/>
              <w:right w:w="15" w:type="dxa"/>
            </w:tcMar>
            <w:vAlign w:val="center"/>
          </w:tcPr>
          <w:p w14:paraId="420A5833" w14:textId="77777777" w:rsidR="008B1EFF" w:rsidRDefault="0042190C">
            <w:pPr>
              <w:pStyle w:val="a0"/>
              <w:spacing w:before="120"/>
              <w:jc w:val="center"/>
              <w:rPr>
                <w:sz w:val="20"/>
                <w:szCs w:val="20"/>
              </w:rPr>
            </w:pPr>
            <w:r>
              <w:rPr>
                <w:sz w:val="20"/>
                <w:szCs w:val="20"/>
              </w:rPr>
              <w:t>116754,51</w:t>
            </w:r>
          </w:p>
        </w:tc>
        <w:tc>
          <w:tcPr>
            <w:tcW w:w="1020" w:type="dxa"/>
            <w:shd w:val="clear" w:color="auto" w:fill="auto"/>
            <w:noWrap/>
            <w:tcMar>
              <w:top w:w="15" w:type="dxa"/>
              <w:left w:w="15" w:type="dxa"/>
              <w:bottom w:w="15" w:type="dxa"/>
              <w:right w:w="15" w:type="dxa"/>
            </w:tcMar>
            <w:vAlign w:val="center"/>
          </w:tcPr>
          <w:p w14:paraId="21E68368" w14:textId="77777777" w:rsidR="008B1EFF" w:rsidRDefault="0042190C">
            <w:pPr>
              <w:pStyle w:val="a0"/>
              <w:spacing w:before="120"/>
              <w:jc w:val="center"/>
              <w:rPr>
                <w:sz w:val="20"/>
                <w:szCs w:val="20"/>
              </w:rPr>
            </w:pPr>
            <w:r>
              <w:rPr>
                <w:sz w:val="20"/>
                <w:szCs w:val="20"/>
              </w:rPr>
              <w:t>100%</w:t>
            </w:r>
          </w:p>
        </w:tc>
      </w:tr>
      <w:tr w:rsidR="008B1EFF" w14:paraId="7C94466F" w14:textId="77777777" w:rsidTr="00F74A49">
        <w:tc>
          <w:tcPr>
            <w:tcW w:w="1695" w:type="dxa"/>
            <w:shd w:val="clear" w:color="auto" w:fill="auto"/>
            <w:noWrap/>
            <w:tcMar>
              <w:top w:w="15" w:type="dxa"/>
              <w:left w:w="15" w:type="dxa"/>
              <w:bottom w:w="15" w:type="dxa"/>
              <w:right w:w="15" w:type="dxa"/>
            </w:tcMar>
            <w:vAlign w:val="center"/>
          </w:tcPr>
          <w:p w14:paraId="3328DBA8" w14:textId="77777777" w:rsidR="008B1EFF" w:rsidRDefault="0042190C">
            <w:pPr>
              <w:pStyle w:val="a0"/>
              <w:spacing w:before="120"/>
              <w:jc w:val="center"/>
            </w:pPr>
            <w:r>
              <w:rPr>
                <w:rStyle w:val="a1"/>
                <w:b/>
                <w:bCs/>
                <w:sz w:val="20"/>
                <w:szCs w:val="20"/>
              </w:rPr>
              <w:t>1990</w:t>
            </w:r>
          </w:p>
        </w:tc>
        <w:tc>
          <w:tcPr>
            <w:tcW w:w="1215" w:type="dxa"/>
            <w:shd w:val="clear" w:color="auto" w:fill="auto"/>
            <w:noWrap/>
            <w:tcMar>
              <w:top w:w="15" w:type="dxa"/>
              <w:left w:w="15" w:type="dxa"/>
              <w:bottom w:w="15" w:type="dxa"/>
              <w:right w:w="15" w:type="dxa"/>
            </w:tcMar>
            <w:vAlign w:val="center"/>
          </w:tcPr>
          <w:p w14:paraId="417F7EB8" w14:textId="77777777" w:rsidR="008B1EFF" w:rsidRDefault="0042190C">
            <w:pPr>
              <w:pStyle w:val="a0"/>
              <w:spacing w:before="120"/>
              <w:jc w:val="center"/>
              <w:rPr>
                <w:sz w:val="20"/>
                <w:szCs w:val="20"/>
              </w:rPr>
            </w:pPr>
            <w:r>
              <w:rPr>
                <w:sz w:val="20"/>
                <w:szCs w:val="20"/>
              </w:rPr>
              <w:t>76698,98</w:t>
            </w:r>
          </w:p>
        </w:tc>
        <w:tc>
          <w:tcPr>
            <w:tcW w:w="1140" w:type="dxa"/>
            <w:shd w:val="clear" w:color="auto" w:fill="auto"/>
            <w:noWrap/>
            <w:tcMar>
              <w:top w:w="15" w:type="dxa"/>
              <w:left w:w="15" w:type="dxa"/>
              <w:bottom w:w="15" w:type="dxa"/>
              <w:right w:w="15" w:type="dxa"/>
            </w:tcMar>
            <w:vAlign w:val="center"/>
          </w:tcPr>
          <w:p w14:paraId="532D25A5" w14:textId="77777777" w:rsidR="008B1EFF" w:rsidRDefault="0042190C">
            <w:pPr>
              <w:pStyle w:val="a0"/>
              <w:spacing w:before="120"/>
              <w:jc w:val="center"/>
              <w:rPr>
                <w:sz w:val="20"/>
                <w:szCs w:val="20"/>
              </w:rPr>
            </w:pPr>
            <w:r>
              <w:rPr>
                <w:sz w:val="20"/>
                <w:szCs w:val="20"/>
              </w:rPr>
              <w:t>15936,77</w:t>
            </w:r>
          </w:p>
        </w:tc>
        <w:tc>
          <w:tcPr>
            <w:tcW w:w="1140" w:type="dxa"/>
            <w:shd w:val="clear" w:color="auto" w:fill="auto"/>
            <w:noWrap/>
            <w:tcMar>
              <w:top w:w="15" w:type="dxa"/>
              <w:left w:w="15" w:type="dxa"/>
              <w:bottom w:w="15" w:type="dxa"/>
              <w:right w:w="15" w:type="dxa"/>
            </w:tcMar>
            <w:vAlign w:val="center"/>
          </w:tcPr>
          <w:p w14:paraId="060A0BC1" w14:textId="77777777" w:rsidR="008B1EFF" w:rsidRDefault="0042190C">
            <w:pPr>
              <w:pStyle w:val="a0"/>
              <w:spacing w:before="120"/>
              <w:jc w:val="center"/>
              <w:rPr>
                <w:sz w:val="20"/>
                <w:szCs w:val="20"/>
              </w:rPr>
            </w:pPr>
            <w:r>
              <w:rPr>
                <w:sz w:val="20"/>
                <w:szCs w:val="20"/>
              </w:rPr>
              <w:t>9154,90</w:t>
            </w:r>
          </w:p>
        </w:tc>
        <w:tc>
          <w:tcPr>
            <w:tcW w:w="1020" w:type="dxa"/>
            <w:shd w:val="clear" w:color="auto" w:fill="auto"/>
            <w:noWrap/>
            <w:tcMar>
              <w:top w:w="15" w:type="dxa"/>
              <w:left w:w="15" w:type="dxa"/>
              <w:bottom w:w="15" w:type="dxa"/>
              <w:right w:w="15" w:type="dxa"/>
            </w:tcMar>
            <w:vAlign w:val="center"/>
          </w:tcPr>
          <w:p w14:paraId="4A71924D" w14:textId="77777777" w:rsidR="008B1EFF" w:rsidRDefault="0042190C">
            <w:pPr>
              <w:pStyle w:val="a0"/>
              <w:spacing w:before="120"/>
              <w:jc w:val="center"/>
              <w:rPr>
                <w:sz w:val="20"/>
                <w:szCs w:val="20"/>
              </w:rPr>
            </w:pPr>
            <w:r>
              <w:rPr>
                <w:sz w:val="20"/>
                <w:szCs w:val="20"/>
              </w:rPr>
              <w:t>0,00</w:t>
            </w:r>
          </w:p>
        </w:tc>
        <w:tc>
          <w:tcPr>
            <w:tcW w:w="735" w:type="dxa"/>
            <w:shd w:val="clear" w:color="auto" w:fill="auto"/>
            <w:noWrap/>
            <w:tcMar>
              <w:top w:w="15" w:type="dxa"/>
              <w:left w:w="15" w:type="dxa"/>
              <w:bottom w:w="15" w:type="dxa"/>
              <w:right w:w="15" w:type="dxa"/>
            </w:tcMar>
            <w:vAlign w:val="center"/>
          </w:tcPr>
          <w:p w14:paraId="02066DBE" w14:textId="77777777" w:rsidR="008B1EFF" w:rsidRDefault="0042190C">
            <w:pPr>
              <w:pStyle w:val="a0"/>
              <w:spacing w:before="120"/>
              <w:jc w:val="center"/>
              <w:rPr>
                <w:sz w:val="20"/>
                <w:szCs w:val="20"/>
              </w:rPr>
            </w:pPr>
            <w:r>
              <w:rPr>
                <w:sz w:val="20"/>
                <w:szCs w:val="20"/>
              </w:rPr>
              <w:t>0,00</w:t>
            </w:r>
          </w:p>
        </w:tc>
        <w:tc>
          <w:tcPr>
            <w:tcW w:w="780" w:type="dxa"/>
            <w:shd w:val="clear" w:color="auto" w:fill="auto"/>
            <w:noWrap/>
            <w:tcMar>
              <w:top w:w="15" w:type="dxa"/>
              <w:left w:w="15" w:type="dxa"/>
              <w:bottom w:w="15" w:type="dxa"/>
              <w:right w:w="15" w:type="dxa"/>
            </w:tcMar>
            <w:vAlign w:val="center"/>
          </w:tcPr>
          <w:p w14:paraId="4BACB65D" w14:textId="77777777" w:rsidR="008B1EFF" w:rsidRDefault="0042190C">
            <w:pPr>
              <w:pStyle w:val="a0"/>
              <w:spacing w:before="120"/>
              <w:jc w:val="center"/>
              <w:rPr>
                <w:sz w:val="20"/>
                <w:szCs w:val="20"/>
              </w:rPr>
            </w:pPr>
            <w:r>
              <w:rPr>
                <w:sz w:val="20"/>
                <w:szCs w:val="20"/>
              </w:rPr>
              <w:t>3,69</w:t>
            </w:r>
          </w:p>
        </w:tc>
        <w:tc>
          <w:tcPr>
            <w:tcW w:w="1290" w:type="dxa"/>
            <w:shd w:val="clear" w:color="auto" w:fill="auto"/>
            <w:noWrap/>
            <w:tcMar>
              <w:top w:w="15" w:type="dxa"/>
              <w:left w:w="15" w:type="dxa"/>
              <w:bottom w:w="15" w:type="dxa"/>
              <w:right w:w="15" w:type="dxa"/>
            </w:tcMar>
            <w:vAlign w:val="center"/>
          </w:tcPr>
          <w:p w14:paraId="3BDCEB4C" w14:textId="77777777" w:rsidR="008B1EFF" w:rsidRDefault="0042190C">
            <w:pPr>
              <w:pStyle w:val="a0"/>
              <w:spacing w:before="120"/>
              <w:jc w:val="center"/>
              <w:rPr>
                <w:sz w:val="20"/>
                <w:szCs w:val="20"/>
              </w:rPr>
            </w:pPr>
            <w:r>
              <w:rPr>
                <w:sz w:val="20"/>
                <w:szCs w:val="20"/>
              </w:rPr>
              <w:t>101794,34</w:t>
            </w:r>
          </w:p>
        </w:tc>
        <w:tc>
          <w:tcPr>
            <w:tcW w:w="1020" w:type="dxa"/>
            <w:shd w:val="clear" w:color="auto" w:fill="auto"/>
            <w:noWrap/>
            <w:tcMar>
              <w:top w:w="15" w:type="dxa"/>
              <w:left w:w="15" w:type="dxa"/>
              <w:bottom w:w="15" w:type="dxa"/>
              <w:right w:w="15" w:type="dxa"/>
            </w:tcMar>
            <w:vAlign w:val="center"/>
          </w:tcPr>
          <w:p w14:paraId="253BA777" w14:textId="77777777" w:rsidR="008B1EFF" w:rsidRDefault="0042190C">
            <w:pPr>
              <w:pStyle w:val="a0"/>
              <w:spacing w:before="120"/>
              <w:jc w:val="center"/>
              <w:rPr>
                <w:sz w:val="20"/>
                <w:szCs w:val="20"/>
              </w:rPr>
            </w:pPr>
            <w:r>
              <w:rPr>
                <w:sz w:val="20"/>
                <w:szCs w:val="20"/>
              </w:rPr>
              <w:t>87%</w:t>
            </w:r>
          </w:p>
        </w:tc>
      </w:tr>
      <w:tr w:rsidR="008B1EFF" w14:paraId="01211A7D" w14:textId="77777777" w:rsidTr="00F74A49">
        <w:tc>
          <w:tcPr>
            <w:tcW w:w="1695" w:type="dxa"/>
            <w:shd w:val="clear" w:color="auto" w:fill="auto"/>
            <w:noWrap/>
            <w:tcMar>
              <w:top w:w="15" w:type="dxa"/>
              <w:left w:w="15" w:type="dxa"/>
              <w:bottom w:w="15" w:type="dxa"/>
              <w:right w:w="15" w:type="dxa"/>
            </w:tcMar>
            <w:vAlign w:val="center"/>
          </w:tcPr>
          <w:p w14:paraId="5F5F1818" w14:textId="77777777" w:rsidR="008B1EFF" w:rsidRDefault="0042190C">
            <w:pPr>
              <w:pStyle w:val="a0"/>
              <w:spacing w:before="120"/>
              <w:jc w:val="center"/>
            </w:pPr>
            <w:r>
              <w:rPr>
                <w:rStyle w:val="a1"/>
                <w:b/>
                <w:bCs/>
                <w:sz w:val="20"/>
                <w:szCs w:val="20"/>
              </w:rPr>
              <w:t>1995</w:t>
            </w:r>
          </w:p>
        </w:tc>
        <w:tc>
          <w:tcPr>
            <w:tcW w:w="1215" w:type="dxa"/>
            <w:shd w:val="clear" w:color="auto" w:fill="auto"/>
            <w:noWrap/>
            <w:tcMar>
              <w:top w:w="15" w:type="dxa"/>
              <w:left w:w="15" w:type="dxa"/>
              <w:bottom w:w="15" w:type="dxa"/>
              <w:right w:w="15" w:type="dxa"/>
            </w:tcMar>
            <w:vAlign w:val="center"/>
          </w:tcPr>
          <w:p w14:paraId="5E2C2FA7" w14:textId="77777777" w:rsidR="008B1EFF" w:rsidRDefault="0042190C">
            <w:pPr>
              <w:pStyle w:val="a0"/>
              <w:spacing w:before="120"/>
              <w:jc w:val="center"/>
              <w:rPr>
                <w:sz w:val="20"/>
                <w:szCs w:val="20"/>
              </w:rPr>
            </w:pPr>
            <w:r>
              <w:rPr>
                <w:sz w:val="20"/>
                <w:szCs w:val="20"/>
              </w:rPr>
              <w:t>57716,37</w:t>
            </w:r>
          </w:p>
        </w:tc>
        <w:tc>
          <w:tcPr>
            <w:tcW w:w="1140" w:type="dxa"/>
            <w:shd w:val="clear" w:color="auto" w:fill="auto"/>
            <w:noWrap/>
            <w:tcMar>
              <w:top w:w="15" w:type="dxa"/>
              <w:left w:w="15" w:type="dxa"/>
              <w:bottom w:w="15" w:type="dxa"/>
              <w:right w:w="15" w:type="dxa"/>
            </w:tcMar>
            <w:vAlign w:val="center"/>
          </w:tcPr>
          <w:p w14:paraId="602CF8D3" w14:textId="77777777" w:rsidR="008B1EFF" w:rsidRDefault="0042190C">
            <w:pPr>
              <w:pStyle w:val="a0"/>
              <w:spacing w:before="120"/>
              <w:jc w:val="center"/>
              <w:rPr>
                <w:sz w:val="20"/>
                <w:szCs w:val="20"/>
              </w:rPr>
            </w:pPr>
            <w:r>
              <w:rPr>
                <w:sz w:val="20"/>
                <w:szCs w:val="20"/>
              </w:rPr>
              <w:t>11744,36</w:t>
            </w:r>
          </w:p>
        </w:tc>
        <w:tc>
          <w:tcPr>
            <w:tcW w:w="1140" w:type="dxa"/>
            <w:shd w:val="clear" w:color="auto" w:fill="auto"/>
            <w:noWrap/>
            <w:tcMar>
              <w:top w:w="15" w:type="dxa"/>
              <w:left w:w="15" w:type="dxa"/>
              <w:bottom w:w="15" w:type="dxa"/>
              <w:right w:w="15" w:type="dxa"/>
            </w:tcMar>
            <w:vAlign w:val="center"/>
          </w:tcPr>
          <w:p w14:paraId="3852AAB8" w14:textId="77777777" w:rsidR="008B1EFF" w:rsidRDefault="0042190C">
            <w:pPr>
              <w:pStyle w:val="a0"/>
              <w:spacing w:before="120"/>
              <w:jc w:val="center"/>
              <w:rPr>
                <w:sz w:val="20"/>
                <w:szCs w:val="20"/>
              </w:rPr>
            </w:pPr>
            <w:r>
              <w:rPr>
                <w:sz w:val="20"/>
                <w:szCs w:val="20"/>
              </w:rPr>
              <w:t>5145,59</w:t>
            </w:r>
          </w:p>
        </w:tc>
        <w:tc>
          <w:tcPr>
            <w:tcW w:w="1020" w:type="dxa"/>
            <w:shd w:val="clear" w:color="auto" w:fill="auto"/>
            <w:noWrap/>
            <w:tcMar>
              <w:top w:w="15" w:type="dxa"/>
              <w:left w:w="15" w:type="dxa"/>
              <w:bottom w:w="15" w:type="dxa"/>
              <w:right w:w="15" w:type="dxa"/>
            </w:tcMar>
            <w:vAlign w:val="center"/>
          </w:tcPr>
          <w:p w14:paraId="566C162E" w14:textId="77777777" w:rsidR="008B1EFF" w:rsidRDefault="0042190C">
            <w:pPr>
              <w:pStyle w:val="a0"/>
              <w:spacing w:before="120"/>
              <w:jc w:val="center"/>
              <w:rPr>
                <w:sz w:val="20"/>
                <w:szCs w:val="20"/>
              </w:rPr>
            </w:pPr>
            <w:r>
              <w:rPr>
                <w:sz w:val="20"/>
                <w:szCs w:val="20"/>
              </w:rPr>
              <w:t>3,33</w:t>
            </w:r>
          </w:p>
        </w:tc>
        <w:tc>
          <w:tcPr>
            <w:tcW w:w="735" w:type="dxa"/>
            <w:shd w:val="clear" w:color="auto" w:fill="auto"/>
            <w:noWrap/>
            <w:tcMar>
              <w:top w:w="15" w:type="dxa"/>
              <w:left w:w="15" w:type="dxa"/>
              <w:bottom w:w="15" w:type="dxa"/>
              <w:right w:w="15" w:type="dxa"/>
            </w:tcMar>
            <w:vAlign w:val="center"/>
          </w:tcPr>
          <w:p w14:paraId="0B9BCB8A" w14:textId="77777777" w:rsidR="008B1EFF" w:rsidRDefault="0042190C">
            <w:pPr>
              <w:pStyle w:val="a0"/>
              <w:spacing w:before="120"/>
              <w:jc w:val="center"/>
              <w:rPr>
                <w:sz w:val="20"/>
                <w:szCs w:val="20"/>
              </w:rPr>
            </w:pPr>
            <w:r>
              <w:rPr>
                <w:sz w:val="20"/>
                <w:szCs w:val="20"/>
              </w:rPr>
              <w:t>0,00</w:t>
            </w:r>
          </w:p>
        </w:tc>
        <w:tc>
          <w:tcPr>
            <w:tcW w:w="780" w:type="dxa"/>
            <w:shd w:val="clear" w:color="auto" w:fill="auto"/>
            <w:noWrap/>
            <w:tcMar>
              <w:top w:w="15" w:type="dxa"/>
              <w:left w:w="15" w:type="dxa"/>
              <w:bottom w:w="15" w:type="dxa"/>
              <w:right w:w="15" w:type="dxa"/>
            </w:tcMar>
            <w:vAlign w:val="center"/>
          </w:tcPr>
          <w:p w14:paraId="72DC2507" w14:textId="77777777" w:rsidR="008B1EFF" w:rsidRDefault="0042190C">
            <w:pPr>
              <w:pStyle w:val="a0"/>
              <w:spacing w:before="120"/>
              <w:jc w:val="center"/>
              <w:rPr>
                <w:sz w:val="20"/>
                <w:szCs w:val="20"/>
              </w:rPr>
            </w:pPr>
            <w:r>
              <w:rPr>
                <w:sz w:val="20"/>
                <w:szCs w:val="20"/>
              </w:rPr>
              <w:t>4,90</w:t>
            </w:r>
          </w:p>
        </w:tc>
        <w:tc>
          <w:tcPr>
            <w:tcW w:w="1290" w:type="dxa"/>
            <w:shd w:val="clear" w:color="auto" w:fill="auto"/>
            <w:noWrap/>
            <w:tcMar>
              <w:top w:w="15" w:type="dxa"/>
              <w:left w:w="15" w:type="dxa"/>
              <w:bottom w:w="15" w:type="dxa"/>
              <w:right w:w="15" w:type="dxa"/>
            </w:tcMar>
            <w:vAlign w:val="center"/>
          </w:tcPr>
          <w:p w14:paraId="02856AB8" w14:textId="77777777" w:rsidR="008B1EFF" w:rsidRDefault="0042190C">
            <w:pPr>
              <w:pStyle w:val="a0"/>
              <w:spacing w:before="120"/>
              <w:jc w:val="center"/>
              <w:rPr>
                <w:sz w:val="20"/>
                <w:szCs w:val="20"/>
              </w:rPr>
            </w:pPr>
            <w:r>
              <w:rPr>
                <w:sz w:val="20"/>
                <w:szCs w:val="20"/>
              </w:rPr>
              <w:t>74614,54</w:t>
            </w:r>
          </w:p>
        </w:tc>
        <w:tc>
          <w:tcPr>
            <w:tcW w:w="1020" w:type="dxa"/>
            <w:shd w:val="clear" w:color="auto" w:fill="auto"/>
            <w:noWrap/>
            <w:tcMar>
              <w:top w:w="15" w:type="dxa"/>
              <w:left w:w="15" w:type="dxa"/>
              <w:bottom w:w="15" w:type="dxa"/>
              <w:right w:w="15" w:type="dxa"/>
            </w:tcMar>
            <w:vAlign w:val="center"/>
          </w:tcPr>
          <w:p w14:paraId="535BBAFB" w14:textId="77777777" w:rsidR="008B1EFF" w:rsidRDefault="0042190C">
            <w:pPr>
              <w:pStyle w:val="a0"/>
              <w:spacing w:before="120"/>
              <w:jc w:val="center"/>
              <w:rPr>
                <w:sz w:val="20"/>
                <w:szCs w:val="20"/>
              </w:rPr>
            </w:pPr>
            <w:r>
              <w:rPr>
                <w:sz w:val="20"/>
                <w:szCs w:val="20"/>
              </w:rPr>
              <w:t>64%</w:t>
            </w:r>
          </w:p>
        </w:tc>
      </w:tr>
      <w:tr w:rsidR="008B1EFF" w14:paraId="636705A6" w14:textId="77777777" w:rsidTr="00F74A49">
        <w:tc>
          <w:tcPr>
            <w:tcW w:w="1695" w:type="dxa"/>
            <w:shd w:val="clear" w:color="auto" w:fill="auto"/>
            <w:noWrap/>
            <w:tcMar>
              <w:top w:w="15" w:type="dxa"/>
              <w:left w:w="15" w:type="dxa"/>
              <w:bottom w:w="15" w:type="dxa"/>
              <w:right w:w="15" w:type="dxa"/>
            </w:tcMar>
            <w:vAlign w:val="center"/>
          </w:tcPr>
          <w:p w14:paraId="6E01D5B8" w14:textId="77777777" w:rsidR="008B1EFF" w:rsidRDefault="0042190C">
            <w:pPr>
              <w:pStyle w:val="a0"/>
              <w:spacing w:before="120"/>
              <w:jc w:val="center"/>
            </w:pPr>
            <w:r>
              <w:rPr>
                <w:rStyle w:val="a1"/>
                <w:b/>
                <w:bCs/>
                <w:sz w:val="20"/>
                <w:szCs w:val="20"/>
              </w:rPr>
              <w:t>2000</w:t>
            </w:r>
          </w:p>
        </w:tc>
        <w:tc>
          <w:tcPr>
            <w:tcW w:w="1215" w:type="dxa"/>
            <w:shd w:val="clear" w:color="auto" w:fill="auto"/>
            <w:noWrap/>
            <w:tcMar>
              <w:top w:w="15" w:type="dxa"/>
              <w:left w:w="15" w:type="dxa"/>
              <w:bottom w:w="15" w:type="dxa"/>
              <w:right w:w="15" w:type="dxa"/>
            </w:tcMar>
            <w:vAlign w:val="center"/>
          </w:tcPr>
          <w:p w14:paraId="5770E968" w14:textId="77777777" w:rsidR="008B1EFF" w:rsidRDefault="0042190C">
            <w:pPr>
              <w:pStyle w:val="a0"/>
              <w:spacing w:before="120"/>
              <w:jc w:val="center"/>
              <w:rPr>
                <w:sz w:val="20"/>
                <w:szCs w:val="20"/>
              </w:rPr>
            </w:pPr>
            <w:r>
              <w:rPr>
                <w:sz w:val="20"/>
                <w:szCs w:val="20"/>
              </w:rPr>
              <w:t>45305,03</w:t>
            </w:r>
          </w:p>
        </w:tc>
        <w:tc>
          <w:tcPr>
            <w:tcW w:w="1140" w:type="dxa"/>
            <w:shd w:val="clear" w:color="auto" w:fill="auto"/>
            <w:noWrap/>
            <w:tcMar>
              <w:top w:w="15" w:type="dxa"/>
              <w:left w:w="15" w:type="dxa"/>
              <w:bottom w:w="15" w:type="dxa"/>
              <w:right w:w="15" w:type="dxa"/>
            </w:tcMar>
            <w:vAlign w:val="center"/>
          </w:tcPr>
          <w:p w14:paraId="21B72003" w14:textId="77777777" w:rsidR="008B1EFF" w:rsidRDefault="0042190C">
            <w:pPr>
              <w:pStyle w:val="a0"/>
              <w:spacing w:before="120"/>
              <w:jc w:val="center"/>
              <w:rPr>
                <w:sz w:val="20"/>
                <w:szCs w:val="20"/>
              </w:rPr>
            </w:pPr>
            <w:r>
              <w:rPr>
                <w:sz w:val="20"/>
                <w:szCs w:val="20"/>
              </w:rPr>
              <w:t>10068,65</w:t>
            </w:r>
          </w:p>
        </w:tc>
        <w:tc>
          <w:tcPr>
            <w:tcW w:w="1140" w:type="dxa"/>
            <w:shd w:val="clear" w:color="auto" w:fill="auto"/>
            <w:noWrap/>
            <w:tcMar>
              <w:top w:w="15" w:type="dxa"/>
              <w:left w:w="15" w:type="dxa"/>
              <w:bottom w:w="15" w:type="dxa"/>
              <w:right w:w="15" w:type="dxa"/>
            </w:tcMar>
            <w:vAlign w:val="center"/>
          </w:tcPr>
          <w:p w14:paraId="0953D5C8" w14:textId="77777777" w:rsidR="008B1EFF" w:rsidRDefault="0042190C">
            <w:pPr>
              <w:pStyle w:val="a0"/>
              <w:spacing w:before="120"/>
              <w:jc w:val="center"/>
              <w:rPr>
                <w:sz w:val="20"/>
                <w:szCs w:val="20"/>
              </w:rPr>
            </w:pPr>
            <w:r>
              <w:rPr>
                <w:sz w:val="20"/>
                <w:szCs w:val="20"/>
              </w:rPr>
              <w:t>4166,83</w:t>
            </w:r>
          </w:p>
        </w:tc>
        <w:tc>
          <w:tcPr>
            <w:tcW w:w="1020" w:type="dxa"/>
            <w:shd w:val="clear" w:color="auto" w:fill="auto"/>
            <w:noWrap/>
            <w:tcMar>
              <w:top w:w="15" w:type="dxa"/>
              <w:left w:w="15" w:type="dxa"/>
              <w:bottom w:w="15" w:type="dxa"/>
              <w:right w:w="15" w:type="dxa"/>
            </w:tcMar>
            <w:vAlign w:val="center"/>
          </w:tcPr>
          <w:p w14:paraId="703D0018" w14:textId="77777777" w:rsidR="008B1EFF" w:rsidRDefault="0042190C">
            <w:pPr>
              <w:pStyle w:val="a0"/>
              <w:spacing w:before="120"/>
              <w:jc w:val="center"/>
              <w:rPr>
                <w:sz w:val="20"/>
                <w:szCs w:val="20"/>
              </w:rPr>
            </w:pPr>
            <w:r>
              <w:rPr>
                <w:sz w:val="20"/>
                <w:szCs w:val="20"/>
              </w:rPr>
              <w:t>33,02</w:t>
            </w:r>
          </w:p>
        </w:tc>
        <w:tc>
          <w:tcPr>
            <w:tcW w:w="735" w:type="dxa"/>
            <w:shd w:val="clear" w:color="auto" w:fill="auto"/>
            <w:noWrap/>
            <w:tcMar>
              <w:top w:w="15" w:type="dxa"/>
              <w:left w:w="15" w:type="dxa"/>
              <w:bottom w:w="15" w:type="dxa"/>
              <w:right w:w="15" w:type="dxa"/>
            </w:tcMar>
            <w:vAlign w:val="center"/>
          </w:tcPr>
          <w:p w14:paraId="6F397986" w14:textId="77777777" w:rsidR="008B1EFF" w:rsidRDefault="0042190C">
            <w:pPr>
              <w:pStyle w:val="a0"/>
              <w:spacing w:before="120"/>
              <w:jc w:val="center"/>
              <w:rPr>
                <w:sz w:val="20"/>
                <w:szCs w:val="20"/>
              </w:rPr>
            </w:pPr>
            <w:r>
              <w:rPr>
                <w:sz w:val="20"/>
                <w:szCs w:val="20"/>
              </w:rPr>
              <w:t>0,00</w:t>
            </w:r>
          </w:p>
        </w:tc>
        <w:tc>
          <w:tcPr>
            <w:tcW w:w="780" w:type="dxa"/>
            <w:shd w:val="clear" w:color="auto" w:fill="auto"/>
            <w:noWrap/>
            <w:tcMar>
              <w:top w:w="15" w:type="dxa"/>
              <w:left w:w="15" w:type="dxa"/>
              <w:bottom w:w="15" w:type="dxa"/>
              <w:right w:w="15" w:type="dxa"/>
            </w:tcMar>
            <w:vAlign w:val="center"/>
          </w:tcPr>
          <w:p w14:paraId="0AF7FD99" w14:textId="77777777" w:rsidR="008B1EFF" w:rsidRDefault="0042190C">
            <w:pPr>
              <w:pStyle w:val="a0"/>
              <w:spacing w:before="120"/>
              <w:jc w:val="center"/>
              <w:rPr>
                <w:sz w:val="20"/>
                <w:szCs w:val="20"/>
              </w:rPr>
            </w:pPr>
            <w:r>
              <w:rPr>
                <w:sz w:val="20"/>
                <w:szCs w:val="20"/>
              </w:rPr>
              <w:t>6,49</w:t>
            </w:r>
          </w:p>
        </w:tc>
        <w:tc>
          <w:tcPr>
            <w:tcW w:w="1290" w:type="dxa"/>
            <w:shd w:val="clear" w:color="auto" w:fill="auto"/>
            <w:noWrap/>
            <w:tcMar>
              <w:top w:w="15" w:type="dxa"/>
              <w:left w:w="15" w:type="dxa"/>
              <w:bottom w:w="15" w:type="dxa"/>
              <w:right w:w="15" w:type="dxa"/>
            </w:tcMar>
            <w:vAlign w:val="center"/>
          </w:tcPr>
          <w:p w14:paraId="66C88A0E" w14:textId="77777777" w:rsidR="008B1EFF" w:rsidRDefault="0042190C">
            <w:pPr>
              <w:pStyle w:val="a0"/>
              <w:spacing w:before="120"/>
              <w:jc w:val="center"/>
              <w:rPr>
                <w:sz w:val="20"/>
                <w:szCs w:val="20"/>
              </w:rPr>
            </w:pPr>
            <w:r>
              <w:rPr>
                <w:sz w:val="20"/>
                <w:szCs w:val="20"/>
              </w:rPr>
              <w:t>59580,03</w:t>
            </w:r>
          </w:p>
        </w:tc>
        <w:tc>
          <w:tcPr>
            <w:tcW w:w="1020" w:type="dxa"/>
            <w:shd w:val="clear" w:color="auto" w:fill="auto"/>
            <w:noWrap/>
            <w:tcMar>
              <w:top w:w="15" w:type="dxa"/>
              <w:left w:w="15" w:type="dxa"/>
              <w:bottom w:w="15" w:type="dxa"/>
              <w:right w:w="15" w:type="dxa"/>
            </w:tcMar>
            <w:vAlign w:val="center"/>
          </w:tcPr>
          <w:p w14:paraId="3665331F" w14:textId="77777777" w:rsidR="008B1EFF" w:rsidRDefault="0042190C">
            <w:pPr>
              <w:pStyle w:val="a0"/>
              <w:spacing w:before="120"/>
              <w:jc w:val="center"/>
              <w:rPr>
                <w:sz w:val="20"/>
                <w:szCs w:val="20"/>
              </w:rPr>
            </w:pPr>
            <w:r>
              <w:rPr>
                <w:sz w:val="20"/>
                <w:szCs w:val="20"/>
              </w:rPr>
              <w:t>51%</w:t>
            </w:r>
          </w:p>
        </w:tc>
      </w:tr>
      <w:tr w:rsidR="008B1EFF" w14:paraId="1448D5F2" w14:textId="77777777" w:rsidTr="00F74A49">
        <w:tc>
          <w:tcPr>
            <w:tcW w:w="1695" w:type="dxa"/>
            <w:shd w:val="clear" w:color="auto" w:fill="auto"/>
            <w:noWrap/>
            <w:tcMar>
              <w:top w:w="15" w:type="dxa"/>
              <w:left w:w="15" w:type="dxa"/>
              <w:bottom w:w="15" w:type="dxa"/>
              <w:right w:w="15" w:type="dxa"/>
            </w:tcMar>
            <w:vAlign w:val="center"/>
          </w:tcPr>
          <w:p w14:paraId="0250A5E6" w14:textId="77777777" w:rsidR="008B1EFF" w:rsidRDefault="0042190C">
            <w:pPr>
              <w:pStyle w:val="a0"/>
              <w:spacing w:before="120"/>
              <w:jc w:val="center"/>
            </w:pPr>
            <w:r>
              <w:rPr>
                <w:rStyle w:val="a1"/>
                <w:b/>
                <w:bCs/>
                <w:sz w:val="20"/>
                <w:szCs w:val="20"/>
              </w:rPr>
              <w:t>2005</w:t>
            </w:r>
          </w:p>
        </w:tc>
        <w:tc>
          <w:tcPr>
            <w:tcW w:w="1215" w:type="dxa"/>
            <w:shd w:val="clear" w:color="auto" w:fill="auto"/>
            <w:noWrap/>
            <w:tcMar>
              <w:top w:w="15" w:type="dxa"/>
              <w:left w:w="15" w:type="dxa"/>
              <w:bottom w:w="15" w:type="dxa"/>
              <w:right w:w="15" w:type="dxa"/>
            </w:tcMar>
            <w:vAlign w:val="center"/>
          </w:tcPr>
          <w:p w14:paraId="6AF90DF1" w14:textId="77777777" w:rsidR="008B1EFF" w:rsidRDefault="0042190C">
            <w:pPr>
              <w:pStyle w:val="a0"/>
              <w:spacing w:before="120"/>
              <w:jc w:val="center"/>
              <w:rPr>
                <w:sz w:val="20"/>
                <w:szCs w:val="20"/>
              </w:rPr>
            </w:pPr>
            <w:r>
              <w:rPr>
                <w:sz w:val="20"/>
                <w:szCs w:val="20"/>
              </w:rPr>
              <w:t>50656,43</w:t>
            </w:r>
          </w:p>
        </w:tc>
        <w:tc>
          <w:tcPr>
            <w:tcW w:w="1140" w:type="dxa"/>
            <w:shd w:val="clear" w:color="auto" w:fill="auto"/>
            <w:noWrap/>
            <w:tcMar>
              <w:top w:w="15" w:type="dxa"/>
              <w:left w:w="15" w:type="dxa"/>
              <w:bottom w:w="15" w:type="dxa"/>
              <w:right w:w="15" w:type="dxa"/>
            </w:tcMar>
            <w:vAlign w:val="center"/>
          </w:tcPr>
          <w:p w14:paraId="6F98C8E4" w14:textId="77777777" w:rsidR="008B1EFF" w:rsidRDefault="0042190C">
            <w:pPr>
              <w:pStyle w:val="a0"/>
              <w:spacing w:before="120"/>
              <w:jc w:val="center"/>
              <w:rPr>
                <w:sz w:val="20"/>
                <w:szCs w:val="20"/>
              </w:rPr>
            </w:pPr>
            <w:r>
              <w:rPr>
                <w:sz w:val="20"/>
                <w:szCs w:val="20"/>
              </w:rPr>
              <w:t>8808,96</w:t>
            </w:r>
          </w:p>
        </w:tc>
        <w:tc>
          <w:tcPr>
            <w:tcW w:w="1140" w:type="dxa"/>
            <w:shd w:val="clear" w:color="auto" w:fill="auto"/>
            <w:noWrap/>
            <w:tcMar>
              <w:top w:w="15" w:type="dxa"/>
              <w:left w:w="15" w:type="dxa"/>
              <w:bottom w:w="15" w:type="dxa"/>
              <w:right w:w="15" w:type="dxa"/>
            </w:tcMar>
            <w:vAlign w:val="center"/>
          </w:tcPr>
          <w:p w14:paraId="535FCACA" w14:textId="77777777" w:rsidR="008B1EFF" w:rsidRDefault="0042190C">
            <w:pPr>
              <w:pStyle w:val="a0"/>
              <w:spacing w:before="120"/>
              <w:jc w:val="center"/>
              <w:rPr>
                <w:sz w:val="20"/>
                <w:szCs w:val="20"/>
              </w:rPr>
            </w:pPr>
            <w:r>
              <w:rPr>
                <w:sz w:val="20"/>
                <w:szCs w:val="20"/>
              </w:rPr>
              <w:t>4449,01</w:t>
            </w:r>
          </w:p>
        </w:tc>
        <w:tc>
          <w:tcPr>
            <w:tcW w:w="1020" w:type="dxa"/>
            <w:shd w:val="clear" w:color="auto" w:fill="auto"/>
            <w:noWrap/>
            <w:tcMar>
              <w:top w:w="15" w:type="dxa"/>
              <w:left w:w="15" w:type="dxa"/>
              <w:bottom w:w="15" w:type="dxa"/>
              <w:right w:w="15" w:type="dxa"/>
            </w:tcMar>
            <w:vAlign w:val="center"/>
          </w:tcPr>
          <w:p w14:paraId="1CF379E2" w14:textId="77777777" w:rsidR="008B1EFF" w:rsidRDefault="0042190C">
            <w:pPr>
              <w:pStyle w:val="a0"/>
              <w:spacing w:before="120"/>
              <w:jc w:val="center"/>
              <w:rPr>
                <w:sz w:val="20"/>
                <w:szCs w:val="20"/>
              </w:rPr>
            </w:pPr>
            <w:r>
              <w:rPr>
                <w:sz w:val="20"/>
                <w:szCs w:val="20"/>
              </w:rPr>
              <w:t>195,16</w:t>
            </w:r>
          </w:p>
        </w:tc>
        <w:tc>
          <w:tcPr>
            <w:tcW w:w="735" w:type="dxa"/>
            <w:shd w:val="clear" w:color="auto" w:fill="auto"/>
            <w:noWrap/>
            <w:tcMar>
              <w:top w:w="15" w:type="dxa"/>
              <w:left w:w="15" w:type="dxa"/>
              <w:bottom w:w="15" w:type="dxa"/>
              <w:right w:w="15" w:type="dxa"/>
            </w:tcMar>
            <w:vAlign w:val="center"/>
          </w:tcPr>
          <w:p w14:paraId="4397860E" w14:textId="77777777" w:rsidR="008B1EFF" w:rsidRDefault="0042190C">
            <w:pPr>
              <w:pStyle w:val="a0"/>
              <w:spacing w:before="120"/>
              <w:jc w:val="center"/>
              <w:rPr>
                <w:sz w:val="20"/>
                <w:szCs w:val="20"/>
              </w:rPr>
            </w:pPr>
            <w:r>
              <w:rPr>
                <w:sz w:val="20"/>
                <w:szCs w:val="20"/>
              </w:rPr>
              <w:t>0,00</w:t>
            </w:r>
          </w:p>
        </w:tc>
        <w:tc>
          <w:tcPr>
            <w:tcW w:w="780" w:type="dxa"/>
            <w:shd w:val="clear" w:color="auto" w:fill="auto"/>
            <w:noWrap/>
            <w:tcMar>
              <w:top w:w="15" w:type="dxa"/>
              <w:left w:w="15" w:type="dxa"/>
              <w:bottom w:w="15" w:type="dxa"/>
              <w:right w:w="15" w:type="dxa"/>
            </w:tcMar>
            <w:vAlign w:val="center"/>
          </w:tcPr>
          <w:p w14:paraId="26FE8E58" w14:textId="77777777" w:rsidR="008B1EFF" w:rsidRDefault="0042190C">
            <w:pPr>
              <w:pStyle w:val="a0"/>
              <w:spacing w:before="120"/>
              <w:jc w:val="center"/>
              <w:rPr>
                <w:sz w:val="20"/>
                <w:szCs w:val="20"/>
              </w:rPr>
            </w:pPr>
            <w:r>
              <w:rPr>
                <w:sz w:val="20"/>
                <w:szCs w:val="20"/>
              </w:rPr>
              <w:t>8,16</w:t>
            </w:r>
          </w:p>
        </w:tc>
        <w:tc>
          <w:tcPr>
            <w:tcW w:w="1290" w:type="dxa"/>
            <w:shd w:val="clear" w:color="auto" w:fill="auto"/>
            <w:noWrap/>
            <w:tcMar>
              <w:top w:w="15" w:type="dxa"/>
              <w:left w:w="15" w:type="dxa"/>
              <w:bottom w:w="15" w:type="dxa"/>
              <w:right w:w="15" w:type="dxa"/>
            </w:tcMar>
            <w:vAlign w:val="center"/>
          </w:tcPr>
          <w:p w14:paraId="0EA795D8" w14:textId="77777777" w:rsidR="008B1EFF" w:rsidRDefault="0042190C">
            <w:pPr>
              <w:pStyle w:val="a0"/>
              <w:spacing w:before="120"/>
              <w:jc w:val="center"/>
              <w:rPr>
                <w:sz w:val="20"/>
                <w:szCs w:val="20"/>
              </w:rPr>
            </w:pPr>
            <w:r>
              <w:rPr>
                <w:sz w:val="20"/>
                <w:szCs w:val="20"/>
              </w:rPr>
              <w:t>64117,73</w:t>
            </w:r>
          </w:p>
        </w:tc>
        <w:tc>
          <w:tcPr>
            <w:tcW w:w="1020" w:type="dxa"/>
            <w:shd w:val="clear" w:color="auto" w:fill="auto"/>
            <w:noWrap/>
            <w:tcMar>
              <w:top w:w="15" w:type="dxa"/>
              <w:left w:w="15" w:type="dxa"/>
              <w:bottom w:w="15" w:type="dxa"/>
              <w:right w:w="15" w:type="dxa"/>
            </w:tcMar>
            <w:vAlign w:val="center"/>
          </w:tcPr>
          <w:p w14:paraId="4E2C4B12" w14:textId="77777777" w:rsidR="008B1EFF" w:rsidRDefault="0042190C">
            <w:pPr>
              <w:pStyle w:val="a0"/>
              <w:spacing w:before="120"/>
              <w:jc w:val="center"/>
              <w:rPr>
                <w:sz w:val="20"/>
                <w:szCs w:val="20"/>
              </w:rPr>
            </w:pPr>
            <w:r>
              <w:rPr>
                <w:sz w:val="20"/>
                <w:szCs w:val="20"/>
              </w:rPr>
              <w:t>55%</w:t>
            </w:r>
          </w:p>
        </w:tc>
      </w:tr>
      <w:tr w:rsidR="008B1EFF" w14:paraId="776BCE8F" w14:textId="77777777" w:rsidTr="00F74A49">
        <w:tc>
          <w:tcPr>
            <w:tcW w:w="1695" w:type="dxa"/>
            <w:shd w:val="clear" w:color="auto" w:fill="auto"/>
            <w:noWrap/>
            <w:tcMar>
              <w:top w:w="15" w:type="dxa"/>
              <w:left w:w="15" w:type="dxa"/>
              <w:bottom w:w="15" w:type="dxa"/>
              <w:right w:w="15" w:type="dxa"/>
            </w:tcMar>
            <w:vAlign w:val="center"/>
          </w:tcPr>
          <w:p w14:paraId="494467AD" w14:textId="77777777" w:rsidR="008B1EFF" w:rsidRDefault="0042190C">
            <w:pPr>
              <w:pStyle w:val="a0"/>
              <w:spacing w:before="120"/>
              <w:jc w:val="center"/>
            </w:pPr>
            <w:r>
              <w:rPr>
                <w:rStyle w:val="a1"/>
                <w:b/>
                <w:bCs/>
                <w:sz w:val="20"/>
                <w:szCs w:val="20"/>
              </w:rPr>
              <w:t>2010</w:t>
            </w:r>
          </w:p>
        </w:tc>
        <w:tc>
          <w:tcPr>
            <w:tcW w:w="1215" w:type="dxa"/>
            <w:shd w:val="clear" w:color="auto" w:fill="auto"/>
            <w:noWrap/>
            <w:tcMar>
              <w:top w:w="15" w:type="dxa"/>
              <w:left w:w="15" w:type="dxa"/>
              <w:bottom w:w="15" w:type="dxa"/>
              <w:right w:w="15" w:type="dxa"/>
            </w:tcMar>
            <w:vAlign w:val="center"/>
          </w:tcPr>
          <w:p w14:paraId="604A2B9E" w14:textId="77777777" w:rsidR="008B1EFF" w:rsidRDefault="0042190C">
            <w:pPr>
              <w:pStyle w:val="a0"/>
              <w:spacing w:before="120"/>
              <w:jc w:val="center"/>
              <w:rPr>
                <w:sz w:val="20"/>
                <w:szCs w:val="20"/>
              </w:rPr>
            </w:pPr>
            <w:r>
              <w:rPr>
                <w:sz w:val="20"/>
                <w:szCs w:val="20"/>
              </w:rPr>
              <w:t>47862,93</w:t>
            </w:r>
          </w:p>
        </w:tc>
        <w:tc>
          <w:tcPr>
            <w:tcW w:w="1140" w:type="dxa"/>
            <w:shd w:val="clear" w:color="auto" w:fill="auto"/>
            <w:noWrap/>
            <w:tcMar>
              <w:top w:w="15" w:type="dxa"/>
              <w:left w:w="15" w:type="dxa"/>
              <w:bottom w:w="15" w:type="dxa"/>
              <w:right w:w="15" w:type="dxa"/>
            </w:tcMar>
            <w:vAlign w:val="center"/>
          </w:tcPr>
          <w:p w14:paraId="18782916" w14:textId="77777777" w:rsidR="008B1EFF" w:rsidRDefault="0042190C">
            <w:pPr>
              <w:pStyle w:val="a0"/>
              <w:spacing w:before="120"/>
              <w:jc w:val="center"/>
              <w:rPr>
                <w:sz w:val="20"/>
                <w:szCs w:val="20"/>
              </w:rPr>
            </w:pPr>
            <w:r>
              <w:rPr>
                <w:sz w:val="20"/>
                <w:szCs w:val="20"/>
              </w:rPr>
              <w:t>7844,18</w:t>
            </w:r>
          </w:p>
        </w:tc>
        <w:tc>
          <w:tcPr>
            <w:tcW w:w="1140" w:type="dxa"/>
            <w:shd w:val="clear" w:color="auto" w:fill="auto"/>
            <w:noWrap/>
            <w:tcMar>
              <w:top w:w="15" w:type="dxa"/>
              <w:left w:w="15" w:type="dxa"/>
              <w:bottom w:w="15" w:type="dxa"/>
              <w:right w:w="15" w:type="dxa"/>
            </w:tcMar>
            <w:vAlign w:val="center"/>
          </w:tcPr>
          <w:p w14:paraId="54CCFEEB" w14:textId="77777777" w:rsidR="008B1EFF" w:rsidRDefault="0042190C">
            <w:pPr>
              <w:pStyle w:val="a0"/>
              <w:spacing w:before="120"/>
              <w:jc w:val="center"/>
              <w:rPr>
                <w:sz w:val="20"/>
                <w:szCs w:val="20"/>
              </w:rPr>
            </w:pPr>
            <w:r>
              <w:rPr>
                <w:sz w:val="20"/>
                <w:szCs w:val="20"/>
              </w:rPr>
              <w:t>4337,75</w:t>
            </w:r>
          </w:p>
        </w:tc>
        <w:tc>
          <w:tcPr>
            <w:tcW w:w="1020" w:type="dxa"/>
            <w:shd w:val="clear" w:color="auto" w:fill="auto"/>
            <w:noWrap/>
            <w:tcMar>
              <w:top w:w="15" w:type="dxa"/>
              <w:left w:w="15" w:type="dxa"/>
              <w:bottom w:w="15" w:type="dxa"/>
              <w:right w:w="15" w:type="dxa"/>
            </w:tcMar>
            <w:vAlign w:val="center"/>
          </w:tcPr>
          <w:p w14:paraId="575C539D" w14:textId="77777777" w:rsidR="008B1EFF" w:rsidRDefault="0042190C">
            <w:pPr>
              <w:pStyle w:val="a0"/>
              <w:spacing w:before="120"/>
              <w:jc w:val="center"/>
              <w:rPr>
                <w:sz w:val="20"/>
                <w:szCs w:val="20"/>
              </w:rPr>
            </w:pPr>
            <w:r>
              <w:rPr>
                <w:sz w:val="20"/>
                <w:szCs w:val="20"/>
              </w:rPr>
              <w:t>663,05</w:t>
            </w:r>
          </w:p>
        </w:tc>
        <w:tc>
          <w:tcPr>
            <w:tcW w:w="735" w:type="dxa"/>
            <w:shd w:val="clear" w:color="auto" w:fill="auto"/>
            <w:noWrap/>
            <w:tcMar>
              <w:top w:w="15" w:type="dxa"/>
              <w:left w:w="15" w:type="dxa"/>
              <w:bottom w:w="15" w:type="dxa"/>
              <w:right w:w="15" w:type="dxa"/>
            </w:tcMar>
            <w:vAlign w:val="center"/>
          </w:tcPr>
          <w:p w14:paraId="0C008A80" w14:textId="77777777" w:rsidR="008B1EFF" w:rsidRDefault="0042190C">
            <w:pPr>
              <w:pStyle w:val="a0"/>
              <w:spacing w:before="120"/>
              <w:jc w:val="center"/>
              <w:rPr>
                <w:sz w:val="20"/>
                <w:szCs w:val="20"/>
              </w:rPr>
            </w:pPr>
            <w:r>
              <w:rPr>
                <w:sz w:val="20"/>
                <w:szCs w:val="20"/>
              </w:rPr>
              <w:t>0,06</w:t>
            </w:r>
          </w:p>
        </w:tc>
        <w:tc>
          <w:tcPr>
            <w:tcW w:w="780" w:type="dxa"/>
            <w:shd w:val="clear" w:color="auto" w:fill="auto"/>
            <w:noWrap/>
            <w:tcMar>
              <w:top w:w="15" w:type="dxa"/>
              <w:left w:w="15" w:type="dxa"/>
              <w:bottom w:w="15" w:type="dxa"/>
              <w:right w:w="15" w:type="dxa"/>
            </w:tcMar>
            <w:vAlign w:val="center"/>
          </w:tcPr>
          <w:p w14:paraId="0BCE0986" w14:textId="77777777" w:rsidR="008B1EFF" w:rsidRDefault="0042190C">
            <w:pPr>
              <w:pStyle w:val="a0"/>
              <w:spacing w:before="120"/>
              <w:jc w:val="center"/>
              <w:rPr>
                <w:sz w:val="20"/>
                <w:szCs w:val="20"/>
              </w:rPr>
            </w:pPr>
            <w:r>
              <w:rPr>
                <w:sz w:val="20"/>
                <w:szCs w:val="20"/>
              </w:rPr>
              <w:t>18,76</w:t>
            </w:r>
          </w:p>
        </w:tc>
        <w:tc>
          <w:tcPr>
            <w:tcW w:w="1290" w:type="dxa"/>
            <w:shd w:val="clear" w:color="auto" w:fill="auto"/>
            <w:noWrap/>
            <w:tcMar>
              <w:top w:w="15" w:type="dxa"/>
              <w:left w:w="15" w:type="dxa"/>
              <w:bottom w:w="15" w:type="dxa"/>
              <w:right w:w="15" w:type="dxa"/>
            </w:tcMar>
            <w:vAlign w:val="center"/>
          </w:tcPr>
          <w:p w14:paraId="7A5015EB" w14:textId="77777777" w:rsidR="008B1EFF" w:rsidRDefault="0042190C">
            <w:pPr>
              <w:pStyle w:val="a0"/>
              <w:spacing w:before="120"/>
              <w:jc w:val="center"/>
              <w:rPr>
                <w:sz w:val="20"/>
                <w:szCs w:val="20"/>
              </w:rPr>
            </w:pPr>
            <w:r>
              <w:rPr>
                <w:sz w:val="20"/>
                <w:szCs w:val="20"/>
              </w:rPr>
              <w:t>60726,73</w:t>
            </w:r>
          </w:p>
        </w:tc>
        <w:tc>
          <w:tcPr>
            <w:tcW w:w="1020" w:type="dxa"/>
            <w:shd w:val="clear" w:color="auto" w:fill="auto"/>
            <w:noWrap/>
            <w:tcMar>
              <w:top w:w="15" w:type="dxa"/>
              <w:left w:w="15" w:type="dxa"/>
              <w:bottom w:w="15" w:type="dxa"/>
              <w:right w:w="15" w:type="dxa"/>
            </w:tcMar>
            <w:vAlign w:val="center"/>
          </w:tcPr>
          <w:p w14:paraId="6D65DA12" w14:textId="77777777" w:rsidR="008B1EFF" w:rsidRDefault="0042190C">
            <w:pPr>
              <w:pStyle w:val="a0"/>
              <w:spacing w:before="120"/>
              <w:jc w:val="center"/>
              <w:rPr>
                <w:sz w:val="20"/>
                <w:szCs w:val="20"/>
              </w:rPr>
            </w:pPr>
            <w:r>
              <w:rPr>
                <w:sz w:val="20"/>
                <w:szCs w:val="20"/>
              </w:rPr>
              <w:t>52%</w:t>
            </w:r>
          </w:p>
        </w:tc>
      </w:tr>
      <w:tr w:rsidR="008B1EFF" w14:paraId="18BDEC39" w14:textId="77777777" w:rsidTr="00F74A49">
        <w:tc>
          <w:tcPr>
            <w:tcW w:w="1695" w:type="dxa"/>
            <w:shd w:val="clear" w:color="auto" w:fill="auto"/>
            <w:noWrap/>
            <w:tcMar>
              <w:top w:w="15" w:type="dxa"/>
              <w:left w:w="15" w:type="dxa"/>
              <w:bottom w:w="15" w:type="dxa"/>
              <w:right w:w="15" w:type="dxa"/>
            </w:tcMar>
            <w:vAlign w:val="center"/>
          </w:tcPr>
          <w:p w14:paraId="7DE0450C" w14:textId="77777777" w:rsidR="008B1EFF" w:rsidRDefault="0042190C">
            <w:pPr>
              <w:pStyle w:val="a0"/>
              <w:spacing w:before="120"/>
              <w:jc w:val="center"/>
            </w:pPr>
            <w:r>
              <w:rPr>
                <w:rStyle w:val="a1"/>
                <w:b/>
                <w:bCs/>
                <w:sz w:val="20"/>
                <w:szCs w:val="20"/>
              </w:rPr>
              <w:t>2015</w:t>
            </w:r>
          </w:p>
        </w:tc>
        <w:tc>
          <w:tcPr>
            <w:tcW w:w="1215" w:type="dxa"/>
            <w:shd w:val="clear" w:color="auto" w:fill="auto"/>
            <w:noWrap/>
            <w:tcMar>
              <w:top w:w="15" w:type="dxa"/>
              <w:left w:w="15" w:type="dxa"/>
              <w:bottom w:w="15" w:type="dxa"/>
              <w:right w:w="15" w:type="dxa"/>
            </w:tcMar>
            <w:vAlign w:val="center"/>
          </w:tcPr>
          <w:p w14:paraId="1FC5DC5D" w14:textId="77777777" w:rsidR="008B1EFF" w:rsidRDefault="0042190C">
            <w:pPr>
              <w:pStyle w:val="a0"/>
              <w:spacing w:before="120"/>
              <w:jc w:val="center"/>
              <w:rPr>
                <w:sz w:val="20"/>
                <w:szCs w:val="20"/>
              </w:rPr>
            </w:pPr>
            <w:r>
              <w:rPr>
                <w:sz w:val="20"/>
                <w:szCs w:val="20"/>
              </w:rPr>
              <w:t>48194,28</w:t>
            </w:r>
          </w:p>
        </w:tc>
        <w:tc>
          <w:tcPr>
            <w:tcW w:w="1140" w:type="dxa"/>
            <w:shd w:val="clear" w:color="auto" w:fill="auto"/>
            <w:noWrap/>
            <w:tcMar>
              <w:top w:w="15" w:type="dxa"/>
              <w:left w:w="15" w:type="dxa"/>
              <w:bottom w:w="15" w:type="dxa"/>
              <w:right w:w="15" w:type="dxa"/>
            </w:tcMar>
            <w:vAlign w:val="center"/>
          </w:tcPr>
          <w:p w14:paraId="04A3B122" w14:textId="77777777" w:rsidR="008B1EFF" w:rsidRDefault="0042190C">
            <w:pPr>
              <w:pStyle w:val="a0"/>
              <w:spacing w:before="120"/>
              <w:jc w:val="center"/>
              <w:rPr>
                <w:sz w:val="20"/>
                <w:szCs w:val="20"/>
              </w:rPr>
            </w:pPr>
            <w:r>
              <w:rPr>
                <w:sz w:val="20"/>
                <w:szCs w:val="20"/>
              </w:rPr>
              <w:t>7450,42</w:t>
            </w:r>
          </w:p>
        </w:tc>
        <w:tc>
          <w:tcPr>
            <w:tcW w:w="1140" w:type="dxa"/>
            <w:shd w:val="clear" w:color="auto" w:fill="auto"/>
            <w:noWrap/>
            <w:tcMar>
              <w:top w:w="15" w:type="dxa"/>
              <w:left w:w="15" w:type="dxa"/>
              <w:bottom w:w="15" w:type="dxa"/>
              <w:right w:w="15" w:type="dxa"/>
            </w:tcMar>
            <w:vAlign w:val="center"/>
          </w:tcPr>
          <w:p w14:paraId="16CF148F" w14:textId="77777777" w:rsidR="008B1EFF" w:rsidRDefault="0042190C">
            <w:pPr>
              <w:pStyle w:val="a0"/>
              <w:spacing w:before="120"/>
              <w:jc w:val="center"/>
              <w:rPr>
                <w:sz w:val="20"/>
                <w:szCs w:val="20"/>
              </w:rPr>
            </w:pPr>
            <w:r>
              <w:rPr>
                <w:sz w:val="20"/>
                <w:szCs w:val="20"/>
              </w:rPr>
              <w:t>5035,81</w:t>
            </w:r>
          </w:p>
        </w:tc>
        <w:tc>
          <w:tcPr>
            <w:tcW w:w="1020" w:type="dxa"/>
            <w:shd w:val="clear" w:color="auto" w:fill="auto"/>
            <w:noWrap/>
            <w:tcMar>
              <w:top w:w="15" w:type="dxa"/>
              <w:left w:w="15" w:type="dxa"/>
              <w:bottom w:w="15" w:type="dxa"/>
              <w:right w:w="15" w:type="dxa"/>
            </w:tcMar>
            <w:vAlign w:val="center"/>
          </w:tcPr>
          <w:p w14:paraId="21547610" w14:textId="77777777" w:rsidR="008B1EFF" w:rsidRDefault="0042190C">
            <w:pPr>
              <w:pStyle w:val="a0"/>
              <w:spacing w:before="120"/>
              <w:jc w:val="center"/>
              <w:rPr>
                <w:sz w:val="20"/>
                <w:szCs w:val="20"/>
              </w:rPr>
            </w:pPr>
            <w:r>
              <w:rPr>
                <w:sz w:val="20"/>
                <w:szCs w:val="20"/>
              </w:rPr>
              <w:t>1222,08</w:t>
            </w:r>
          </w:p>
        </w:tc>
        <w:tc>
          <w:tcPr>
            <w:tcW w:w="735" w:type="dxa"/>
            <w:shd w:val="clear" w:color="auto" w:fill="auto"/>
            <w:noWrap/>
            <w:tcMar>
              <w:top w:w="15" w:type="dxa"/>
              <w:left w:w="15" w:type="dxa"/>
              <w:bottom w:w="15" w:type="dxa"/>
              <w:right w:w="15" w:type="dxa"/>
            </w:tcMar>
            <w:vAlign w:val="center"/>
          </w:tcPr>
          <w:p w14:paraId="4041FB8F" w14:textId="77777777" w:rsidR="008B1EFF" w:rsidRDefault="0042190C">
            <w:pPr>
              <w:pStyle w:val="a0"/>
              <w:spacing w:before="120"/>
              <w:jc w:val="center"/>
              <w:rPr>
                <w:sz w:val="20"/>
                <w:szCs w:val="20"/>
              </w:rPr>
            </w:pPr>
            <w:r>
              <w:rPr>
                <w:sz w:val="20"/>
                <w:szCs w:val="20"/>
              </w:rPr>
              <w:t>0,03</w:t>
            </w:r>
          </w:p>
        </w:tc>
        <w:tc>
          <w:tcPr>
            <w:tcW w:w="780" w:type="dxa"/>
            <w:shd w:val="clear" w:color="auto" w:fill="auto"/>
            <w:noWrap/>
            <w:tcMar>
              <w:top w:w="15" w:type="dxa"/>
              <w:left w:w="15" w:type="dxa"/>
              <w:bottom w:w="15" w:type="dxa"/>
              <w:right w:w="15" w:type="dxa"/>
            </w:tcMar>
            <w:vAlign w:val="center"/>
          </w:tcPr>
          <w:p w14:paraId="3E5C7C2F" w14:textId="77777777" w:rsidR="008B1EFF" w:rsidRDefault="0042190C">
            <w:pPr>
              <w:pStyle w:val="a0"/>
              <w:spacing w:before="120"/>
              <w:jc w:val="center"/>
              <w:rPr>
                <w:sz w:val="20"/>
                <w:szCs w:val="20"/>
              </w:rPr>
            </w:pPr>
            <w:r>
              <w:rPr>
                <w:sz w:val="20"/>
                <w:szCs w:val="20"/>
              </w:rPr>
              <w:t>18,07</w:t>
            </w:r>
          </w:p>
        </w:tc>
        <w:tc>
          <w:tcPr>
            <w:tcW w:w="1290" w:type="dxa"/>
            <w:shd w:val="clear" w:color="auto" w:fill="auto"/>
            <w:noWrap/>
            <w:tcMar>
              <w:top w:w="15" w:type="dxa"/>
              <w:left w:w="15" w:type="dxa"/>
              <w:bottom w:w="15" w:type="dxa"/>
              <w:right w:w="15" w:type="dxa"/>
            </w:tcMar>
            <w:vAlign w:val="center"/>
          </w:tcPr>
          <w:p w14:paraId="7D14EBBD" w14:textId="77777777" w:rsidR="008B1EFF" w:rsidRDefault="0042190C">
            <w:pPr>
              <w:pStyle w:val="a0"/>
              <w:spacing w:before="120"/>
              <w:jc w:val="center"/>
              <w:rPr>
                <w:sz w:val="20"/>
                <w:szCs w:val="20"/>
              </w:rPr>
            </w:pPr>
            <w:r>
              <w:rPr>
                <w:sz w:val="20"/>
                <w:szCs w:val="20"/>
              </w:rPr>
              <w:t>61920,68</w:t>
            </w:r>
          </w:p>
        </w:tc>
        <w:tc>
          <w:tcPr>
            <w:tcW w:w="1020" w:type="dxa"/>
            <w:shd w:val="clear" w:color="auto" w:fill="auto"/>
            <w:noWrap/>
            <w:tcMar>
              <w:top w:w="15" w:type="dxa"/>
              <w:left w:w="15" w:type="dxa"/>
              <w:bottom w:w="15" w:type="dxa"/>
              <w:right w:w="15" w:type="dxa"/>
            </w:tcMar>
            <w:vAlign w:val="center"/>
          </w:tcPr>
          <w:p w14:paraId="26A4BB9B" w14:textId="77777777" w:rsidR="008B1EFF" w:rsidRDefault="0042190C">
            <w:pPr>
              <w:pStyle w:val="a0"/>
              <w:spacing w:before="120"/>
              <w:jc w:val="center"/>
              <w:rPr>
                <w:sz w:val="20"/>
                <w:szCs w:val="20"/>
              </w:rPr>
            </w:pPr>
            <w:r>
              <w:rPr>
                <w:sz w:val="20"/>
                <w:szCs w:val="20"/>
              </w:rPr>
              <w:t>53%</w:t>
            </w:r>
          </w:p>
        </w:tc>
      </w:tr>
      <w:tr w:rsidR="008B1EFF" w14:paraId="0CC2236B" w14:textId="77777777" w:rsidTr="00F74A49">
        <w:tc>
          <w:tcPr>
            <w:tcW w:w="1695" w:type="dxa"/>
            <w:shd w:val="clear" w:color="auto" w:fill="auto"/>
            <w:noWrap/>
            <w:tcMar>
              <w:top w:w="15" w:type="dxa"/>
              <w:left w:w="15" w:type="dxa"/>
              <w:bottom w:w="15" w:type="dxa"/>
              <w:right w:w="15" w:type="dxa"/>
            </w:tcMar>
            <w:vAlign w:val="center"/>
          </w:tcPr>
          <w:p w14:paraId="491C020D" w14:textId="77777777" w:rsidR="008B1EFF" w:rsidRDefault="0042190C">
            <w:pPr>
              <w:pStyle w:val="a0"/>
              <w:spacing w:before="120"/>
              <w:jc w:val="center"/>
            </w:pPr>
            <w:r>
              <w:rPr>
                <w:rStyle w:val="a1"/>
                <w:b/>
                <w:bCs/>
                <w:sz w:val="20"/>
                <w:szCs w:val="20"/>
              </w:rPr>
              <w:t>2016</w:t>
            </w:r>
          </w:p>
        </w:tc>
        <w:tc>
          <w:tcPr>
            <w:tcW w:w="1215" w:type="dxa"/>
            <w:shd w:val="clear" w:color="auto" w:fill="auto"/>
            <w:noWrap/>
            <w:tcMar>
              <w:top w:w="15" w:type="dxa"/>
              <w:left w:w="15" w:type="dxa"/>
              <w:bottom w:w="15" w:type="dxa"/>
              <w:right w:w="15" w:type="dxa"/>
            </w:tcMar>
            <w:vAlign w:val="center"/>
          </w:tcPr>
          <w:p w14:paraId="5287812B" w14:textId="77777777" w:rsidR="008B1EFF" w:rsidRDefault="0042190C">
            <w:pPr>
              <w:pStyle w:val="a0"/>
              <w:spacing w:before="120"/>
              <w:jc w:val="center"/>
              <w:rPr>
                <w:sz w:val="20"/>
                <w:szCs w:val="20"/>
              </w:rPr>
            </w:pPr>
            <w:r>
              <w:rPr>
                <w:sz w:val="20"/>
                <w:szCs w:val="20"/>
              </w:rPr>
              <w:t>45353,72</w:t>
            </w:r>
          </w:p>
        </w:tc>
        <w:tc>
          <w:tcPr>
            <w:tcW w:w="1140" w:type="dxa"/>
            <w:shd w:val="clear" w:color="auto" w:fill="auto"/>
            <w:noWrap/>
            <w:tcMar>
              <w:top w:w="15" w:type="dxa"/>
              <w:left w:w="15" w:type="dxa"/>
              <w:bottom w:w="15" w:type="dxa"/>
              <w:right w:w="15" w:type="dxa"/>
            </w:tcMar>
            <w:vAlign w:val="center"/>
          </w:tcPr>
          <w:p w14:paraId="33731D4C" w14:textId="77777777" w:rsidR="008B1EFF" w:rsidRDefault="0042190C">
            <w:pPr>
              <w:pStyle w:val="a0"/>
              <w:spacing w:before="120"/>
              <w:jc w:val="center"/>
              <w:rPr>
                <w:sz w:val="20"/>
                <w:szCs w:val="20"/>
              </w:rPr>
            </w:pPr>
            <w:r>
              <w:rPr>
                <w:sz w:val="20"/>
                <w:szCs w:val="20"/>
              </w:rPr>
              <w:t>7213,21</w:t>
            </w:r>
          </w:p>
        </w:tc>
        <w:tc>
          <w:tcPr>
            <w:tcW w:w="1140" w:type="dxa"/>
            <w:shd w:val="clear" w:color="auto" w:fill="auto"/>
            <w:noWrap/>
            <w:tcMar>
              <w:top w:w="15" w:type="dxa"/>
              <w:left w:w="15" w:type="dxa"/>
              <w:bottom w:w="15" w:type="dxa"/>
              <w:right w:w="15" w:type="dxa"/>
            </w:tcMar>
            <w:vAlign w:val="center"/>
          </w:tcPr>
          <w:p w14:paraId="6237BBCF" w14:textId="77777777" w:rsidR="008B1EFF" w:rsidRDefault="0042190C">
            <w:pPr>
              <w:pStyle w:val="a0"/>
              <w:spacing w:before="120"/>
              <w:jc w:val="center"/>
              <w:rPr>
                <w:sz w:val="20"/>
                <w:szCs w:val="20"/>
              </w:rPr>
            </w:pPr>
            <w:r>
              <w:rPr>
                <w:sz w:val="20"/>
                <w:szCs w:val="20"/>
              </w:rPr>
              <w:t>5360,00</w:t>
            </w:r>
          </w:p>
        </w:tc>
        <w:tc>
          <w:tcPr>
            <w:tcW w:w="1020" w:type="dxa"/>
            <w:shd w:val="clear" w:color="auto" w:fill="auto"/>
            <w:noWrap/>
            <w:tcMar>
              <w:top w:w="15" w:type="dxa"/>
              <w:left w:w="15" w:type="dxa"/>
              <w:bottom w:w="15" w:type="dxa"/>
              <w:right w:w="15" w:type="dxa"/>
            </w:tcMar>
            <w:vAlign w:val="center"/>
          </w:tcPr>
          <w:p w14:paraId="0F2CCDD1" w14:textId="77777777" w:rsidR="008B1EFF" w:rsidRDefault="0042190C">
            <w:pPr>
              <w:pStyle w:val="a0"/>
              <w:spacing w:before="120"/>
              <w:jc w:val="center"/>
              <w:rPr>
                <w:sz w:val="20"/>
                <w:szCs w:val="20"/>
              </w:rPr>
            </w:pPr>
            <w:r>
              <w:rPr>
                <w:sz w:val="20"/>
                <w:szCs w:val="20"/>
              </w:rPr>
              <w:t>1399,33</w:t>
            </w:r>
          </w:p>
        </w:tc>
        <w:tc>
          <w:tcPr>
            <w:tcW w:w="735" w:type="dxa"/>
            <w:shd w:val="clear" w:color="auto" w:fill="auto"/>
            <w:noWrap/>
            <w:tcMar>
              <w:top w:w="15" w:type="dxa"/>
              <w:left w:w="15" w:type="dxa"/>
              <w:bottom w:w="15" w:type="dxa"/>
              <w:right w:w="15" w:type="dxa"/>
            </w:tcMar>
            <w:vAlign w:val="center"/>
          </w:tcPr>
          <w:p w14:paraId="44E087B1" w14:textId="77777777" w:rsidR="008B1EFF" w:rsidRDefault="0042190C">
            <w:pPr>
              <w:pStyle w:val="a0"/>
              <w:spacing w:before="120"/>
              <w:jc w:val="center"/>
              <w:rPr>
                <w:sz w:val="20"/>
                <w:szCs w:val="20"/>
              </w:rPr>
            </w:pPr>
            <w:r>
              <w:rPr>
                <w:sz w:val="20"/>
                <w:szCs w:val="20"/>
              </w:rPr>
              <w:t>0,02</w:t>
            </w:r>
          </w:p>
        </w:tc>
        <w:tc>
          <w:tcPr>
            <w:tcW w:w="780" w:type="dxa"/>
            <w:shd w:val="clear" w:color="auto" w:fill="auto"/>
            <w:noWrap/>
            <w:tcMar>
              <w:top w:w="15" w:type="dxa"/>
              <w:left w:w="15" w:type="dxa"/>
              <w:bottom w:w="15" w:type="dxa"/>
              <w:right w:w="15" w:type="dxa"/>
            </w:tcMar>
            <w:vAlign w:val="center"/>
          </w:tcPr>
          <w:p w14:paraId="74C2770D" w14:textId="77777777" w:rsidR="008B1EFF" w:rsidRDefault="0042190C">
            <w:pPr>
              <w:pStyle w:val="a0"/>
              <w:spacing w:before="120"/>
              <w:jc w:val="center"/>
              <w:rPr>
                <w:sz w:val="20"/>
                <w:szCs w:val="20"/>
              </w:rPr>
            </w:pPr>
            <w:r>
              <w:rPr>
                <w:sz w:val="20"/>
                <w:szCs w:val="20"/>
              </w:rPr>
              <w:t>18,75</w:t>
            </w:r>
          </w:p>
        </w:tc>
        <w:tc>
          <w:tcPr>
            <w:tcW w:w="1290" w:type="dxa"/>
            <w:shd w:val="clear" w:color="auto" w:fill="auto"/>
            <w:noWrap/>
            <w:tcMar>
              <w:top w:w="15" w:type="dxa"/>
              <w:left w:w="15" w:type="dxa"/>
              <w:bottom w:w="15" w:type="dxa"/>
              <w:right w:w="15" w:type="dxa"/>
            </w:tcMar>
            <w:vAlign w:val="center"/>
          </w:tcPr>
          <w:p w14:paraId="635E212F" w14:textId="77777777" w:rsidR="008B1EFF" w:rsidRDefault="0042190C">
            <w:pPr>
              <w:pStyle w:val="a0"/>
              <w:spacing w:before="120"/>
              <w:jc w:val="center"/>
              <w:rPr>
                <w:sz w:val="20"/>
                <w:szCs w:val="20"/>
              </w:rPr>
            </w:pPr>
            <w:r>
              <w:rPr>
                <w:sz w:val="20"/>
                <w:szCs w:val="20"/>
              </w:rPr>
              <w:t>59345,03</w:t>
            </w:r>
          </w:p>
        </w:tc>
        <w:tc>
          <w:tcPr>
            <w:tcW w:w="1020" w:type="dxa"/>
            <w:shd w:val="clear" w:color="auto" w:fill="auto"/>
            <w:noWrap/>
            <w:tcMar>
              <w:top w:w="15" w:type="dxa"/>
              <w:left w:w="15" w:type="dxa"/>
              <w:bottom w:w="15" w:type="dxa"/>
              <w:right w:w="15" w:type="dxa"/>
            </w:tcMar>
            <w:vAlign w:val="center"/>
          </w:tcPr>
          <w:p w14:paraId="2D2C04D5" w14:textId="77777777" w:rsidR="008B1EFF" w:rsidRDefault="0042190C">
            <w:pPr>
              <w:pStyle w:val="a0"/>
              <w:spacing w:before="120"/>
              <w:jc w:val="center"/>
              <w:rPr>
                <w:sz w:val="20"/>
                <w:szCs w:val="20"/>
              </w:rPr>
            </w:pPr>
            <w:r>
              <w:rPr>
                <w:sz w:val="20"/>
                <w:szCs w:val="20"/>
              </w:rPr>
              <w:t>51%</w:t>
            </w:r>
          </w:p>
        </w:tc>
      </w:tr>
      <w:tr w:rsidR="008B1EFF" w14:paraId="667EBE04" w14:textId="77777777" w:rsidTr="00F74A49">
        <w:tc>
          <w:tcPr>
            <w:tcW w:w="1695" w:type="dxa"/>
            <w:shd w:val="clear" w:color="auto" w:fill="auto"/>
            <w:noWrap/>
            <w:tcMar>
              <w:top w:w="15" w:type="dxa"/>
              <w:left w:w="15" w:type="dxa"/>
              <w:bottom w:w="15" w:type="dxa"/>
              <w:right w:w="15" w:type="dxa"/>
            </w:tcMar>
            <w:vAlign w:val="center"/>
          </w:tcPr>
          <w:p w14:paraId="0ED570A7" w14:textId="77777777" w:rsidR="008B1EFF" w:rsidRDefault="0042190C">
            <w:pPr>
              <w:pStyle w:val="a0"/>
              <w:spacing w:before="120"/>
              <w:jc w:val="center"/>
            </w:pPr>
            <w:r>
              <w:rPr>
                <w:rStyle w:val="a1"/>
                <w:b/>
                <w:bCs/>
                <w:sz w:val="20"/>
                <w:szCs w:val="20"/>
              </w:rPr>
              <w:t>2017</w:t>
            </w:r>
          </w:p>
        </w:tc>
        <w:tc>
          <w:tcPr>
            <w:tcW w:w="1215" w:type="dxa"/>
            <w:shd w:val="clear" w:color="auto" w:fill="auto"/>
            <w:noWrap/>
            <w:tcMar>
              <w:top w:w="15" w:type="dxa"/>
              <w:left w:w="15" w:type="dxa"/>
              <w:bottom w:w="15" w:type="dxa"/>
              <w:right w:w="15" w:type="dxa"/>
            </w:tcMar>
            <w:vAlign w:val="center"/>
          </w:tcPr>
          <w:p w14:paraId="2D4F73A9" w14:textId="77777777" w:rsidR="008B1EFF" w:rsidRDefault="0042190C">
            <w:pPr>
              <w:pStyle w:val="a0"/>
              <w:spacing w:before="120"/>
              <w:jc w:val="center"/>
              <w:rPr>
                <w:sz w:val="20"/>
                <w:szCs w:val="20"/>
              </w:rPr>
            </w:pPr>
            <w:r>
              <w:rPr>
                <w:sz w:val="20"/>
                <w:szCs w:val="20"/>
              </w:rPr>
              <w:t>47505,16</w:t>
            </w:r>
          </w:p>
        </w:tc>
        <w:tc>
          <w:tcPr>
            <w:tcW w:w="1140" w:type="dxa"/>
            <w:shd w:val="clear" w:color="auto" w:fill="auto"/>
            <w:noWrap/>
            <w:tcMar>
              <w:top w:w="15" w:type="dxa"/>
              <w:left w:w="15" w:type="dxa"/>
              <w:bottom w:w="15" w:type="dxa"/>
              <w:right w:w="15" w:type="dxa"/>
            </w:tcMar>
            <w:vAlign w:val="center"/>
          </w:tcPr>
          <w:p w14:paraId="5C14EEB0" w14:textId="77777777" w:rsidR="008B1EFF" w:rsidRDefault="0042190C">
            <w:pPr>
              <w:pStyle w:val="a0"/>
              <w:spacing w:before="120"/>
              <w:jc w:val="center"/>
              <w:rPr>
                <w:sz w:val="20"/>
                <w:szCs w:val="20"/>
              </w:rPr>
            </w:pPr>
            <w:r>
              <w:rPr>
                <w:sz w:val="20"/>
                <w:szCs w:val="20"/>
              </w:rPr>
              <w:t>7001,14</w:t>
            </w:r>
          </w:p>
        </w:tc>
        <w:tc>
          <w:tcPr>
            <w:tcW w:w="1140" w:type="dxa"/>
            <w:shd w:val="clear" w:color="auto" w:fill="auto"/>
            <w:noWrap/>
            <w:tcMar>
              <w:top w:w="15" w:type="dxa"/>
              <w:left w:w="15" w:type="dxa"/>
              <w:bottom w:w="15" w:type="dxa"/>
              <w:right w:w="15" w:type="dxa"/>
            </w:tcMar>
            <w:vAlign w:val="center"/>
          </w:tcPr>
          <w:p w14:paraId="2A15BD0A" w14:textId="77777777" w:rsidR="008B1EFF" w:rsidRDefault="0042190C">
            <w:pPr>
              <w:pStyle w:val="a0"/>
              <w:spacing w:before="120"/>
              <w:jc w:val="center"/>
              <w:rPr>
                <w:sz w:val="20"/>
                <w:szCs w:val="20"/>
              </w:rPr>
            </w:pPr>
            <w:r>
              <w:rPr>
                <w:sz w:val="20"/>
                <w:szCs w:val="20"/>
              </w:rPr>
              <w:t>5342,27</w:t>
            </w:r>
          </w:p>
        </w:tc>
        <w:tc>
          <w:tcPr>
            <w:tcW w:w="1020" w:type="dxa"/>
            <w:shd w:val="clear" w:color="auto" w:fill="auto"/>
            <w:noWrap/>
            <w:tcMar>
              <w:top w:w="15" w:type="dxa"/>
              <w:left w:w="15" w:type="dxa"/>
              <w:bottom w:w="15" w:type="dxa"/>
              <w:right w:w="15" w:type="dxa"/>
            </w:tcMar>
            <w:vAlign w:val="center"/>
          </w:tcPr>
          <w:p w14:paraId="1F020014" w14:textId="77777777" w:rsidR="008B1EFF" w:rsidRDefault="0042190C">
            <w:pPr>
              <w:pStyle w:val="a0"/>
              <w:spacing w:before="120"/>
              <w:jc w:val="center"/>
              <w:rPr>
                <w:sz w:val="20"/>
                <w:szCs w:val="20"/>
              </w:rPr>
            </w:pPr>
            <w:r>
              <w:rPr>
                <w:sz w:val="20"/>
                <w:szCs w:val="20"/>
              </w:rPr>
              <w:t>1816,64</w:t>
            </w:r>
          </w:p>
        </w:tc>
        <w:tc>
          <w:tcPr>
            <w:tcW w:w="735" w:type="dxa"/>
            <w:shd w:val="clear" w:color="auto" w:fill="auto"/>
            <w:noWrap/>
            <w:tcMar>
              <w:top w:w="15" w:type="dxa"/>
              <w:left w:w="15" w:type="dxa"/>
              <w:bottom w:w="15" w:type="dxa"/>
              <w:right w:w="15" w:type="dxa"/>
            </w:tcMar>
            <w:vAlign w:val="center"/>
          </w:tcPr>
          <w:p w14:paraId="2AC9B1C5" w14:textId="77777777" w:rsidR="008B1EFF" w:rsidRDefault="0042190C">
            <w:pPr>
              <w:pStyle w:val="a0"/>
              <w:spacing w:before="120"/>
              <w:jc w:val="center"/>
              <w:rPr>
                <w:sz w:val="20"/>
                <w:szCs w:val="20"/>
              </w:rPr>
            </w:pPr>
            <w:r>
              <w:rPr>
                <w:sz w:val="20"/>
                <w:szCs w:val="20"/>
              </w:rPr>
              <w:t>0,03</w:t>
            </w:r>
          </w:p>
        </w:tc>
        <w:tc>
          <w:tcPr>
            <w:tcW w:w="780" w:type="dxa"/>
            <w:shd w:val="clear" w:color="auto" w:fill="auto"/>
            <w:noWrap/>
            <w:tcMar>
              <w:top w:w="15" w:type="dxa"/>
              <w:left w:w="15" w:type="dxa"/>
              <w:bottom w:w="15" w:type="dxa"/>
              <w:right w:w="15" w:type="dxa"/>
            </w:tcMar>
            <w:vAlign w:val="center"/>
          </w:tcPr>
          <w:p w14:paraId="16B59661" w14:textId="77777777" w:rsidR="008B1EFF" w:rsidRDefault="0042190C">
            <w:pPr>
              <w:pStyle w:val="a0"/>
              <w:spacing w:before="120"/>
              <w:jc w:val="center"/>
              <w:rPr>
                <w:sz w:val="20"/>
                <w:szCs w:val="20"/>
              </w:rPr>
            </w:pPr>
            <w:r>
              <w:rPr>
                <w:sz w:val="20"/>
                <w:szCs w:val="20"/>
              </w:rPr>
              <w:t>17,51</w:t>
            </w:r>
          </w:p>
        </w:tc>
        <w:tc>
          <w:tcPr>
            <w:tcW w:w="1290" w:type="dxa"/>
            <w:shd w:val="clear" w:color="auto" w:fill="auto"/>
            <w:noWrap/>
            <w:tcMar>
              <w:top w:w="15" w:type="dxa"/>
              <w:left w:w="15" w:type="dxa"/>
              <w:bottom w:w="15" w:type="dxa"/>
              <w:right w:w="15" w:type="dxa"/>
            </w:tcMar>
            <w:vAlign w:val="center"/>
          </w:tcPr>
          <w:p w14:paraId="4F56C979" w14:textId="77777777" w:rsidR="008B1EFF" w:rsidRDefault="0042190C">
            <w:pPr>
              <w:pStyle w:val="a0"/>
              <w:spacing w:before="120"/>
              <w:jc w:val="center"/>
              <w:rPr>
                <w:sz w:val="20"/>
                <w:szCs w:val="20"/>
              </w:rPr>
            </w:pPr>
            <w:r>
              <w:rPr>
                <w:sz w:val="20"/>
                <w:szCs w:val="20"/>
              </w:rPr>
              <w:t>61682,76</w:t>
            </w:r>
          </w:p>
        </w:tc>
        <w:tc>
          <w:tcPr>
            <w:tcW w:w="1020" w:type="dxa"/>
            <w:shd w:val="clear" w:color="auto" w:fill="auto"/>
            <w:noWrap/>
            <w:tcMar>
              <w:top w:w="15" w:type="dxa"/>
              <w:left w:w="15" w:type="dxa"/>
              <w:bottom w:w="15" w:type="dxa"/>
              <w:right w:w="15" w:type="dxa"/>
            </w:tcMar>
            <w:vAlign w:val="center"/>
          </w:tcPr>
          <w:p w14:paraId="4F7C16AD" w14:textId="77777777" w:rsidR="008B1EFF" w:rsidRDefault="0042190C">
            <w:pPr>
              <w:pStyle w:val="a0"/>
              <w:spacing w:before="120"/>
              <w:jc w:val="center"/>
              <w:rPr>
                <w:sz w:val="20"/>
                <w:szCs w:val="20"/>
              </w:rPr>
            </w:pPr>
            <w:r>
              <w:rPr>
                <w:sz w:val="20"/>
                <w:szCs w:val="20"/>
              </w:rPr>
              <w:t>53%</w:t>
            </w:r>
          </w:p>
        </w:tc>
      </w:tr>
      <w:tr w:rsidR="008B1EFF" w14:paraId="399BECD9" w14:textId="77777777" w:rsidTr="00F74A49">
        <w:tc>
          <w:tcPr>
            <w:tcW w:w="1695" w:type="dxa"/>
            <w:shd w:val="clear" w:color="auto" w:fill="auto"/>
            <w:noWrap/>
            <w:tcMar>
              <w:top w:w="15" w:type="dxa"/>
              <w:left w:w="15" w:type="dxa"/>
              <w:bottom w:w="15" w:type="dxa"/>
              <w:right w:w="15" w:type="dxa"/>
            </w:tcMar>
            <w:vAlign w:val="center"/>
          </w:tcPr>
          <w:p w14:paraId="274C911F" w14:textId="77777777" w:rsidR="008B1EFF" w:rsidRDefault="0042190C">
            <w:pPr>
              <w:pStyle w:val="a0"/>
              <w:spacing w:before="120"/>
              <w:jc w:val="center"/>
            </w:pPr>
            <w:r>
              <w:rPr>
                <w:rStyle w:val="a1"/>
                <w:b/>
                <w:bCs/>
                <w:sz w:val="20"/>
                <w:szCs w:val="20"/>
              </w:rPr>
              <w:t>2018</w:t>
            </w:r>
          </w:p>
        </w:tc>
        <w:tc>
          <w:tcPr>
            <w:tcW w:w="1215" w:type="dxa"/>
            <w:shd w:val="clear" w:color="auto" w:fill="auto"/>
            <w:noWrap/>
            <w:tcMar>
              <w:top w:w="15" w:type="dxa"/>
              <w:left w:w="15" w:type="dxa"/>
              <w:bottom w:w="15" w:type="dxa"/>
              <w:right w:w="15" w:type="dxa"/>
            </w:tcMar>
            <w:vAlign w:val="center"/>
          </w:tcPr>
          <w:p w14:paraId="3F681ACB" w14:textId="77777777" w:rsidR="008B1EFF" w:rsidRDefault="0042190C">
            <w:pPr>
              <w:pStyle w:val="a0"/>
              <w:spacing w:before="120"/>
              <w:jc w:val="center"/>
              <w:rPr>
                <w:sz w:val="20"/>
                <w:szCs w:val="20"/>
              </w:rPr>
            </w:pPr>
            <w:r>
              <w:rPr>
                <w:sz w:val="20"/>
                <w:szCs w:val="20"/>
              </w:rPr>
              <w:t>43551,60</w:t>
            </w:r>
          </w:p>
        </w:tc>
        <w:tc>
          <w:tcPr>
            <w:tcW w:w="1140" w:type="dxa"/>
            <w:shd w:val="clear" w:color="auto" w:fill="auto"/>
            <w:noWrap/>
            <w:tcMar>
              <w:top w:w="15" w:type="dxa"/>
              <w:left w:w="15" w:type="dxa"/>
              <w:bottom w:w="15" w:type="dxa"/>
              <w:right w:w="15" w:type="dxa"/>
            </w:tcMar>
            <w:vAlign w:val="center"/>
          </w:tcPr>
          <w:p w14:paraId="17D8B0FF" w14:textId="77777777" w:rsidR="008B1EFF" w:rsidRDefault="0042190C">
            <w:pPr>
              <w:pStyle w:val="a0"/>
              <w:spacing w:before="120"/>
              <w:jc w:val="center"/>
              <w:rPr>
                <w:sz w:val="20"/>
                <w:szCs w:val="20"/>
              </w:rPr>
            </w:pPr>
            <w:r>
              <w:rPr>
                <w:sz w:val="20"/>
                <w:szCs w:val="20"/>
              </w:rPr>
              <w:t>6753,67</w:t>
            </w:r>
          </w:p>
        </w:tc>
        <w:tc>
          <w:tcPr>
            <w:tcW w:w="1140" w:type="dxa"/>
            <w:shd w:val="clear" w:color="auto" w:fill="auto"/>
            <w:noWrap/>
            <w:tcMar>
              <w:top w:w="15" w:type="dxa"/>
              <w:left w:w="15" w:type="dxa"/>
              <w:bottom w:w="15" w:type="dxa"/>
              <w:right w:w="15" w:type="dxa"/>
            </w:tcMar>
            <w:vAlign w:val="center"/>
          </w:tcPr>
          <w:p w14:paraId="6F0AD28B" w14:textId="77777777" w:rsidR="008B1EFF" w:rsidRDefault="0042190C">
            <w:pPr>
              <w:pStyle w:val="a0"/>
              <w:spacing w:before="120"/>
              <w:jc w:val="center"/>
              <w:rPr>
                <w:sz w:val="20"/>
                <w:szCs w:val="20"/>
              </w:rPr>
            </w:pPr>
            <w:r>
              <w:rPr>
                <w:sz w:val="20"/>
                <w:szCs w:val="20"/>
              </w:rPr>
              <w:t>5239,79</w:t>
            </w:r>
          </w:p>
        </w:tc>
        <w:tc>
          <w:tcPr>
            <w:tcW w:w="1020" w:type="dxa"/>
            <w:shd w:val="clear" w:color="auto" w:fill="auto"/>
            <w:noWrap/>
            <w:tcMar>
              <w:top w:w="15" w:type="dxa"/>
              <w:left w:w="15" w:type="dxa"/>
              <w:bottom w:w="15" w:type="dxa"/>
              <w:right w:w="15" w:type="dxa"/>
            </w:tcMar>
            <w:vAlign w:val="center"/>
          </w:tcPr>
          <w:p w14:paraId="0D3C0946" w14:textId="77777777" w:rsidR="008B1EFF" w:rsidRDefault="0042190C">
            <w:pPr>
              <w:pStyle w:val="a0"/>
              <w:spacing w:before="120"/>
              <w:jc w:val="center"/>
              <w:rPr>
                <w:sz w:val="20"/>
                <w:szCs w:val="20"/>
              </w:rPr>
            </w:pPr>
            <w:r>
              <w:rPr>
                <w:sz w:val="20"/>
                <w:szCs w:val="20"/>
              </w:rPr>
              <w:t>2252,53</w:t>
            </w:r>
          </w:p>
        </w:tc>
        <w:tc>
          <w:tcPr>
            <w:tcW w:w="735" w:type="dxa"/>
            <w:shd w:val="clear" w:color="auto" w:fill="auto"/>
            <w:noWrap/>
            <w:tcMar>
              <w:top w:w="15" w:type="dxa"/>
              <w:left w:w="15" w:type="dxa"/>
              <w:bottom w:w="15" w:type="dxa"/>
              <w:right w:w="15" w:type="dxa"/>
            </w:tcMar>
            <w:vAlign w:val="center"/>
          </w:tcPr>
          <w:p w14:paraId="533C6FC3" w14:textId="77777777" w:rsidR="008B1EFF" w:rsidRDefault="0042190C">
            <w:pPr>
              <w:pStyle w:val="a0"/>
              <w:spacing w:before="120"/>
              <w:jc w:val="center"/>
              <w:rPr>
                <w:sz w:val="20"/>
                <w:szCs w:val="20"/>
              </w:rPr>
            </w:pPr>
            <w:r>
              <w:rPr>
                <w:sz w:val="20"/>
                <w:szCs w:val="20"/>
              </w:rPr>
              <w:t>0,01</w:t>
            </w:r>
          </w:p>
        </w:tc>
        <w:tc>
          <w:tcPr>
            <w:tcW w:w="780" w:type="dxa"/>
            <w:shd w:val="clear" w:color="auto" w:fill="auto"/>
            <w:noWrap/>
            <w:tcMar>
              <w:top w:w="15" w:type="dxa"/>
              <w:left w:w="15" w:type="dxa"/>
              <w:bottom w:w="15" w:type="dxa"/>
              <w:right w:w="15" w:type="dxa"/>
            </w:tcMar>
            <w:vAlign w:val="center"/>
          </w:tcPr>
          <w:p w14:paraId="5098618F" w14:textId="77777777" w:rsidR="008B1EFF" w:rsidRDefault="0042190C">
            <w:pPr>
              <w:pStyle w:val="a0"/>
              <w:spacing w:before="120"/>
              <w:jc w:val="center"/>
              <w:rPr>
                <w:sz w:val="20"/>
                <w:szCs w:val="20"/>
              </w:rPr>
            </w:pPr>
            <w:r>
              <w:rPr>
                <w:sz w:val="20"/>
                <w:szCs w:val="20"/>
              </w:rPr>
              <w:t>17,99</w:t>
            </w:r>
          </w:p>
        </w:tc>
        <w:tc>
          <w:tcPr>
            <w:tcW w:w="1290" w:type="dxa"/>
            <w:shd w:val="clear" w:color="auto" w:fill="auto"/>
            <w:noWrap/>
            <w:tcMar>
              <w:top w:w="15" w:type="dxa"/>
              <w:left w:w="15" w:type="dxa"/>
              <w:bottom w:w="15" w:type="dxa"/>
              <w:right w:w="15" w:type="dxa"/>
            </w:tcMar>
            <w:vAlign w:val="center"/>
          </w:tcPr>
          <w:p w14:paraId="00E37D00" w14:textId="77777777" w:rsidR="008B1EFF" w:rsidRDefault="0042190C">
            <w:pPr>
              <w:pStyle w:val="a0"/>
              <w:spacing w:before="120"/>
              <w:jc w:val="center"/>
              <w:rPr>
                <w:sz w:val="20"/>
                <w:szCs w:val="20"/>
              </w:rPr>
            </w:pPr>
            <w:r>
              <w:rPr>
                <w:sz w:val="20"/>
                <w:szCs w:val="20"/>
              </w:rPr>
              <w:t>57815,59</w:t>
            </w:r>
          </w:p>
        </w:tc>
        <w:tc>
          <w:tcPr>
            <w:tcW w:w="1020" w:type="dxa"/>
            <w:shd w:val="clear" w:color="auto" w:fill="auto"/>
            <w:noWrap/>
            <w:tcMar>
              <w:top w:w="15" w:type="dxa"/>
              <w:left w:w="15" w:type="dxa"/>
              <w:bottom w:w="15" w:type="dxa"/>
              <w:right w:w="15" w:type="dxa"/>
            </w:tcMar>
            <w:vAlign w:val="center"/>
          </w:tcPr>
          <w:p w14:paraId="323F1881" w14:textId="77777777" w:rsidR="008B1EFF" w:rsidRDefault="0042190C">
            <w:pPr>
              <w:pStyle w:val="a0"/>
              <w:spacing w:before="120"/>
              <w:jc w:val="center"/>
              <w:rPr>
                <w:sz w:val="20"/>
                <w:szCs w:val="20"/>
              </w:rPr>
            </w:pPr>
            <w:r>
              <w:rPr>
                <w:sz w:val="20"/>
                <w:szCs w:val="20"/>
              </w:rPr>
              <w:t>50%</w:t>
            </w:r>
          </w:p>
        </w:tc>
      </w:tr>
    </w:tbl>
    <w:p w14:paraId="2DDA19F6" w14:textId="77777777" w:rsidR="008B1EFF" w:rsidRDefault="0042190C">
      <w:pPr>
        <w:pStyle w:val="a0"/>
        <w:spacing w:before="120" w:line="276" w:lineRule="auto"/>
      </w:pPr>
      <w:r>
        <w:rPr>
          <w:rStyle w:val="a1"/>
          <w:i/>
          <w:iCs/>
          <w:sz w:val="20"/>
          <w:szCs w:val="20"/>
        </w:rPr>
        <w:t>Източник: ИАОС , Национален доклад за инвентаризация на емисиите на ПГ за 2018г. </w:t>
      </w:r>
    </w:p>
    <w:p w14:paraId="2322BB59" w14:textId="77777777" w:rsidR="008B1EFF" w:rsidRPr="002E54A0" w:rsidRDefault="0042190C">
      <w:pPr>
        <w:pStyle w:val="a0"/>
        <w:spacing w:before="120" w:line="276" w:lineRule="auto"/>
        <w:jc w:val="both"/>
        <w:rPr>
          <w:sz w:val="22"/>
          <w:szCs w:val="22"/>
        </w:rPr>
      </w:pPr>
      <w:r w:rsidRPr="002E54A0">
        <w:rPr>
          <w:sz w:val="22"/>
          <w:szCs w:val="22"/>
        </w:rPr>
        <w:t>Анализът на разпределението на основните ПГ в общите емисии (в CO</w:t>
      </w:r>
      <w:r w:rsidRPr="002E54A0">
        <w:rPr>
          <w:rStyle w:val="a1"/>
          <w:sz w:val="22"/>
          <w:szCs w:val="22"/>
          <w:vertAlign w:val="subscript"/>
        </w:rPr>
        <w:t>2</w:t>
      </w:r>
      <w:r w:rsidRPr="002E54A0">
        <w:rPr>
          <w:sz w:val="22"/>
          <w:szCs w:val="22"/>
        </w:rPr>
        <w:t xml:space="preserve"> – екв.) за 2018 г. показва, че емисиите на CO</w:t>
      </w:r>
      <w:r w:rsidRPr="002E54A0">
        <w:rPr>
          <w:rStyle w:val="a1"/>
          <w:sz w:val="22"/>
          <w:szCs w:val="22"/>
          <w:vertAlign w:val="subscript"/>
        </w:rPr>
        <w:t>2</w:t>
      </w:r>
      <w:r w:rsidRPr="002E54A0">
        <w:rPr>
          <w:sz w:val="22"/>
          <w:szCs w:val="22"/>
        </w:rPr>
        <w:t xml:space="preserve"> имат най-голям дял от общите емисии на ПГ – 75%, емисиите на CH</w:t>
      </w:r>
      <w:r w:rsidRPr="002E54A0">
        <w:rPr>
          <w:rStyle w:val="a1"/>
          <w:sz w:val="22"/>
          <w:szCs w:val="22"/>
          <w:vertAlign w:val="subscript"/>
        </w:rPr>
        <w:t>4</w:t>
      </w:r>
      <w:r w:rsidRPr="002E54A0">
        <w:rPr>
          <w:sz w:val="22"/>
          <w:szCs w:val="22"/>
        </w:rPr>
        <w:t xml:space="preserve"> са на второ място с 12%, емисиите на N</w:t>
      </w:r>
      <w:r w:rsidRPr="002E54A0">
        <w:rPr>
          <w:rStyle w:val="a1"/>
          <w:sz w:val="22"/>
          <w:szCs w:val="22"/>
          <w:vertAlign w:val="subscript"/>
        </w:rPr>
        <w:t>2</w:t>
      </w:r>
      <w:r w:rsidRPr="002E54A0">
        <w:rPr>
          <w:sz w:val="22"/>
          <w:szCs w:val="22"/>
        </w:rPr>
        <w:t>O с дял 9% остават на трето място, F - газове са с дял от 4% - на четвърто. </w:t>
      </w:r>
    </w:p>
    <w:p w14:paraId="067A1C07" w14:textId="6583E275" w:rsidR="008B1EFF" w:rsidRPr="007C2C00" w:rsidRDefault="007C2C00" w:rsidP="007C2C00">
      <w:pPr>
        <w:pStyle w:val="Caption"/>
        <w:rPr>
          <w:rFonts w:ascii="Times New Roman" w:eastAsia="Times New Roman" w:hAnsi="Times New Roman"/>
          <w:b w:val="0"/>
          <w:i/>
          <w:color w:val="auto"/>
          <w:sz w:val="22"/>
          <w:szCs w:val="22"/>
          <w:lang w:val="bg-BG" w:eastAsia="bg-BG"/>
        </w:rPr>
      </w:pPr>
      <w:bookmarkStart w:id="34" w:name="_Toc71529781"/>
      <w:bookmarkStart w:id="35" w:name="_Toc72910391"/>
      <w:r w:rsidRPr="007C2C00">
        <w:rPr>
          <w:rFonts w:ascii="Times New Roman" w:eastAsia="Times New Roman" w:hAnsi="Times New Roman"/>
          <w:b w:val="0"/>
          <w:i/>
          <w:color w:val="auto"/>
          <w:sz w:val="22"/>
          <w:szCs w:val="22"/>
          <w:lang w:val="bg-BG" w:eastAsia="bg-BG"/>
        </w:rPr>
        <w:t xml:space="preserve">Фигура </w:t>
      </w:r>
      <w:r w:rsidRPr="007C2C00">
        <w:rPr>
          <w:rFonts w:ascii="Times New Roman" w:eastAsia="Times New Roman" w:hAnsi="Times New Roman"/>
          <w:b w:val="0"/>
          <w:i/>
          <w:color w:val="auto"/>
          <w:sz w:val="22"/>
          <w:szCs w:val="22"/>
          <w:lang w:val="bg-BG" w:eastAsia="bg-BG"/>
        </w:rPr>
        <w:fldChar w:fldCharType="begin"/>
      </w:r>
      <w:r w:rsidRPr="007C2C00">
        <w:rPr>
          <w:rFonts w:ascii="Times New Roman" w:eastAsia="Times New Roman" w:hAnsi="Times New Roman"/>
          <w:b w:val="0"/>
          <w:i/>
          <w:color w:val="auto"/>
          <w:sz w:val="22"/>
          <w:szCs w:val="22"/>
          <w:lang w:val="bg-BG" w:eastAsia="bg-BG"/>
        </w:rPr>
        <w:instrText xml:space="preserve"> SEQ Фигура \* ARABIC </w:instrText>
      </w:r>
      <w:r w:rsidRPr="007C2C00">
        <w:rPr>
          <w:rFonts w:ascii="Times New Roman" w:eastAsia="Times New Roman" w:hAnsi="Times New Roman"/>
          <w:b w:val="0"/>
          <w:i/>
          <w:color w:val="auto"/>
          <w:sz w:val="22"/>
          <w:szCs w:val="22"/>
          <w:lang w:val="bg-BG" w:eastAsia="bg-BG"/>
        </w:rPr>
        <w:fldChar w:fldCharType="separate"/>
      </w:r>
      <w:r w:rsidR="008059A7">
        <w:rPr>
          <w:rFonts w:ascii="Times New Roman" w:eastAsia="Times New Roman" w:hAnsi="Times New Roman"/>
          <w:b w:val="0"/>
          <w:i/>
          <w:noProof/>
          <w:color w:val="auto"/>
          <w:sz w:val="22"/>
          <w:szCs w:val="22"/>
          <w:lang w:val="bg-BG" w:eastAsia="bg-BG"/>
        </w:rPr>
        <w:t>8</w:t>
      </w:r>
      <w:r w:rsidRPr="007C2C00">
        <w:rPr>
          <w:rFonts w:ascii="Times New Roman" w:eastAsia="Times New Roman" w:hAnsi="Times New Roman"/>
          <w:b w:val="0"/>
          <w:i/>
          <w:color w:val="auto"/>
          <w:sz w:val="22"/>
          <w:szCs w:val="22"/>
          <w:lang w:val="bg-BG" w:eastAsia="bg-BG"/>
        </w:rPr>
        <w:fldChar w:fldCharType="end"/>
      </w:r>
      <w:r w:rsidRPr="007C2C00">
        <w:rPr>
          <w:rFonts w:ascii="Times New Roman" w:eastAsia="Times New Roman" w:hAnsi="Times New Roman"/>
          <w:b w:val="0"/>
          <w:i/>
          <w:color w:val="auto"/>
          <w:sz w:val="22"/>
          <w:szCs w:val="22"/>
          <w:lang w:val="bg-BG" w:eastAsia="bg-BG"/>
        </w:rPr>
        <w:t xml:space="preserve"> </w:t>
      </w:r>
      <w:r w:rsidR="0042190C" w:rsidRPr="007C2C00">
        <w:rPr>
          <w:rFonts w:ascii="Times New Roman" w:eastAsia="Times New Roman" w:hAnsi="Times New Roman"/>
          <w:b w:val="0"/>
          <w:i/>
          <w:color w:val="auto"/>
          <w:sz w:val="22"/>
          <w:szCs w:val="22"/>
          <w:lang w:val="bg-BG" w:eastAsia="bg-BG"/>
        </w:rPr>
        <w:t xml:space="preserve">Тенденция на емисиите на основните ПГ - CO2, CH4 и N2O и общата емисия на ПГ (в това число </w:t>
      </w:r>
      <w:proofErr w:type="spellStart"/>
      <w:r w:rsidR="0042190C" w:rsidRPr="007C2C00">
        <w:rPr>
          <w:rFonts w:ascii="Times New Roman" w:eastAsia="Times New Roman" w:hAnsi="Times New Roman"/>
          <w:b w:val="0"/>
          <w:i/>
          <w:color w:val="auto"/>
          <w:sz w:val="22"/>
          <w:szCs w:val="22"/>
          <w:lang w:val="bg-BG" w:eastAsia="bg-BG"/>
        </w:rPr>
        <w:t>HFCs</w:t>
      </w:r>
      <w:proofErr w:type="spellEnd"/>
      <w:r w:rsidR="0042190C" w:rsidRPr="007C2C00">
        <w:rPr>
          <w:rFonts w:ascii="Times New Roman" w:eastAsia="Times New Roman" w:hAnsi="Times New Roman"/>
          <w:b w:val="0"/>
          <w:i/>
          <w:color w:val="auto"/>
          <w:sz w:val="22"/>
          <w:szCs w:val="22"/>
          <w:lang w:val="bg-BG" w:eastAsia="bg-BG"/>
        </w:rPr>
        <w:t xml:space="preserve">, </w:t>
      </w:r>
      <w:proofErr w:type="spellStart"/>
      <w:r w:rsidR="0042190C" w:rsidRPr="007C2C00">
        <w:rPr>
          <w:rFonts w:ascii="Times New Roman" w:eastAsia="Times New Roman" w:hAnsi="Times New Roman"/>
          <w:b w:val="0"/>
          <w:i/>
          <w:color w:val="auto"/>
          <w:sz w:val="22"/>
          <w:szCs w:val="22"/>
          <w:lang w:val="bg-BG" w:eastAsia="bg-BG"/>
        </w:rPr>
        <w:t>PFCs</w:t>
      </w:r>
      <w:proofErr w:type="spellEnd"/>
      <w:r w:rsidR="0042190C" w:rsidRPr="007C2C00">
        <w:rPr>
          <w:rFonts w:ascii="Times New Roman" w:eastAsia="Times New Roman" w:hAnsi="Times New Roman"/>
          <w:b w:val="0"/>
          <w:i/>
          <w:color w:val="auto"/>
          <w:sz w:val="22"/>
          <w:szCs w:val="22"/>
          <w:lang w:val="bg-BG" w:eastAsia="bg-BG"/>
        </w:rPr>
        <w:t xml:space="preserve"> и SF6) за периода 1988-2018 г., </w:t>
      </w:r>
      <w:proofErr w:type="spellStart"/>
      <w:r w:rsidR="0042190C" w:rsidRPr="007C2C00">
        <w:rPr>
          <w:rFonts w:ascii="Times New Roman" w:eastAsia="Times New Roman" w:hAnsi="Times New Roman"/>
          <w:b w:val="0"/>
          <w:i/>
          <w:color w:val="auto"/>
          <w:sz w:val="22"/>
          <w:szCs w:val="22"/>
          <w:lang w:val="bg-BG" w:eastAsia="bg-BG"/>
        </w:rPr>
        <w:t>Gg</w:t>
      </w:r>
      <w:proofErr w:type="spellEnd"/>
      <w:r w:rsidR="0042190C" w:rsidRPr="007C2C00">
        <w:rPr>
          <w:rFonts w:ascii="Times New Roman" w:eastAsia="Times New Roman" w:hAnsi="Times New Roman"/>
          <w:b w:val="0"/>
          <w:i/>
          <w:color w:val="auto"/>
          <w:sz w:val="22"/>
          <w:szCs w:val="22"/>
          <w:lang w:val="bg-BG" w:eastAsia="bg-BG"/>
        </w:rPr>
        <w:t xml:space="preserve"> CO2 – екв.</w:t>
      </w:r>
      <w:bookmarkEnd w:id="34"/>
      <w:bookmarkEnd w:id="35"/>
    </w:p>
    <w:p w14:paraId="1591F217" w14:textId="77777777" w:rsidR="008B1EFF" w:rsidRDefault="0042190C">
      <w:pPr>
        <w:pStyle w:val="a0"/>
        <w:spacing w:before="120" w:line="276" w:lineRule="auto"/>
        <w:jc w:val="center"/>
      </w:pPr>
      <w:r>
        <w:rPr>
          <w:rStyle w:val="a1"/>
          <w:b/>
          <w:bCs/>
          <w:noProof/>
          <w:lang w:val="en-GB" w:eastAsia="en-GB"/>
        </w:rPr>
        <w:lastRenderedPageBreak/>
        <w:drawing>
          <wp:inline distT="0" distB="0" distL="0" distR="0" wp14:anchorId="50332CE8" wp14:editId="564EA3C9">
            <wp:extent cx="4638129" cy="2106905"/>
            <wp:effectExtent l="0" t="0" r="0" b="7645"/>
            <wp:docPr id="18" name="Picture 170" descr="http://eea.government.bg/bg/soer/2018/climate/figuri/climat11.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rcRect/>
                    <a:stretch>
                      <a:fillRect/>
                    </a:stretch>
                  </pic:blipFill>
                  <pic:spPr>
                    <a:xfrm>
                      <a:off x="0" y="0"/>
                      <a:ext cx="4638129" cy="2106905"/>
                    </a:xfrm>
                    <a:prstGeom prst="rect">
                      <a:avLst/>
                    </a:prstGeom>
                    <a:noFill/>
                    <a:ln>
                      <a:noFill/>
                      <a:prstDash/>
                    </a:ln>
                  </pic:spPr>
                </pic:pic>
              </a:graphicData>
            </a:graphic>
          </wp:inline>
        </w:drawing>
      </w:r>
    </w:p>
    <w:p w14:paraId="1B012304" w14:textId="77777777" w:rsidR="008B1EFF" w:rsidRDefault="0042190C">
      <w:pPr>
        <w:pStyle w:val="a0"/>
        <w:spacing w:before="120" w:line="276" w:lineRule="auto"/>
      </w:pPr>
      <w:r>
        <w:rPr>
          <w:rStyle w:val="a1"/>
          <w:i/>
          <w:iCs/>
          <w:sz w:val="20"/>
          <w:szCs w:val="20"/>
        </w:rPr>
        <w:t xml:space="preserve">Източник: ИАОС , Национален доклад за инвентаризация на емисиите на ПГ за 2018 г. </w:t>
      </w:r>
    </w:p>
    <w:p w14:paraId="15A90EF2" w14:textId="4FC9103E" w:rsidR="008B1EFF" w:rsidRPr="002E54A0" w:rsidRDefault="0042190C">
      <w:pPr>
        <w:pStyle w:val="a0"/>
        <w:spacing w:before="120" w:after="120" w:line="264" w:lineRule="auto"/>
        <w:jc w:val="both"/>
        <w:rPr>
          <w:sz w:val="22"/>
          <w:szCs w:val="22"/>
        </w:rPr>
      </w:pPr>
      <w:r w:rsidRPr="002E54A0">
        <w:rPr>
          <w:sz w:val="22"/>
          <w:szCs w:val="22"/>
        </w:rPr>
        <w:t xml:space="preserve">Анализът на Фиг. </w:t>
      </w:r>
      <w:r w:rsidR="007C2C00" w:rsidRPr="007C2C00">
        <w:t xml:space="preserve">8 </w:t>
      </w:r>
      <w:r w:rsidRPr="002E54A0">
        <w:rPr>
          <w:sz w:val="22"/>
          <w:szCs w:val="22"/>
        </w:rPr>
        <w:t>показва, че за периода 1988 – 2018 г., емисиите на основните ПГ имат тенденция към намаляване, като минимумът e през 2013 г (48% от базовата година).</w:t>
      </w:r>
    </w:p>
    <w:p w14:paraId="11AF2020" w14:textId="77777777" w:rsidR="008B1EFF" w:rsidRPr="002E54A0" w:rsidRDefault="0042190C">
      <w:pPr>
        <w:pStyle w:val="a0"/>
        <w:spacing w:before="120" w:after="120" w:line="264" w:lineRule="auto"/>
        <w:jc w:val="both"/>
        <w:rPr>
          <w:sz w:val="22"/>
          <w:szCs w:val="22"/>
        </w:rPr>
      </w:pPr>
      <w:r w:rsidRPr="002E54A0">
        <w:rPr>
          <w:rStyle w:val="a1"/>
          <w:b/>
          <w:bCs/>
          <w:iCs/>
          <w:sz w:val="22"/>
          <w:szCs w:val="22"/>
        </w:rPr>
        <w:t>Тенденции в емисиите на парникови газове по сектори от класификацията на Междуправителствения комитет по изменение на климата (IPCC</w:t>
      </w:r>
      <w:r w:rsidRPr="002E54A0">
        <w:rPr>
          <w:sz w:val="22"/>
          <w:szCs w:val="22"/>
        </w:rPr>
        <w:t>)</w:t>
      </w:r>
    </w:p>
    <w:p w14:paraId="067026AC" w14:textId="77777777" w:rsidR="008B1EFF" w:rsidRPr="002E54A0" w:rsidRDefault="0042190C">
      <w:pPr>
        <w:pStyle w:val="a0"/>
        <w:spacing w:before="120" w:after="120" w:line="264" w:lineRule="auto"/>
        <w:jc w:val="both"/>
        <w:rPr>
          <w:b/>
          <w:sz w:val="22"/>
          <w:szCs w:val="22"/>
        </w:rPr>
      </w:pPr>
      <w:r w:rsidRPr="002E54A0">
        <w:rPr>
          <w:b/>
          <w:sz w:val="22"/>
          <w:szCs w:val="22"/>
        </w:rPr>
        <w:t>Сектор „Енергетика”</w:t>
      </w:r>
    </w:p>
    <w:p w14:paraId="17884D0F" w14:textId="77777777" w:rsidR="008B1EFF" w:rsidRPr="002E54A0" w:rsidRDefault="0042190C">
      <w:pPr>
        <w:pStyle w:val="a0"/>
        <w:spacing w:before="120" w:after="120" w:line="264" w:lineRule="auto"/>
        <w:jc w:val="both"/>
        <w:rPr>
          <w:sz w:val="22"/>
          <w:szCs w:val="22"/>
        </w:rPr>
      </w:pPr>
      <w:r w:rsidRPr="002E54A0">
        <w:rPr>
          <w:sz w:val="22"/>
          <w:szCs w:val="22"/>
        </w:rPr>
        <w:t>Енергийният сектор, съгласно от класификацията на Междуправителствения комитет по изменение на климата, отчита всички емисии на парникови газове, произтичащи от стационарни горивни дейности в енергетиката и преработващата промишленост, търговски, селскостопански и битови сектори, мобилни горивни дейности, произтичащи от авиацията, автомобилния транспорт, железопътния транспорт и навигацията, както и като неорганизираните емисии от горива. В съответствие с номенклатурата енергийния сектор са включени емисии от изгаряне на горива за получаване на енергия. В този сектор са включени и неорганизирани емисии при добив, пренос и разпределение на твърди, течни и газообразни горива.</w:t>
      </w:r>
    </w:p>
    <w:p w14:paraId="6300F13E" w14:textId="77777777" w:rsidR="008B1EFF" w:rsidRPr="002E54A0" w:rsidRDefault="0042190C">
      <w:pPr>
        <w:pStyle w:val="a0"/>
        <w:spacing w:before="120" w:after="120" w:line="264" w:lineRule="auto"/>
        <w:jc w:val="both"/>
        <w:rPr>
          <w:sz w:val="22"/>
          <w:szCs w:val="22"/>
        </w:rPr>
      </w:pPr>
      <w:r w:rsidRPr="002E54A0">
        <w:rPr>
          <w:sz w:val="22"/>
          <w:szCs w:val="22"/>
        </w:rPr>
        <w:t>Емисиите от енергийния сектор са основният източник на парникови газове в България: през 2018 г.</w:t>
      </w:r>
      <w:r w:rsidRPr="002E54A0">
        <w:rPr>
          <w:rStyle w:val="a1"/>
          <w:sz w:val="22"/>
          <w:szCs w:val="22"/>
          <w:vertAlign w:val="superscript"/>
        </w:rPr>
        <w:footnoteReference w:id="30"/>
      </w:r>
      <w:r w:rsidRPr="002E54A0">
        <w:rPr>
          <w:sz w:val="22"/>
          <w:szCs w:val="22"/>
        </w:rPr>
        <w:t xml:space="preserve"> количеството на ПГ от 41 197 </w:t>
      </w:r>
      <w:proofErr w:type="spellStart"/>
      <w:r w:rsidRPr="002E54A0">
        <w:rPr>
          <w:sz w:val="22"/>
          <w:szCs w:val="22"/>
        </w:rPr>
        <w:t>Gg</w:t>
      </w:r>
      <w:proofErr w:type="spellEnd"/>
      <w:r w:rsidRPr="002E54A0">
        <w:rPr>
          <w:sz w:val="22"/>
          <w:szCs w:val="22"/>
        </w:rPr>
        <w:t xml:space="preserve"> CO2-eкв. е 71.3% от общо количество през годината от 57 816 </w:t>
      </w:r>
      <w:proofErr w:type="spellStart"/>
      <w:r w:rsidRPr="002E54A0">
        <w:rPr>
          <w:sz w:val="22"/>
          <w:szCs w:val="22"/>
        </w:rPr>
        <w:t>Gg</w:t>
      </w:r>
      <w:proofErr w:type="spellEnd"/>
      <w:r w:rsidRPr="002E54A0">
        <w:rPr>
          <w:sz w:val="22"/>
          <w:szCs w:val="22"/>
        </w:rPr>
        <w:t xml:space="preserve"> CO2-eкв. без ЗПЗГС. </w:t>
      </w:r>
    </w:p>
    <w:p w14:paraId="3633CB97" w14:textId="77777777" w:rsidR="008B1EFF" w:rsidRPr="002E54A0" w:rsidRDefault="0042190C">
      <w:pPr>
        <w:pStyle w:val="a0"/>
        <w:spacing w:before="120" w:after="120" w:line="264" w:lineRule="auto"/>
        <w:jc w:val="both"/>
        <w:rPr>
          <w:sz w:val="22"/>
          <w:szCs w:val="22"/>
        </w:rPr>
      </w:pPr>
      <w:r w:rsidRPr="002E54A0">
        <w:rPr>
          <w:sz w:val="22"/>
          <w:szCs w:val="22"/>
        </w:rPr>
        <w:t>Секторът генерира над 90 % от общите емисии въглероден диоксид.</w:t>
      </w:r>
    </w:p>
    <w:p w14:paraId="7C162131" w14:textId="77777777" w:rsidR="008B1EFF" w:rsidRPr="002E54A0" w:rsidRDefault="0042190C">
      <w:pPr>
        <w:pStyle w:val="a0"/>
        <w:spacing w:before="120" w:after="120" w:line="264" w:lineRule="auto"/>
        <w:jc w:val="both"/>
        <w:rPr>
          <w:sz w:val="22"/>
          <w:szCs w:val="22"/>
        </w:rPr>
      </w:pPr>
      <w:r w:rsidRPr="002E54A0">
        <w:rPr>
          <w:sz w:val="22"/>
          <w:szCs w:val="22"/>
        </w:rPr>
        <w:t>Най-голям дял от емисиите на ПГ имат горивни процеси за производство на енергия – 57% от сумарните емисии на сектора. През 2018 г. се наблюдава намаление на емисиите на ПГ с 8.3% спрямо 2017 г.</w:t>
      </w:r>
    </w:p>
    <w:p w14:paraId="78043D9F" w14:textId="77777777" w:rsidR="008B1EFF" w:rsidRPr="002E54A0" w:rsidRDefault="0042190C">
      <w:pPr>
        <w:pStyle w:val="a0"/>
        <w:spacing w:line="264" w:lineRule="auto"/>
        <w:jc w:val="both"/>
        <w:rPr>
          <w:sz w:val="22"/>
          <w:szCs w:val="22"/>
        </w:rPr>
      </w:pPr>
      <w:r w:rsidRPr="002E54A0">
        <w:rPr>
          <w:sz w:val="22"/>
          <w:szCs w:val="22"/>
        </w:rPr>
        <w:t xml:space="preserve">В тази категория е включен разходът на гориво в следните </w:t>
      </w:r>
      <w:proofErr w:type="spellStart"/>
      <w:r w:rsidRPr="002E54A0">
        <w:rPr>
          <w:sz w:val="22"/>
          <w:szCs w:val="22"/>
        </w:rPr>
        <w:t>подкатегории</w:t>
      </w:r>
      <w:proofErr w:type="spellEnd"/>
      <w:r w:rsidRPr="002E54A0">
        <w:rPr>
          <w:sz w:val="22"/>
          <w:szCs w:val="22"/>
        </w:rPr>
        <w:t>:</w:t>
      </w:r>
    </w:p>
    <w:p w14:paraId="55BD0175" w14:textId="77777777" w:rsidR="008B1EFF" w:rsidRPr="002E54A0" w:rsidRDefault="0042190C">
      <w:pPr>
        <w:pStyle w:val="a0"/>
        <w:numPr>
          <w:ilvl w:val="0"/>
          <w:numId w:val="22"/>
        </w:numPr>
        <w:spacing w:line="264" w:lineRule="auto"/>
        <w:ind w:left="1418" w:hanging="709"/>
        <w:jc w:val="both"/>
        <w:rPr>
          <w:sz w:val="22"/>
          <w:szCs w:val="22"/>
        </w:rPr>
      </w:pPr>
      <w:r w:rsidRPr="002E54A0">
        <w:rPr>
          <w:sz w:val="22"/>
          <w:szCs w:val="22"/>
        </w:rPr>
        <w:t>конвенционални електроцентрали, ТЕЦ и топлоцентрали (обществени и частни),</w:t>
      </w:r>
    </w:p>
    <w:p w14:paraId="4EEDD9B8" w14:textId="77777777" w:rsidR="008B1EFF" w:rsidRPr="002E54A0" w:rsidRDefault="0042190C">
      <w:pPr>
        <w:pStyle w:val="a0"/>
        <w:numPr>
          <w:ilvl w:val="0"/>
          <w:numId w:val="22"/>
        </w:numPr>
        <w:spacing w:line="264" w:lineRule="auto"/>
        <w:ind w:left="1418" w:hanging="709"/>
        <w:jc w:val="both"/>
        <w:rPr>
          <w:sz w:val="22"/>
          <w:szCs w:val="22"/>
        </w:rPr>
      </w:pPr>
      <w:r w:rsidRPr="002E54A0">
        <w:rPr>
          <w:sz w:val="22"/>
          <w:szCs w:val="22"/>
        </w:rPr>
        <w:t>заводи за рафиниране на нефт,</w:t>
      </w:r>
    </w:p>
    <w:p w14:paraId="15C6371F" w14:textId="77777777" w:rsidR="008B1EFF" w:rsidRPr="002E54A0" w:rsidRDefault="0042190C">
      <w:pPr>
        <w:pStyle w:val="a0"/>
        <w:numPr>
          <w:ilvl w:val="0"/>
          <w:numId w:val="22"/>
        </w:numPr>
        <w:spacing w:line="264" w:lineRule="auto"/>
        <w:ind w:left="1418" w:hanging="709"/>
        <w:jc w:val="both"/>
        <w:rPr>
          <w:sz w:val="22"/>
          <w:szCs w:val="22"/>
        </w:rPr>
      </w:pPr>
      <w:r w:rsidRPr="002E54A0">
        <w:rPr>
          <w:sz w:val="22"/>
          <w:szCs w:val="22"/>
        </w:rPr>
        <w:t>инсталации за трансформация на твърдо гориво,</w:t>
      </w:r>
    </w:p>
    <w:p w14:paraId="703D5A7A" w14:textId="77777777" w:rsidR="008B1EFF" w:rsidRPr="002E54A0" w:rsidRDefault="0042190C">
      <w:pPr>
        <w:pStyle w:val="a0"/>
        <w:numPr>
          <w:ilvl w:val="0"/>
          <w:numId w:val="22"/>
        </w:numPr>
        <w:spacing w:line="264" w:lineRule="auto"/>
        <w:ind w:left="1418" w:hanging="709"/>
        <w:jc w:val="both"/>
        <w:rPr>
          <w:sz w:val="22"/>
          <w:szCs w:val="22"/>
        </w:rPr>
      </w:pPr>
      <w:r w:rsidRPr="002E54A0">
        <w:rPr>
          <w:sz w:val="22"/>
          <w:szCs w:val="22"/>
        </w:rPr>
        <w:lastRenderedPageBreak/>
        <w:t>добив на нефт и газ и добив на въглища,</w:t>
      </w:r>
    </w:p>
    <w:p w14:paraId="7CC4FFB0" w14:textId="77777777" w:rsidR="008B1EFF" w:rsidRPr="002E54A0" w:rsidRDefault="0042190C">
      <w:pPr>
        <w:pStyle w:val="a0"/>
        <w:numPr>
          <w:ilvl w:val="0"/>
          <w:numId w:val="22"/>
        </w:numPr>
        <w:spacing w:line="264" w:lineRule="auto"/>
        <w:ind w:left="1418" w:hanging="709"/>
        <w:jc w:val="both"/>
        <w:rPr>
          <w:sz w:val="22"/>
          <w:szCs w:val="22"/>
        </w:rPr>
      </w:pPr>
      <w:r w:rsidRPr="002E54A0">
        <w:rPr>
          <w:sz w:val="22"/>
          <w:szCs w:val="22"/>
        </w:rPr>
        <w:t>собствено потребление на енергийния сектор.</w:t>
      </w:r>
    </w:p>
    <w:p w14:paraId="2C920F6E" w14:textId="7F6C2B61" w:rsidR="008B1EFF" w:rsidRPr="002E54A0" w:rsidRDefault="0042190C">
      <w:pPr>
        <w:pStyle w:val="a0"/>
        <w:spacing w:before="120" w:after="120" w:line="264" w:lineRule="auto"/>
        <w:jc w:val="both"/>
        <w:rPr>
          <w:sz w:val="22"/>
          <w:szCs w:val="22"/>
        </w:rPr>
      </w:pPr>
      <w:r w:rsidRPr="002E54A0">
        <w:rPr>
          <w:sz w:val="22"/>
          <w:szCs w:val="22"/>
        </w:rPr>
        <w:t>Общите емисии на ПГ от изгаряне през 2018</w:t>
      </w:r>
      <w:r w:rsidR="00FD7BA7">
        <w:rPr>
          <w:sz w:val="22"/>
          <w:szCs w:val="22"/>
        </w:rPr>
        <w:t xml:space="preserve"> </w:t>
      </w:r>
      <w:r w:rsidRPr="002E54A0">
        <w:rPr>
          <w:sz w:val="22"/>
          <w:szCs w:val="22"/>
        </w:rPr>
        <w:t xml:space="preserve">г. са 39 348 </w:t>
      </w:r>
      <w:proofErr w:type="spellStart"/>
      <w:r w:rsidRPr="002E54A0">
        <w:rPr>
          <w:sz w:val="22"/>
          <w:szCs w:val="22"/>
        </w:rPr>
        <w:t>Gg</w:t>
      </w:r>
      <w:proofErr w:type="spellEnd"/>
      <w:r w:rsidRPr="002E54A0">
        <w:rPr>
          <w:sz w:val="22"/>
          <w:szCs w:val="22"/>
        </w:rPr>
        <w:t xml:space="preserve"> CO2-екв. Делът на емисиите от изгаряне на твърди горива е 55.5%, на течни горива - 31.0% и 12.1% от газообразни горива.</w:t>
      </w:r>
    </w:p>
    <w:p w14:paraId="7A66B89D" w14:textId="77777777" w:rsidR="008B1EFF" w:rsidRPr="002E54A0" w:rsidRDefault="0042190C">
      <w:pPr>
        <w:pStyle w:val="a0"/>
        <w:spacing w:before="120" w:after="120" w:line="264" w:lineRule="auto"/>
        <w:jc w:val="both"/>
        <w:rPr>
          <w:sz w:val="22"/>
          <w:szCs w:val="22"/>
        </w:rPr>
      </w:pPr>
      <w:r w:rsidRPr="002E54A0">
        <w:rPr>
          <w:sz w:val="22"/>
          <w:szCs w:val="22"/>
        </w:rPr>
        <w:t>Общата тенденция показва намаляване на дела на твърдите горива, най-вече поради намаления износ на енергийните индустрии, увеличението на течни и газообразни горива, поради нарастването на транспортния и промишления сектор, включително на продължаващата газификация на промишлени предприятия, жилищни сектор и транспорт.</w:t>
      </w:r>
    </w:p>
    <w:p w14:paraId="51C54E14" w14:textId="752D2DC7" w:rsidR="008B1EFF" w:rsidRPr="007C2C00" w:rsidRDefault="007C2C00" w:rsidP="007C2C00">
      <w:pPr>
        <w:pStyle w:val="Caption"/>
        <w:rPr>
          <w:rFonts w:ascii="Times New Roman" w:eastAsia="Times New Roman" w:hAnsi="Times New Roman"/>
          <w:b w:val="0"/>
          <w:i/>
          <w:color w:val="auto"/>
          <w:sz w:val="22"/>
          <w:szCs w:val="22"/>
          <w:lang w:val="bg-BG" w:eastAsia="bg-BG"/>
        </w:rPr>
      </w:pPr>
      <w:bookmarkStart w:id="36" w:name="_Toc71529782"/>
      <w:bookmarkStart w:id="37" w:name="_Toc72910392"/>
      <w:bookmarkStart w:id="38" w:name="_Toc54967942"/>
      <w:r w:rsidRPr="007C2C00">
        <w:rPr>
          <w:rFonts w:ascii="Times New Roman" w:eastAsia="Times New Roman" w:hAnsi="Times New Roman"/>
          <w:b w:val="0"/>
          <w:i/>
          <w:color w:val="auto"/>
          <w:sz w:val="22"/>
          <w:szCs w:val="22"/>
          <w:lang w:val="bg-BG" w:eastAsia="bg-BG"/>
        </w:rPr>
        <w:t xml:space="preserve">Фигура </w:t>
      </w:r>
      <w:r w:rsidRPr="007C2C00">
        <w:rPr>
          <w:rFonts w:ascii="Times New Roman" w:eastAsia="Times New Roman" w:hAnsi="Times New Roman"/>
          <w:b w:val="0"/>
          <w:i/>
          <w:color w:val="auto"/>
          <w:sz w:val="22"/>
          <w:szCs w:val="22"/>
          <w:lang w:val="bg-BG" w:eastAsia="bg-BG"/>
        </w:rPr>
        <w:fldChar w:fldCharType="begin"/>
      </w:r>
      <w:r w:rsidRPr="007C2C00">
        <w:rPr>
          <w:rFonts w:ascii="Times New Roman" w:eastAsia="Times New Roman" w:hAnsi="Times New Roman"/>
          <w:b w:val="0"/>
          <w:i/>
          <w:color w:val="auto"/>
          <w:sz w:val="22"/>
          <w:szCs w:val="22"/>
          <w:lang w:val="bg-BG" w:eastAsia="bg-BG"/>
        </w:rPr>
        <w:instrText xml:space="preserve"> SEQ Фигура \* ARABIC </w:instrText>
      </w:r>
      <w:r w:rsidRPr="007C2C00">
        <w:rPr>
          <w:rFonts w:ascii="Times New Roman" w:eastAsia="Times New Roman" w:hAnsi="Times New Roman"/>
          <w:b w:val="0"/>
          <w:i/>
          <w:color w:val="auto"/>
          <w:sz w:val="22"/>
          <w:szCs w:val="22"/>
          <w:lang w:val="bg-BG" w:eastAsia="bg-BG"/>
        </w:rPr>
        <w:fldChar w:fldCharType="separate"/>
      </w:r>
      <w:r w:rsidR="008059A7">
        <w:rPr>
          <w:rFonts w:ascii="Times New Roman" w:eastAsia="Times New Roman" w:hAnsi="Times New Roman"/>
          <w:b w:val="0"/>
          <w:i/>
          <w:noProof/>
          <w:color w:val="auto"/>
          <w:sz w:val="22"/>
          <w:szCs w:val="22"/>
          <w:lang w:val="bg-BG" w:eastAsia="bg-BG"/>
        </w:rPr>
        <w:t>9</w:t>
      </w:r>
      <w:r w:rsidRPr="007C2C00">
        <w:rPr>
          <w:rFonts w:ascii="Times New Roman" w:eastAsia="Times New Roman" w:hAnsi="Times New Roman"/>
          <w:b w:val="0"/>
          <w:i/>
          <w:color w:val="auto"/>
          <w:sz w:val="22"/>
          <w:szCs w:val="22"/>
          <w:lang w:val="bg-BG" w:eastAsia="bg-BG"/>
        </w:rPr>
        <w:fldChar w:fldCharType="end"/>
      </w:r>
      <w:r w:rsidRPr="007C2C00">
        <w:rPr>
          <w:rFonts w:ascii="Times New Roman" w:eastAsia="Times New Roman" w:hAnsi="Times New Roman"/>
          <w:b w:val="0"/>
          <w:i/>
          <w:color w:val="auto"/>
          <w:sz w:val="22"/>
          <w:szCs w:val="22"/>
          <w:lang w:val="bg-BG" w:eastAsia="bg-BG"/>
        </w:rPr>
        <w:t xml:space="preserve"> </w:t>
      </w:r>
      <w:r w:rsidR="0042190C" w:rsidRPr="007C2C00">
        <w:rPr>
          <w:rFonts w:ascii="Times New Roman" w:eastAsia="Times New Roman" w:hAnsi="Times New Roman"/>
          <w:b w:val="0"/>
          <w:i/>
          <w:color w:val="auto"/>
          <w:sz w:val="22"/>
          <w:szCs w:val="22"/>
          <w:lang w:val="bg-BG" w:eastAsia="bg-BG"/>
        </w:rPr>
        <w:t>Общи емисии на парникови газове (</w:t>
      </w:r>
      <w:proofErr w:type="spellStart"/>
      <w:r w:rsidR="0042190C" w:rsidRPr="007C2C00">
        <w:rPr>
          <w:rFonts w:ascii="Times New Roman" w:eastAsia="Times New Roman" w:hAnsi="Times New Roman"/>
          <w:b w:val="0"/>
          <w:i/>
          <w:color w:val="auto"/>
          <w:sz w:val="22"/>
          <w:szCs w:val="22"/>
          <w:lang w:val="bg-BG" w:eastAsia="bg-BG"/>
        </w:rPr>
        <w:t>Gg</w:t>
      </w:r>
      <w:proofErr w:type="spellEnd"/>
      <w:r w:rsidR="0042190C" w:rsidRPr="007C2C00">
        <w:rPr>
          <w:rFonts w:ascii="Times New Roman" w:eastAsia="Times New Roman" w:hAnsi="Times New Roman"/>
          <w:b w:val="0"/>
          <w:i/>
          <w:color w:val="auto"/>
          <w:sz w:val="22"/>
          <w:szCs w:val="22"/>
          <w:lang w:val="bg-BG" w:eastAsia="bg-BG"/>
        </w:rPr>
        <w:t xml:space="preserve"> CO2-екв.) от изгаряне по видове горива</w:t>
      </w:r>
      <w:bookmarkEnd w:id="36"/>
      <w:bookmarkEnd w:id="37"/>
      <w:r w:rsidR="0042190C" w:rsidRPr="007C2C00">
        <w:rPr>
          <w:rFonts w:ascii="Times New Roman" w:eastAsia="Times New Roman" w:hAnsi="Times New Roman"/>
          <w:b w:val="0"/>
          <w:i/>
          <w:color w:val="auto"/>
          <w:sz w:val="22"/>
          <w:szCs w:val="22"/>
          <w:lang w:val="bg-BG" w:eastAsia="bg-BG"/>
        </w:rPr>
        <w:t xml:space="preserve"> </w:t>
      </w:r>
      <w:bookmarkEnd w:id="38"/>
    </w:p>
    <w:p w14:paraId="1951369A" w14:textId="77777777" w:rsidR="008B1EFF" w:rsidRDefault="0042190C">
      <w:pPr>
        <w:pStyle w:val="a0"/>
        <w:spacing w:before="120" w:line="276" w:lineRule="auto"/>
        <w:jc w:val="center"/>
      </w:pPr>
      <w:r>
        <w:rPr>
          <w:rStyle w:val="a1"/>
          <w:rFonts w:eastAsia="ヒラギノ角ゴ Pro W3"/>
          <w:noProof/>
          <w:color w:val="000000"/>
          <w:lang w:val="en-GB" w:eastAsia="en-GB"/>
        </w:rPr>
        <w:drawing>
          <wp:inline distT="0" distB="0" distL="0" distR="0" wp14:anchorId="21EE3841" wp14:editId="4AF0CE1C">
            <wp:extent cx="5075925" cy="2303913"/>
            <wp:effectExtent l="0" t="0" r="0" b="1137"/>
            <wp:docPr id="19" name="Picture 17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rcRect/>
                    <a:stretch>
                      <a:fillRect/>
                    </a:stretch>
                  </pic:blipFill>
                  <pic:spPr>
                    <a:xfrm>
                      <a:off x="0" y="0"/>
                      <a:ext cx="5075925" cy="2303913"/>
                    </a:xfrm>
                    <a:prstGeom prst="rect">
                      <a:avLst/>
                    </a:prstGeom>
                    <a:noFill/>
                    <a:ln>
                      <a:noFill/>
                      <a:prstDash/>
                    </a:ln>
                  </pic:spPr>
                </pic:pic>
              </a:graphicData>
            </a:graphic>
          </wp:inline>
        </w:drawing>
      </w:r>
    </w:p>
    <w:p w14:paraId="5BA8638C" w14:textId="77777777" w:rsidR="008B1EFF" w:rsidRPr="002E54A0" w:rsidRDefault="0042190C">
      <w:pPr>
        <w:pStyle w:val="a0"/>
        <w:spacing w:before="120" w:after="120" w:line="264" w:lineRule="auto"/>
        <w:rPr>
          <w:b/>
          <w:sz w:val="22"/>
          <w:szCs w:val="22"/>
        </w:rPr>
      </w:pPr>
      <w:r w:rsidRPr="002E54A0">
        <w:rPr>
          <w:b/>
          <w:sz w:val="22"/>
          <w:szCs w:val="22"/>
        </w:rPr>
        <w:t>Сектор „Индустриални процеси и използване на продукти”</w:t>
      </w:r>
    </w:p>
    <w:p w14:paraId="65FFD523" w14:textId="77777777" w:rsidR="008B1EFF" w:rsidRPr="002E54A0" w:rsidRDefault="0042190C">
      <w:pPr>
        <w:pStyle w:val="a0"/>
        <w:spacing w:before="120" w:after="120" w:line="264" w:lineRule="auto"/>
        <w:jc w:val="both"/>
        <w:rPr>
          <w:sz w:val="22"/>
          <w:szCs w:val="22"/>
        </w:rPr>
      </w:pPr>
      <w:r w:rsidRPr="002E54A0">
        <w:rPr>
          <w:sz w:val="22"/>
          <w:szCs w:val="22"/>
        </w:rPr>
        <w:t xml:space="preserve">Емисиите на ПГ от сектор “Индустриални процеси и използване на продукти” се получават в резултат от технологичните процеси на производство и/или консумация на материални продукти. При този вид емисии не участват процесите на изгаряне. Тези процеси са източник на емисии на всички основни ПГ и </w:t>
      </w:r>
      <w:proofErr w:type="spellStart"/>
      <w:r w:rsidRPr="002E54A0">
        <w:rPr>
          <w:sz w:val="22"/>
          <w:szCs w:val="22"/>
        </w:rPr>
        <w:t>прекурсори</w:t>
      </w:r>
      <w:proofErr w:type="spellEnd"/>
      <w:r w:rsidRPr="002E54A0">
        <w:rPr>
          <w:sz w:val="22"/>
          <w:szCs w:val="22"/>
        </w:rPr>
        <w:t xml:space="preserve"> на ПГ.</w:t>
      </w:r>
    </w:p>
    <w:p w14:paraId="22A09368" w14:textId="77777777" w:rsidR="008B1EFF" w:rsidRPr="002E54A0" w:rsidRDefault="0042190C">
      <w:pPr>
        <w:pStyle w:val="a0"/>
        <w:spacing w:before="120" w:after="120" w:line="264" w:lineRule="auto"/>
        <w:jc w:val="both"/>
        <w:rPr>
          <w:sz w:val="22"/>
          <w:szCs w:val="22"/>
        </w:rPr>
      </w:pPr>
      <w:r w:rsidRPr="002E54A0">
        <w:rPr>
          <w:sz w:val="22"/>
          <w:szCs w:val="22"/>
        </w:rPr>
        <w:t xml:space="preserve">През 2018 г. националните емисии ПГ от сектор “Индустриални процеси и използване на продукти” са 6 525.7 </w:t>
      </w:r>
      <w:proofErr w:type="spellStart"/>
      <w:r w:rsidRPr="002E54A0">
        <w:rPr>
          <w:sz w:val="22"/>
          <w:szCs w:val="22"/>
        </w:rPr>
        <w:t>Gg</w:t>
      </w:r>
      <w:proofErr w:type="spellEnd"/>
      <w:r w:rsidRPr="002E54A0">
        <w:rPr>
          <w:sz w:val="22"/>
          <w:szCs w:val="22"/>
        </w:rPr>
        <w:t xml:space="preserve"> CO2-екв. в сравнение с 13 480.6 </w:t>
      </w:r>
      <w:proofErr w:type="spellStart"/>
      <w:r w:rsidRPr="002E54A0">
        <w:rPr>
          <w:sz w:val="22"/>
          <w:szCs w:val="22"/>
        </w:rPr>
        <w:t>Gg</w:t>
      </w:r>
      <w:proofErr w:type="spellEnd"/>
      <w:r w:rsidRPr="002E54A0">
        <w:rPr>
          <w:sz w:val="22"/>
          <w:szCs w:val="22"/>
        </w:rPr>
        <w:t xml:space="preserve"> CO2-екв през базовата година. Общото намаление на емисиите в сектора през последните години се дължи на въвеждането на по-модерни нисковъглеродни технологии.</w:t>
      </w:r>
    </w:p>
    <w:p w14:paraId="0543C1A5" w14:textId="621BB758" w:rsidR="008B1EFF" w:rsidRPr="002E54A0" w:rsidRDefault="0042190C">
      <w:pPr>
        <w:pStyle w:val="a0"/>
        <w:spacing w:before="120" w:line="264" w:lineRule="auto"/>
        <w:jc w:val="both"/>
        <w:rPr>
          <w:sz w:val="22"/>
          <w:szCs w:val="22"/>
        </w:rPr>
      </w:pPr>
      <w:r w:rsidRPr="002E54A0">
        <w:rPr>
          <w:sz w:val="22"/>
          <w:szCs w:val="22"/>
        </w:rPr>
        <w:t>Секторът емитира 11,3 % от националните емисии на ПГ. Най-голям дял в емисиите на ПГ от сектор “Индустриални процеси и използване на продукти” за 2018 г. има CO2 – 63,3 %. Непрекъснато се увеличава делът на емисиите от употребата на флуорирани парникови газове, който през 2018 г. е 34,5% от общите емисии в сектора.</w:t>
      </w:r>
    </w:p>
    <w:p w14:paraId="136887A6" w14:textId="77777777" w:rsidR="008B1EFF" w:rsidRPr="002E54A0" w:rsidRDefault="0042190C">
      <w:pPr>
        <w:pStyle w:val="a0"/>
        <w:spacing w:before="120" w:line="264" w:lineRule="auto"/>
        <w:jc w:val="both"/>
        <w:rPr>
          <w:sz w:val="22"/>
          <w:szCs w:val="22"/>
        </w:rPr>
      </w:pPr>
      <w:r w:rsidRPr="002E54A0">
        <w:rPr>
          <w:sz w:val="22"/>
          <w:szCs w:val="22"/>
        </w:rPr>
        <w:t>В сектора най-значими източници на ПГ са:</w:t>
      </w:r>
    </w:p>
    <w:p w14:paraId="2C28A154" w14:textId="77777777" w:rsidR="008B1EFF" w:rsidRPr="002E54A0" w:rsidRDefault="0042190C">
      <w:pPr>
        <w:pStyle w:val="a0"/>
        <w:spacing w:before="120" w:line="264" w:lineRule="auto"/>
        <w:jc w:val="both"/>
        <w:rPr>
          <w:sz w:val="22"/>
          <w:szCs w:val="22"/>
        </w:rPr>
      </w:pPr>
      <w:r w:rsidRPr="002E54A0">
        <w:rPr>
          <w:sz w:val="22"/>
          <w:szCs w:val="22"/>
        </w:rPr>
        <w:t>- производството на вар (CO</w:t>
      </w:r>
      <w:r w:rsidRPr="002E54A0">
        <w:rPr>
          <w:rStyle w:val="a1"/>
          <w:sz w:val="22"/>
          <w:szCs w:val="22"/>
          <w:vertAlign w:val="subscript"/>
        </w:rPr>
        <w:t>2</w:t>
      </w:r>
      <w:r w:rsidRPr="002E54A0">
        <w:rPr>
          <w:sz w:val="22"/>
          <w:szCs w:val="22"/>
        </w:rPr>
        <w:t>);</w:t>
      </w:r>
    </w:p>
    <w:p w14:paraId="2DC1EBEF" w14:textId="77777777" w:rsidR="008B1EFF" w:rsidRPr="002E54A0" w:rsidRDefault="0042190C">
      <w:pPr>
        <w:pStyle w:val="a0"/>
        <w:spacing w:before="120" w:line="264" w:lineRule="auto"/>
        <w:jc w:val="both"/>
        <w:rPr>
          <w:sz w:val="22"/>
          <w:szCs w:val="22"/>
        </w:rPr>
      </w:pPr>
      <w:r w:rsidRPr="002E54A0">
        <w:rPr>
          <w:sz w:val="22"/>
          <w:szCs w:val="22"/>
        </w:rPr>
        <w:t>- производството на цимент (CO</w:t>
      </w:r>
      <w:r w:rsidRPr="002E54A0">
        <w:rPr>
          <w:rStyle w:val="a1"/>
          <w:sz w:val="22"/>
          <w:szCs w:val="22"/>
          <w:vertAlign w:val="subscript"/>
        </w:rPr>
        <w:t>2</w:t>
      </w:r>
      <w:r w:rsidRPr="002E54A0">
        <w:rPr>
          <w:sz w:val="22"/>
          <w:szCs w:val="22"/>
        </w:rPr>
        <w:t>);</w:t>
      </w:r>
    </w:p>
    <w:p w14:paraId="0384F031" w14:textId="77777777" w:rsidR="008B1EFF" w:rsidRPr="002E54A0" w:rsidRDefault="0042190C">
      <w:pPr>
        <w:pStyle w:val="a0"/>
        <w:spacing w:before="120" w:line="264" w:lineRule="auto"/>
        <w:jc w:val="both"/>
        <w:rPr>
          <w:sz w:val="22"/>
          <w:szCs w:val="22"/>
        </w:rPr>
      </w:pPr>
      <w:r w:rsidRPr="002E54A0">
        <w:rPr>
          <w:sz w:val="22"/>
          <w:szCs w:val="22"/>
        </w:rPr>
        <w:lastRenderedPageBreak/>
        <w:t>- производството на амоняк (CO</w:t>
      </w:r>
      <w:r w:rsidRPr="002E54A0">
        <w:rPr>
          <w:rStyle w:val="a1"/>
          <w:sz w:val="22"/>
          <w:szCs w:val="22"/>
          <w:vertAlign w:val="subscript"/>
        </w:rPr>
        <w:t>2</w:t>
      </w:r>
      <w:r w:rsidRPr="002E54A0">
        <w:rPr>
          <w:sz w:val="22"/>
          <w:szCs w:val="22"/>
        </w:rPr>
        <w:t>);</w:t>
      </w:r>
    </w:p>
    <w:p w14:paraId="1DFF3C67" w14:textId="77777777" w:rsidR="008B1EFF" w:rsidRPr="002E54A0" w:rsidRDefault="0042190C">
      <w:pPr>
        <w:pStyle w:val="a0"/>
        <w:spacing w:before="120" w:line="264" w:lineRule="auto"/>
        <w:jc w:val="both"/>
        <w:rPr>
          <w:sz w:val="22"/>
          <w:szCs w:val="22"/>
        </w:rPr>
      </w:pPr>
      <w:r w:rsidRPr="002E54A0">
        <w:rPr>
          <w:sz w:val="22"/>
          <w:szCs w:val="22"/>
        </w:rPr>
        <w:t xml:space="preserve">- употреба на варовици в </w:t>
      </w:r>
      <w:proofErr w:type="spellStart"/>
      <w:r w:rsidRPr="002E54A0">
        <w:rPr>
          <w:sz w:val="22"/>
          <w:szCs w:val="22"/>
        </w:rPr>
        <w:t>десулфуризиращи</w:t>
      </w:r>
      <w:proofErr w:type="spellEnd"/>
      <w:r w:rsidRPr="002E54A0">
        <w:rPr>
          <w:sz w:val="22"/>
          <w:szCs w:val="22"/>
        </w:rPr>
        <w:t xml:space="preserve"> инсталации в енергетиката (CO</w:t>
      </w:r>
      <w:r w:rsidRPr="002E54A0">
        <w:rPr>
          <w:rStyle w:val="a1"/>
          <w:sz w:val="22"/>
          <w:szCs w:val="22"/>
          <w:vertAlign w:val="subscript"/>
        </w:rPr>
        <w:t>2</w:t>
      </w:r>
      <w:r w:rsidRPr="002E54A0">
        <w:rPr>
          <w:sz w:val="22"/>
          <w:szCs w:val="22"/>
        </w:rPr>
        <w:t>);</w:t>
      </w:r>
    </w:p>
    <w:p w14:paraId="63BD0286" w14:textId="77777777" w:rsidR="008B1EFF" w:rsidRPr="002E54A0" w:rsidRDefault="0042190C">
      <w:pPr>
        <w:pStyle w:val="a0"/>
        <w:spacing w:before="120" w:after="120" w:line="264" w:lineRule="auto"/>
        <w:rPr>
          <w:b/>
          <w:sz w:val="22"/>
          <w:szCs w:val="22"/>
        </w:rPr>
      </w:pPr>
      <w:r w:rsidRPr="002E54A0">
        <w:rPr>
          <w:b/>
          <w:sz w:val="22"/>
          <w:szCs w:val="22"/>
        </w:rPr>
        <w:t>Сектор „Селско стопанство”</w:t>
      </w:r>
    </w:p>
    <w:p w14:paraId="6516B6FA" w14:textId="77777777" w:rsidR="008B1EFF" w:rsidRPr="002E54A0" w:rsidRDefault="0042190C">
      <w:pPr>
        <w:pStyle w:val="a0"/>
        <w:spacing w:before="120" w:after="120" w:line="264" w:lineRule="auto"/>
        <w:jc w:val="both"/>
        <w:rPr>
          <w:sz w:val="22"/>
          <w:szCs w:val="22"/>
        </w:rPr>
      </w:pPr>
      <w:r w:rsidRPr="002E54A0">
        <w:rPr>
          <w:sz w:val="22"/>
          <w:szCs w:val="22"/>
        </w:rPr>
        <w:t>Емисиите на ПГ от сектор “Селско стопанство” се получават в резултат от дейностите и процесите на производство и преработка на селскостопанска продукция, торене на почвите и третиране на животински отпадъци. Процесите и дейностите в този сектор са източници основно на CH</w:t>
      </w:r>
      <w:r w:rsidRPr="002E54A0">
        <w:rPr>
          <w:rStyle w:val="a1"/>
          <w:sz w:val="22"/>
          <w:szCs w:val="22"/>
          <w:vertAlign w:val="subscript"/>
        </w:rPr>
        <w:t>4</w:t>
      </w:r>
      <w:r w:rsidRPr="002E54A0">
        <w:rPr>
          <w:sz w:val="22"/>
          <w:szCs w:val="22"/>
        </w:rPr>
        <w:t xml:space="preserve"> (26% от общите емисии на метан) и N</w:t>
      </w:r>
      <w:r w:rsidRPr="002E54A0">
        <w:rPr>
          <w:rStyle w:val="a1"/>
          <w:sz w:val="22"/>
          <w:szCs w:val="22"/>
          <w:vertAlign w:val="subscript"/>
        </w:rPr>
        <w:t>2</w:t>
      </w:r>
      <w:r w:rsidRPr="002E54A0">
        <w:rPr>
          <w:sz w:val="22"/>
          <w:szCs w:val="22"/>
        </w:rPr>
        <w:t xml:space="preserve">O (89% от общите емисии на азотен диоксид). </w:t>
      </w:r>
    </w:p>
    <w:p w14:paraId="33768F08" w14:textId="77777777" w:rsidR="008B1EFF" w:rsidRPr="002E54A0" w:rsidRDefault="0042190C">
      <w:pPr>
        <w:pStyle w:val="a0"/>
        <w:spacing w:before="120" w:after="120" w:line="264" w:lineRule="auto"/>
        <w:jc w:val="both"/>
        <w:rPr>
          <w:sz w:val="22"/>
          <w:szCs w:val="22"/>
        </w:rPr>
      </w:pPr>
      <w:r w:rsidRPr="002E54A0">
        <w:rPr>
          <w:sz w:val="22"/>
          <w:szCs w:val="22"/>
        </w:rPr>
        <w:t>Най-голям източник на емисии на CH</w:t>
      </w:r>
      <w:r w:rsidRPr="002E54A0">
        <w:rPr>
          <w:rStyle w:val="a1"/>
          <w:sz w:val="22"/>
          <w:szCs w:val="22"/>
          <w:vertAlign w:val="subscript"/>
        </w:rPr>
        <w:t>4</w:t>
      </w:r>
      <w:r w:rsidRPr="002E54A0">
        <w:rPr>
          <w:sz w:val="22"/>
          <w:szCs w:val="22"/>
        </w:rPr>
        <w:t xml:space="preserve"> (като СО</w:t>
      </w:r>
      <w:r w:rsidRPr="002E54A0">
        <w:rPr>
          <w:rStyle w:val="a1"/>
          <w:sz w:val="22"/>
          <w:szCs w:val="22"/>
          <w:vertAlign w:val="subscript"/>
        </w:rPr>
        <w:t xml:space="preserve">2 - </w:t>
      </w:r>
      <w:r w:rsidRPr="002E54A0">
        <w:rPr>
          <w:sz w:val="22"/>
          <w:szCs w:val="22"/>
        </w:rPr>
        <w:t xml:space="preserve">екв.) в сектора е </w:t>
      </w:r>
      <w:proofErr w:type="spellStart"/>
      <w:r w:rsidRPr="002E54A0">
        <w:rPr>
          <w:sz w:val="22"/>
          <w:szCs w:val="22"/>
        </w:rPr>
        <w:t>ентеричната</w:t>
      </w:r>
      <w:proofErr w:type="spellEnd"/>
      <w:r w:rsidRPr="002E54A0">
        <w:rPr>
          <w:sz w:val="22"/>
          <w:szCs w:val="22"/>
        </w:rPr>
        <w:t xml:space="preserve"> ферментация при селскостопанските животни – 23% от емисиите на сектора. Най-значителни са емисиите на N</w:t>
      </w:r>
      <w:r w:rsidRPr="002E54A0">
        <w:rPr>
          <w:rStyle w:val="a1"/>
          <w:sz w:val="22"/>
          <w:szCs w:val="22"/>
          <w:vertAlign w:val="subscript"/>
        </w:rPr>
        <w:t>2</w:t>
      </w:r>
      <w:r w:rsidRPr="002E54A0">
        <w:rPr>
          <w:sz w:val="22"/>
          <w:szCs w:val="22"/>
        </w:rPr>
        <w:t>O (като СО</w:t>
      </w:r>
      <w:r w:rsidRPr="002E54A0">
        <w:rPr>
          <w:rStyle w:val="a1"/>
          <w:sz w:val="22"/>
          <w:szCs w:val="22"/>
          <w:vertAlign w:val="subscript"/>
        </w:rPr>
        <w:t xml:space="preserve">2 </w:t>
      </w:r>
      <w:r w:rsidRPr="002E54A0">
        <w:rPr>
          <w:sz w:val="22"/>
          <w:szCs w:val="22"/>
        </w:rPr>
        <w:t>екв.) от селскостопанските почви, като техният дял  през 2018 г. е 64,9%.</w:t>
      </w:r>
    </w:p>
    <w:p w14:paraId="6659E332" w14:textId="77777777" w:rsidR="008B1EFF" w:rsidRPr="002E54A0" w:rsidRDefault="0042190C">
      <w:pPr>
        <w:pStyle w:val="a0"/>
        <w:spacing w:before="120" w:after="120" w:line="264" w:lineRule="auto"/>
        <w:jc w:val="both"/>
        <w:rPr>
          <w:sz w:val="22"/>
          <w:szCs w:val="22"/>
        </w:rPr>
      </w:pPr>
      <w:r w:rsidRPr="002E54A0">
        <w:rPr>
          <w:sz w:val="22"/>
          <w:szCs w:val="22"/>
        </w:rPr>
        <w:t xml:space="preserve">Въпреки, че законодателството в Република България забранява изгарянето на растителни отпадъци от стърнища, тази дейност все още съществува ограничено и при нея се емитират известни количества ПГ и </w:t>
      </w:r>
      <w:proofErr w:type="spellStart"/>
      <w:r w:rsidRPr="002E54A0">
        <w:rPr>
          <w:sz w:val="22"/>
          <w:szCs w:val="22"/>
        </w:rPr>
        <w:t>прекурсори</w:t>
      </w:r>
      <w:proofErr w:type="spellEnd"/>
      <w:r w:rsidRPr="002E54A0">
        <w:rPr>
          <w:sz w:val="22"/>
          <w:szCs w:val="22"/>
        </w:rPr>
        <w:t xml:space="preserve"> на ПГ- CO и </w:t>
      </w:r>
      <w:proofErr w:type="spellStart"/>
      <w:r w:rsidRPr="002E54A0">
        <w:rPr>
          <w:sz w:val="22"/>
          <w:szCs w:val="22"/>
        </w:rPr>
        <w:t>NOx</w:t>
      </w:r>
      <w:proofErr w:type="spellEnd"/>
      <w:r w:rsidRPr="002E54A0">
        <w:rPr>
          <w:sz w:val="22"/>
          <w:szCs w:val="22"/>
        </w:rPr>
        <w:t>.</w:t>
      </w:r>
    </w:p>
    <w:p w14:paraId="216DE555" w14:textId="75BA2505" w:rsidR="008B1EFF" w:rsidRPr="002E54A0" w:rsidRDefault="0042190C">
      <w:pPr>
        <w:pStyle w:val="a0"/>
        <w:spacing w:before="120" w:after="120" w:line="264" w:lineRule="auto"/>
        <w:jc w:val="both"/>
        <w:rPr>
          <w:sz w:val="22"/>
          <w:szCs w:val="22"/>
        </w:rPr>
      </w:pPr>
      <w:r w:rsidRPr="002E54A0">
        <w:rPr>
          <w:sz w:val="22"/>
          <w:szCs w:val="22"/>
        </w:rPr>
        <w:t>Общите емисии от сектора, като CO</w:t>
      </w:r>
      <w:r w:rsidRPr="002E54A0">
        <w:rPr>
          <w:rStyle w:val="a1"/>
          <w:sz w:val="22"/>
          <w:szCs w:val="22"/>
          <w:vertAlign w:val="subscript"/>
        </w:rPr>
        <w:t>2</w:t>
      </w:r>
      <w:r w:rsidRPr="002E54A0">
        <w:rPr>
          <w:sz w:val="22"/>
          <w:szCs w:val="22"/>
        </w:rPr>
        <w:t>-екв. намаляват с 2% спрямо 2017</w:t>
      </w:r>
      <w:r w:rsidR="00CB2222">
        <w:rPr>
          <w:sz w:val="22"/>
          <w:szCs w:val="22"/>
        </w:rPr>
        <w:t xml:space="preserve"> </w:t>
      </w:r>
      <w:r w:rsidRPr="002E54A0">
        <w:rPr>
          <w:sz w:val="22"/>
          <w:szCs w:val="22"/>
        </w:rPr>
        <w:t>г</w:t>
      </w:r>
      <w:r w:rsidR="00CB2222">
        <w:rPr>
          <w:sz w:val="22"/>
          <w:szCs w:val="22"/>
        </w:rPr>
        <w:t>.</w:t>
      </w:r>
      <w:r w:rsidRPr="002E54A0">
        <w:rPr>
          <w:sz w:val="22"/>
          <w:szCs w:val="22"/>
        </w:rPr>
        <w:t>, най-вече поради намалената употреба на азотни торове.</w:t>
      </w:r>
    </w:p>
    <w:p w14:paraId="1003C480" w14:textId="77777777" w:rsidR="008B1EFF" w:rsidRPr="002E54A0" w:rsidRDefault="0042190C">
      <w:pPr>
        <w:pStyle w:val="a0"/>
        <w:spacing w:before="120" w:after="120" w:line="264" w:lineRule="auto"/>
        <w:jc w:val="both"/>
        <w:rPr>
          <w:sz w:val="22"/>
          <w:szCs w:val="22"/>
        </w:rPr>
      </w:pPr>
      <w:r w:rsidRPr="002E54A0">
        <w:rPr>
          <w:sz w:val="22"/>
          <w:szCs w:val="22"/>
        </w:rPr>
        <w:t>Намаляването на емисиите в сектора за периода 1988 – 2018 г. е пряко следствие от общия спад на селскостопанската дейност. Намалението на емисиите в животновъдството следва намалението в броя селскостопански животни.</w:t>
      </w:r>
    </w:p>
    <w:p w14:paraId="7B961513" w14:textId="77777777" w:rsidR="008B1EFF" w:rsidRPr="002E54A0" w:rsidRDefault="0042190C">
      <w:pPr>
        <w:pStyle w:val="a0"/>
        <w:spacing w:before="120" w:after="120" w:line="264" w:lineRule="auto"/>
        <w:jc w:val="both"/>
        <w:rPr>
          <w:b/>
          <w:sz w:val="22"/>
          <w:szCs w:val="22"/>
        </w:rPr>
      </w:pPr>
      <w:r w:rsidRPr="002E54A0">
        <w:rPr>
          <w:b/>
          <w:sz w:val="22"/>
          <w:szCs w:val="22"/>
        </w:rPr>
        <w:t>Сектор „</w:t>
      </w:r>
      <w:proofErr w:type="spellStart"/>
      <w:r w:rsidRPr="002E54A0">
        <w:rPr>
          <w:b/>
          <w:sz w:val="22"/>
          <w:szCs w:val="22"/>
        </w:rPr>
        <w:t>Земеползване</w:t>
      </w:r>
      <w:proofErr w:type="spellEnd"/>
      <w:r w:rsidRPr="002E54A0">
        <w:rPr>
          <w:b/>
          <w:sz w:val="22"/>
          <w:szCs w:val="22"/>
        </w:rPr>
        <w:t xml:space="preserve">, промяна в </w:t>
      </w:r>
      <w:proofErr w:type="spellStart"/>
      <w:r w:rsidRPr="002E54A0">
        <w:rPr>
          <w:b/>
          <w:sz w:val="22"/>
          <w:szCs w:val="22"/>
        </w:rPr>
        <w:t>земеползването</w:t>
      </w:r>
      <w:proofErr w:type="spellEnd"/>
      <w:r w:rsidRPr="002E54A0">
        <w:rPr>
          <w:b/>
          <w:sz w:val="22"/>
          <w:szCs w:val="22"/>
        </w:rPr>
        <w:t xml:space="preserve"> и горско стопанство”</w:t>
      </w:r>
    </w:p>
    <w:p w14:paraId="47B36B0B" w14:textId="77777777" w:rsidR="008B1EFF" w:rsidRPr="002E54A0" w:rsidRDefault="0042190C">
      <w:pPr>
        <w:pStyle w:val="a0"/>
        <w:spacing w:before="120" w:after="120" w:line="264" w:lineRule="auto"/>
        <w:jc w:val="both"/>
        <w:rPr>
          <w:sz w:val="22"/>
          <w:szCs w:val="22"/>
        </w:rPr>
      </w:pPr>
      <w:r w:rsidRPr="002E54A0">
        <w:rPr>
          <w:sz w:val="22"/>
          <w:szCs w:val="22"/>
        </w:rPr>
        <w:t>Секторът обхваща процесите на обмен на CO</w:t>
      </w:r>
      <w:r w:rsidRPr="002E54A0">
        <w:rPr>
          <w:rStyle w:val="a1"/>
          <w:sz w:val="22"/>
          <w:szCs w:val="22"/>
          <w:vertAlign w:val="subscript"/>
        </w:rPr>
        <w:t>2</w:t>
      </w:r>
      <w:r w:rsidRPr="002E54A0">
        <w:rPr>
          <w:sz w:val="22"/>
          <w:szCs w:val="22"/>
        </w:rPr>
        <w:t xml:space="preserve"> между източниците на биомаса (горски насаждения, тревни и други насаждения, почви) и атмосферата. Обменът на потоците CO</w:t>
      </w:r>
      <w:r w:rsidRPr="002E54A0">
        <w:rPr>
          <w:rStyle w:val="a1"/>
          <w:sz w:val="22"/>
          <w:szCs w:val="22"/>
          <w:vertAlign w:val="subscript"/>
        </w:rPr>
        <w:t>2</w:t>
      </w:r>
      <w:r w:rsidRPr="002E54A0">
        <w:rPr>
          <w:sz w:val="22"/>
          <w:szCs w:val="22"/>
        </w:rPr>
        <w:t xml:space="preserve"> от и към атмосферата представлява съвкупност от процеси, които са резултат и от антропогенна дейност. Така например поглъщането на CO</w:t>
      </w:r>
      <w:r w:rsidRPr="002E54A0">
        <w:rPr>
          <w:rStyle w:val="a1"/>
          <w:sz w:val="22"/>
          <w:szCs w:val="22"/>
          <w:vertAlign w:val="subscript"/>
        </w:rPr>
        <w:t>2</w:t>
      </w:r>
      <w:r w:rsidRPr="002E54A0">
        <w:rPr>
          <w:sz w:val="22"/>
          <w:szCs w:val="22"/>
        </w:rPr>
        <w:t xml:space="preserve"> в горите е свързано със стопанисването и управлението на горски територии, предназначени за добив на дървесина. Залесяването на пустеещи земи с цел спиране на ерозионни процеси, също води до натрупване на CO</w:t>
      </w:r>
      <w:r w:rsidRPr="002E54A0">
        <w:rPr>
          <w:rStyle w:val="a1"/>
          <w:sz w:val="22"/>
          <w:szCs w:val="22"/>
          <w:vertAlign w:val="subscript"/>
        </w:rPr>
        <w:t>2</w:t>
      </w:r>
      <w:r w:rsidRPr="002E54A0">
        <w:rPr>
          <w:sz w:val="22"/>
          <w:szCs w:val="22"/>
        </w:rPr>
        <w:t xml:space="preserve"> в биомаса.</w:t>
      </w:r>
    </w:p>
    <w:p w14:paraId="491E69A0" w14:textId="77777777" w:rsidR="008B1EFF" w:rsidRPr="002E54A0" w:rsidRDefault="0042190C">
      <w:pPr>
        <w:pStyle w:val="a0"/>
        <w:spacing w:before="120" w:after="120" w:line="264" w:lineRule="auto"/>
        <w:jc w:val="both"/>
        <w:rPr>
          <w:sz w:val="22"/>
          <w:szCs w:val="22"/>
        </w:rPr>
      </w:pPr>
      <w:r w:rsidRPr="002E54A0">
        <w:rPr>
          <w:sz w:val="22"/>
          <w:szCs w:val="22"/>
        </w:rPr>
        <w:t>Емисиите на CO</w:t>
      </w:r>
      <w:r w:rsidRPr="002E54A0">
        <w:rPr>
          <w:rStyle w:val="a1"/>
          <w:sz w:val="22"/>
          <w:szCs w:val="22"/>
          <w:vertAlign w:val="subscript"/>
        </w:rPr>
        <w:t>2</w:t>
      </w:r>
      <w:r w:rsidRPr="002E54A0">
        <w:rPr>
          <w:sz w:val="22"/>
          <w:szCs w:val="22"/>
        </w:rPr>
        <w:t xml:space="preserve"> в атмосферата от сектора са свързани с горските пожари, както и от промени в органичния състав на почвите, вследствие на ерозия или обработка с химикали.</w:t>
      </w:r>
    </w:p>
    <w:p w14:paraId="2EC6F6CB" w14:textId="77777777" w:rsidR="008B1EFF" w:rsidRPr="002E54A0" w:rsidRDefault="0042190C">
      <w:pPr>
        <w:pStyle w:val="a0"/>
        <w:spacing w:before="120" w:after="120" w:line="264" w:lineRule="auto"/>
        <w:jc w:val="both"/>
        <w:rPr>
          <w:sz w:val="22"/>
          <w:szCs w:val="22"/>
        </w:rPr>
      </w:pPr>
      <w:r w:rsidRPr="002E54A0">
        <w:rPr>
          <w:sz w:val="22"/>
          <w:szCs w:val="22"/>
        </w:rPr>
        <w:t>В тази категория се включват и дейности, които водят до промени в потоците на CO</w:t>
      </w:r>
      <w:r w:rsidRPr="002E54A0">
        <w:rPr>
          <w:rStyle w:val="a1"/>
          <w:sz w:val="22"/>
          <w:szCs w:val="22"/>
          <w:vertAlign w:val="subscript"/>
        </w:rPr>
        <w:t>2</w:t>
      </w:r>
      <w:r w:rsidRPr="002E54A0">
        <w:rPr>
          <w:sz w:val="22"/>
          <w:szCs w:val="22"/>
        </w:rPr>
        <w:t xml:space="preserve"> от и към атмосферата. Това са дренажи на почви, изместване на периодите на култивация на растителни култури, както и редуване на по-дълги и по-къси периоди на култивация, наводняване, вследствие изграждането на хидротехнически съоръжения, изменения в подземните води поради антропогенни или природни въздействия.</w:t>
      </w:r>
    </w:p>
    <w:p w14:paraId="21F69128" w14:textId="77777777" w:rsidR="008B1EFF" w:rsidRPr="002E54A0" w:rsidRDefault="0042190C">
      <w:pPr>
        <w:pStyle w:val="a0"/>
        <w:spacing w:before="120" w:after="120" w:line="264" w:lineRule="auto"/>
        <w:jc w:val="both"/>
        <w:rPr>
          <w:sz w:val="22"/>
          <w:szCs w:val="22"/>
        </w:rPr>
      </w:pPr>
      <w:r w:rsidRPr="002E54A0">
        <w:rPr>
          <w:sz w:val="22"/>
          <w:szCs w:val="22"/>
        </w:rPr>
        <w:t>В инвентаризацията на ПГ за 2018 г., както и за предходните години, е определено нетното поглъщане на CO</w:t>
      </w:r>
      <w:r w:rsidRPr="002E54A0">
        <w:rPr>
          <w:rStyle w:val="a1"/>
          <w:sz w:val="22"/>
          <w:szCs w:val="22"/>
          <w:vertAlign w:val="subscript"/>
        </w:rPr>
        <w:t>2</w:t>
      </w:r>
      <w:r w:rsidRPr="002E54A0">
        <w:rPr>
          <w:sz w:val="22"/>
          <w:szCs w:val="22"/>
        </w:rPr>
        <w:t xml:space="preserve"> от категория “Изменение на горите и други горски източници на биомаса”. Поглъщането на CO</w:t>
      </w:r>
      <w:r w:rsidRPr="002E54A0">
        <w:rPr>
          <w:rStyle w:val="a1"/>
          <w:sz w:val="22"/>
          <w:szCs w:val="22"/>
          <w:vertAlign w:val="subscript"/>
        </w:rPr>
        <w:t xml:space="preserve">2 </w:t>
      </w:r>
      <w:r w:rsidRPr="002E54A0">
        <w:rPr>
          <w:sz w:val="22"/>
          <w:szCs w:val="22"/>
        </w:rPr>
        <w:t>се формира от нетния баланс на усвоявания от атмосферата въглерод и отсечения обем дървесина, който се използва за отопление, производство на хартия и други дейности, консумиращи биомаса.</w:t>
      </w:r>
    </w:p>
    <w:p w14:paraId="0B2B62FB" w14:textId="3B1638E7" w:rsidR="008B1EFF" w:rsidRPr="002E54A0" w:rsidRDefault="0042190C">
      <w:pPr>
        <w:pStyle w:val="a0"/>
        <w:widowControl w:val="0"/>
        <w:spacing w:before="120" w:after="120" w:line="264" w:lineRule="auto"/>
        <w:jc w:val="both"/>
        <w:rPr>
          <w:rFonts w:eastAsia="DejaVu Sans"/>
          <w:color w:val="000000"/>
          <w:sz w:val="22"/>
          <w:szCs w:val="22"/>
        </w:rPr>
      </w:pPr>
      <w:r w:rsidRPr="002E54A0">
        <w:rPr>
          <w:rFonts w:eastAsia="DejaVu Sans"/>
          <w:color w:val="000000"/>
          <w:sz w:val="22"/>
          <w:szCs w:val="22"/>
        </w:rPr>
        <w:t>Сектор „</w:t>
      </w:r>
      <w:proofErr w:type="spellStart"/>
      <w:r w:rsidRPr="002E54A0">
        <w:rPr>
          <w:rFonts w:eastAsia="DejaVu Sans"/>
          <w:color w:val="000000"/>
          <w:sz w:val="22"/>
          <w:szCs w:val="22"/>
        </w:rPr>
        <w:t>Земеползване</w:t>
      </w:r>
      <w:proofErr w:type="spellEnd"/>
      <w:r w:rsidRPr="002E54A0">
        <w:rPr>
          <w:rFonts w:eastAsia="DejaVu Sans"/>
          <w:color w:val="000000"/>
          <w:sz w:val="22"/>
          <w:szCs w:val="22"/>
        </w:rPr>
        <w:t xml:space="preserve">, промяна в </w:t>
      </w:r>
      <w:proofErr w:type="spellStart"/>
      <w:r w:rsidRPr="002E54A0">
        <w:rPr>
          <w:rFonts w:eastAsia="DejaVu Sans"/>
          <w:color w:val="000000"/>
          <w:sz w:val="22"/>
          <w:szCs w:val="22"/>
        </w:rPr>
        <w:t>земеползването</w:t>
      </w:r>
      <w:proofErr w:type="spellEnd"/>
      <w:r w:rsidRPr="002E54A0">
        <w:rPr>
          <w:rFonts w:eastAsia="DejaVu Sans"/>
          <w:color w:val="000000"/>
          <w:sz w:val="22"/>
          <w:szCs w:val="22"/>
        </w:rPr>
        <w:t xml:space="preserve"> и горско стопанство“</w:t>
      </w:r>
      <w:r w:rsidR="0074796B">
        <w:rPr>
          <w:rFonts w:eastAsia="DejaVu Sans"/>
          <w:color w:val="000000"/>
          <w:sz w:val="22"/>
          <w:szCs w:val="22"/>
        </w:rPr>
        <w:t xml:space="preserve"> (ЗПЗ</w:t>
      </w:r>
      <w:r w:rsidR="00226F9D">
        <w:rPr>
          <w:rFonts w:eastAsia="DejaVu Sans"/>
          <w:color w:val="000000"/>
          <w:sz w:val="22"/>
          <w:szCs w:val="22"/>
        </w:rPr>
        <w:t>ГС)</w:t>
      </w:r>
      <w:r w:rsidRPr="002E54A0">
        <w:rPr>
          <w:rFonts w:eastAsia="DejaVu Sans"/>
          <w:color w:val="000000"/>
          <w:sz w:val="22"/>
          <w:szCs w:val="22"/>
        </w:rPr>
        <w:t xml:space="preserve"> отчита нетните </w:t>
      </w:r>
      <w:r w:rsidRPr="002E54A0">
        <w:rPr>
          <w:rFonts w:eastAsia="DejaVu Sans"/>
          <w:color w:val="000000"/>
          <w:sz w:val="22"/>
          <w:szCs w:val="22"/>
        </w:rPr>
        <w:lastRenderedPageBreak/>
        <w:t xml:space="preserve">емисии и </w:t>
      </w:r>
      <w:proofErr w:type="spellStart"/>
      <w:r w:rsidRPr="002E54A0">
        <w:rPr>
          <w:rFonts w:eastAsia="DejaVu Sans"/>
          <w:color w:val="000000"/>
          <w:sz w:val="22"/>
          <w:szCs w:val="22"/>
        </w:rPr>
        <w:t>поглътители</w:t>
      </w:r>
      <w:proofErr w:type="spellEnd"/>
      <w:r w:rsidRPr="002E54A0">
        <w:rPr>
          <w:rFonts w:eastAsia="DejaVu Sans"/>
          <w:color w:val="000000"/>
          <w:sz w:val="22"/>
          <w:szCs w:val="22"/>
        </w:rPr>
        <w:t xml:space="preserve"> на парникови газове в резултат на промяната на въглеродните запаси във въглеродните депа (биомаса, мъртва органична материя, почва, материали от добита дървесина). Измененията в запаса на въглерод се отчитат за 6 категории </w:t>
      </w:r>
      <w:proofErr w:type="spellStart"/>
      <w:r w:rsidRPr="002E54A0">
        <w:rPr>
          <w:rFonts w:eastAsia="DejaVu Sans"/>
          <w:color w:val="000000"/>
          <w:sz w:val="22"/>
          <w:szCs w:val="22"/>
        </w:rPr>
        <w:t>земеползване</w:t>
      </w:r>
      <w:proofErr w:type="spellEnd"/>
      <w:r w:rsidRPr="002E54A0">
        <w:rPr>
          <w:rFonts w:eastAsia="DejaVu Sans"/>
          <w:color w:val="000000"/>
          <w:sz w:val="22"/>
          <w:szCs w:val="22"/>
        </w:rPr>
        <w:t xml:space="preserve"> – Гори, Обработваеми площи, Пасища, Водни площи, Населени места, Други земи, а също така и за случаите на промяна на </w:t>
      </w:r>
      <w:proofErr w:type="spellStart"/>
      <w:r w:rsidRPr="002E54A0">
        <w:rPr>
          <w:rFonts w:eastAsia="DejaVu Sans"/>
          <w:color w:val="000000"/>
          <w:sz w:val="22"/>
          <w:szCs w:val="22"/>
        </w:rPr>
        <w:t>земеползването</w:t>
      </w:r>
      <w:proofErr w:type="spellEnd"/>
      <w:r w:rsidRPr="002E54A0">
        <w:rPr>
          <w:rFonts w:eastAsia="DejaVu Sans"/>
          <w:color w:val="000000"/>
          <w:sz w:val="22"/>
          <w:szCs w:val="22"/>
        </w:rPr>
        <w:t xml:space="preserve"> от една категория към друга.</w:t>
      </w:r>
    </w:p>
    <w:p w14:paraId="1A80FA8C" w14:textId="54CF0CEB" w:rsidR="008B1EFF" w:rsidRPr="002E54A0" w:rsidRDefault="0042190C">
      <w:pPr>
        <w:pStyle w:val="a0"/>
        <w:widowControl w:val="0"/>
        <w:spacing w:before="120" w:after="120" w:line="264" w:lineRule="auto"/>
        <w:jc w:val="both"/>
        <w:rPr>
          <w:sz w:val="22"/>
          <w:szCs w:val="22"/>
        </w:rPr>
      </w:pPr>
      <w:r w:rsidRPr="002E54A0">
        <w:rPr>
          <w:rStyle w:val="a1"/>
          <w:rFonts w:eastAsia="DejaVu Sans"/>
          <w:color w:val="000000"/>
          <w:sz w:val="22"/>
          <w:szCs w:val="22"/>
        </w:rPr>
        <w:t xml:space="preserve">Според националния доклад за инвентаризация на </w:t>
      </w:r>
      <w:r w:rsidR="00226F9D">
        <w:rPr>
          <w:rStyle w:val="a1"/>
          <w:rFonts w:eastAsia="DejaVu Sans"/>
          <w:color w:val="000000"/>
          <w:sz w:val="22"/>
          <w:szCs w:val="22"/>
        </w:rPr>
        <w:t xml:space="preserve">емисиите на </w:t>
      </w:r>
      <w:r w:rsidRPr="002E54A0">
        <w:rPr>
          <w:rStyle w:val="a1"/>
          <w:rFonts w:eastAsia="DejaVu Sans"/>
          <w:color w:val="000000"/>
          <w:sz w:val="22"/>
          <w:szCs w:val="22"/>
        </w:rPr>
        <w:t xml:space="preserve">парникови газове, 2020 г. (НДИПГ, 2020 г.), сектор „ЗПЗГС“ служи като нетен </w:t>
      </w:r>
      <w:proofErr w:type="spellStart"/>
      <w:r w:rsidRPr="002E54A0">
        <w:rPr>
          <w:rStyle w:val="a1"/>
          <w:rFonts w:eastAsia="DejaVu Sans"/>
          <w:color w:val="000000"/>
          <w:sz w:val="22"/>
          <w:szCs w:val="22"/>
        </w:rPr>
        <w:t>поглътител</w:t>
      </w:r>
      <w:proofErr w:type="spellEnd"/>
      <w:r w:rsidRPr="002E54A0">
        <w:rPr>
          <w:rStyle w:val="a1"/>
          <w:rFonts w:eastAsia="DejaVu Sans"/>
          <w:color w:val="000000"/>
          <w:sz w:val="22"/>
          <w:szCs w:val="22"/>
        </w:rPr>
        <w:t xml:space="preserve"> на парникови газове като поглъща -8460 </w:t>
      </w:r>
      <w:proofErr w:type="spellStart"/>
      <w:r w:rsidRPr="002E54A0">
        <w:rPr>
          <w:rStyle w:val="a1"/>
          <w:rFonts w:eastAsia="DejaVu Sans"/>
          <w:color w:val="000000"/>
          <w:sz w:val="22"/>
          <w:szCs w:val="22"/>
        </w:rPr>
        <w:t>Gg</w:t>
      </w:r>
      <w:proofErr w:type="spellEnd"/>
      <w:r w:rsidRPr="002E54A0">
        <w:rPr>
          <w:rStyle w:val="a1"/>
          <w:rFonts w:eastAsia="DejaVu Sans"/>
          <w:color w:val="000000"/>
          <w:sz w:val="22"/>
          <w:szCs w:val="22"/>
        </w:rPr>
        <w:t xml:space="preserve"> CO</w:t>
      </w:r>
      <w:r w:rsidRPr="002E54A0">
        <w:rPr>
          <w:rStyle w:val="a1"/>
          <w:rFonts w:eastAsia="DejaVu Sans"/>
          <w:color w:val="000000"/>
          <w:sz w:val="22"/>
          <w:szCs w:val="22"/>
          <w:vertAlign w:val="subscript"/>
        </w:rPr>
        <w:t>2</w:t>
      </w:r>
      <w:r w:rsidRPr="002E54A0">
        <w:rPr>
          <w:rStyle w:val="a1"/>
          <w:rFonts w:eastAsia="DejaVu Sans"/>
          <w:color w:val="000000"/>
          <w:sz w:val="22"/>
          <w:szCs w:val="22"/>
        </w:rPr>
        <w:t xml:space="preserve"> </w:t>
      </w:r>
      <w:proofErr w:type="spellStart"/>
      <w:r w:rsidRPr="002E54A0">
        <w:rPr>
          <w:rStyle w:val="a1"/>
          <w:rFonts w:eastAsia="DejaVu Sans"/>
          <w:color w:val="000000"/>
          <w:sz w:val="22"/>
          <w:szCs w:val="22"/>
        </w:rPr>
        <w:t>eq</w:t>
      </w:r>
      <w:proofErr w:type="spellEnd"/>
      <w:r w:rsidRPr="002E54A0">
        <w:rPr>
          <w:rStyle w:val="a1"/>
          <w:rFonts w:eastAsia="DejaVu Sans"/>
          <w:color w:val="000000"/>
          <w:sz w:val="22"/>
          <w:szCs w:val="22"/>
        </w:rPr>
        <w:t xml:space="preserve">. Категория „Гори“ и „Пасища“ са нетни </w:t>
      </w:r>
      <w:proofErr w:type="spellStart"/>
      <w:r w:rsidRPr="002E54A0">
        <w:rPr>
          <w:rStyle w:val="a1"/>
          <w:rFonts w:eastAsia="DejaVu Sans"/>
          <w:color w:val="000000"/>
          <w:sz w:val="22"/>
          <w:szCs w:val="22"/>
        </w:rPr>
        <w:t>поглътители</w:t>
      </w:r>
      <w:proofErr w:type="spellEnd"/>
      <w:r w:rsidRPr="002E54A0">
        <w:rPr>
          <w:rStyle w:val="a1"/>
          <w:rFonts w:eastAsia="DejaVu Sans"/>
          <w:color w:val="000000"/>
          <w:sz w:val="22"/>
          <w:szCs w:val="22"/>
        </w:rPr>
        <w:t xml:space="preserve"> на парникови газове, докато останалите категории са нетни източници на емисии. </w:t>
      </w:r>
    </w:p>
    <w:p w14:paraId="61188BA6" w14:textId="529D2198" w:rsidR="008B1EFF" w:rsidRPr="007C2C00" w:rsidRDefault="007C2C00" w:rsidP="007C2C00">
      <w:pPr>
        <w:pStyle w:val="Caption"/>
        <w:rPr>
          <w:rStyle w:val="a1"/>
          <w:rFonts w:ascii="Times New Roman" w:eastAsia="DejaVu Sans" w:hAnsi="Times New Roman"/>
          <w:b w:val="0"/>
          <w:bCs w:val="0"/>
          <w:i/>
          <w:color w:val="000000"/>
          <w:sz w:val="22"/>
          <w:szCs w:val="22"/>
          <w:lang w:val="bg-BG" w:eastAsia="bg-BG"/>
        </w:rPr>
      </w:pPr>
      <w:bookmarkStart w:id="39" w:name="_Toc71529783"/>
      <w:bookmarkStart w:id="40" w:name="_Toc72910393"/>
      <w:r w:rsidRPr="007C2C00">
        <w:rPr>
          <w:rStyle w:val="a1"/>
          <w:rFonts w:ascii="Times New Roman" w:eastAsia="DejaVu Sans" w:hAnsi="Times New Roman"/>
          <w:b w:val="0"/>
          <w:bCs w:val="0"/>
          <w:i/>
          <w:color w:val="000000"/>
          <w:sz w:val="22"/>
          <w:szCs w:val="22"/>
          <w:lang w:val="bg-BG" w:eastAsia="bg-BG"/>
        </w:rPr>
        <w:t xml:space="preserve">Фигура </w:t>
      </w:r>
      <w:r w:rsidRPr="007C2C00">
        <w:rPr>
          <w:rStyle w:val="a1"/>
          <w:rFonts w:ascii="Times New Roman" w:eastAsia="DejaVu Sans" w:hAnsi="Times New Roman"/>
          <w:b w:val="0"/>
          <w:bCs w:val="0"/>
          <w:i/>
          <w:color w:val="000000"/>
          <w:sz w:val="22"/>
          <w:szCs w:val="22"/>
          <w:lang w:val="bg-BG" w:eastAsia="bg-BG"/>
        </w:rPr>
        <w:fldChar w:fldCharType="begin"/>
      </w:r>
      <w:r w:rsidRPr="007C2C00">
        <w:rPr>
          <w:rStyle w:val="a1"/>
          <w:rFonts w:ascii="Times New Roman" w:eastAsia="DejaVu Sans" w:hAnsi="Times New Roman"/>
          <w:b w:val="0"/>
          <w:bCs w:val="0"/>
          <w:i/>
          <w:color w:val="000000"/>
          <w:sz w:val="22"/>
          <w:szCs w:val="22"/>
          <w:lang w:val="bg-BG" w:eastAsia="bg-BG"/>
        </w:rPr>
        <w:instrText xml:space="preserve"> SEQ Фигура \* ARABIC </w:instrText>
      </w:r>
      <w:r w:rsidRPr="007C2C00">
        <w:rPr>
          <w:rStyle w:val="a1"/>
          <w:rFonts w:ascii="Times New Roman" w:eastAsia="DejaVu Sans" w:hAnsi="Times New Roman"/>
          <w:b w:val="0"/>
          <w:bCs w:val="0"/>
          <w:i/>
          <w:color w:val="000000"/>
          <w:sz w:val="22"/>
          <w:szCs w:val="22"/>
          <w:lang w:val="bg-BG" w:eastAsia="bg-BG"/>
        </w:rPr>
        <w:fldChar w:fldCharType="separate"/>
      </w:r>
      <w:r w:rsidR="008059A7">
        <w:rPr>
          <w:rStyle w:val="a1"/>
          <w:rFonts w:ascii="Times New Roman" w:eastAsia="DejaVu Sans" w:hAnsi="Times New Roman"/>
          <w:b w:val="0"/>
          <w:bCs w:val="0"/>
          <w:i/>
          <w:noProof/>
          <w:color w:val="000000"/>
          <w:sz w:val="22"/>
          <w:szCs w:val="22"/>
          <w:lang w:val="bg-BG" w:eastAsia="bg-BG"/>
        </w:rPr>
        <w:t>10</w:t>
      </w:r>
      <w:r w:rsidRPr="007C2C00">
        <w:rPr>
          <w:rStyle w:val="a1"/>
          <w:rFonts w:ascii="Times New Roman" w:eastAsia="DejaVu Sans" w:hAnsi="Times New Roman"/>
          <w:b w:val="0"/>
          <w:bCs w:val="0"/>
          <w:i/>
          <w:color w:val="000000"/>
          <w:sz w:val="22"/>
          <w:szCs w:val="22"/>
          <w:lang w:val="bg-BG" w:eastAsia="bg-BG"/>
        </w:rPr>
        <w:fldChar w:fldCharType="end"/>
      </w:r>
      <w:r w:rsidR="0042190C" w:rsidRPr="007C2C00">
        <w:rPr>
          <w:rStyle w:val="a1"/>
          <w:rFonts w:ascii="Times New Roman" w:eastAsia="DejaVu Sans" w:hAnsi="Times New Roman"/>
          <w:b w:val="0"/>
          <w:bCs w:val="0"/>
          <w:i/>
          <w:color w:val="000000"/>
          <w:sz w:val="22"/>
          <w:szCs w:val="22"/>
          <w:lang w:val="bg-BG" w:eastAsia="bg-BG"/>
        </w:rPr>
        <w:t>. Нетни емисии (</w:t>
      </w:r>
      <w:proofErr w:type="spellStart"/>
      <w:r w:rsidR="0042190C" w:rsidRPr="007C2C00">
        <w:rPr>
          <w:rStyle w:val="a1"/>
          <w:rFonts w:ascii="Times New Roman" w:eastAsia="DejaVu Sans" w:hAnsi="Times New Roman"/>
          <w:b w:val="0"/>
          <w:bCs w:val="0"/>
          <w:i/>
          <w:color w:val="000000"/>
          <w:sz w:val="22"/>
          <w:szCs w:val="22"/>
          <w:lang w:val="bg-BG" w:eastAsia="bg-BG"/>
        </w:rPr>
        <w:t>Gg</w:t>
      </w:r>
      <w:proofErr w:type="spellEnd"/>
      <w:r w:rsidR="0042190C" w:rsidRPr="007C2C00">
        <w:rPr>
          <w:rStyle w:val="a1"/>
          <w:rFonts w:ascii="Times New Roman" w:eastAsia="DejaVu Sans" w:hAnsi="Times New Roman"/>
          <w:b w:val="0"/>
          <w:bCs w:val="0"/>
          <w:i/>
          <w:color w:val="000000"/>
          <w:sz w:val="22"/>
          <w:szCs w:val="22"/>
          <w:lang w:val="bg-BG" w:eastAsia="bg-BG"/>
        </w:rPr>
        <w:t xml:space="preserve"> CO2 </w:t>
      </w:r>
      <w:proofErr w:type="spellStart"/>
      <w:r w:rsidR="0042190C" w:rsidRPr="007C2C00">
        <w:rPr>
          <w:rStyle w:val="a1"/>
          <w:rFonts w:ascii="Times New Roman" w:eastAsia="DejaVu Sans" w:hAnsi="Times New Roman"/>
          <w:b w:val="0"/>
          <w:bCs w:val="0"/>
          <w:i/>
          <w:color w:val="000000"/>
          <w:sz w:val="22"/>
          <w:szCs w:val="22"/>
          <w:lang w:val="bg-BG" w:eastAsia="bg-BG"/>
        </w:rPr>
        <w:t>eq</w:t>
      </w:r>
      <w:proofErr w:type="spellEnd"/>
      <w:r w:rsidR="0042190C" w:rsidRPr="007C2C00">
        <w:rPr>
          <w:rStyle w:val="a1"/>
          <w:rFonts w:ascii="Times New Roman" w:eastAsia="DejaVu Sans" w:hAnsi="Times New Roman"/>
          <w:b w:val="0"/>
          <w:bCs w:val="0"/>
          <w:i/>
          <w:color w:val="000000"/>
          <w:sz w:val="22"/>
          <w:szCs w:val="22"/>
          <w:lang w:val="bg-BG" w:eastAsia="bg-BG"/>
        </w:rPr>
        <w:t>.) на парникови газове от сектор ЗПЗГС</w:t>
      </w:r>
      <w:bookmarkEnd w:id="39"/>
      <w:bookmarkEnd w:id="40"/>
    </w:p>
    <w:p w14:paraId="05B24164" w14:textId="77777777" w:rsidR="008B1EFF" w:rsidRDefault="0042190C">
      <w:pPr>
        <w:pStyle w:val="a0"/>
        <w:widowControl w:val="0"/>
        <w:spacing w:before="120" w:line="276" w:lineRule="auto"/>
        <w:ind w:left="720"/>
      </w:pPr>
      <w:r>
        <w:rPr>
          <w:rStyle w:val="a1"/>
          <w:rFonts w:eastAsia="DejaVu Sans"/>
          <w:noProof/>
          <w:color w:val="000000"/>
          <w:lang w:val="en-GB" w:eastAsia="en-GB"/>
        </w:rPr>
        <w:drawing>
          <wp:inline distT="0" distB="0" distL="0" distR="0" wp14:anchorId="131FE05E" wp14:editId="48EF219B">
            <wp:extent cx="4639583" cy="2843848"/>
            <wp:effectExtent l="0" t="0" r="8617" b="0"/>
            <wp:docPr id="20"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639583" cy="2843848"/>
                    </a:xfrm>
                    <a:prstGeom prst="rect">
                      <a:avLst/>
                    </a:prstGeom>
                    <a:noFill/>
                    <a:ln>
                      <a:noFill/>
                      <a:prstDash/>
                    </a:ln>
                  </pic:spPr>
                </pic:pic>
              </a:graphicData>
            </a:graphic>
          </wp:inline>
        </w:drawing>
      </w:r>
    </w:p>
    <w:p w14:paraId="228343E4" w14:textId="77777777" w:rsidR="008B1EFF" w:rsidRDefault="0042190C">
      <w:pPr>
        <w:pStyle w:val="a0"/>
        <w:widowControl w:val="0"/>
        <w:spacing w:before="120" w:line="276" w:lineRule="auto"/>
        <w:jc w:val="both"/>
      </w:pPr>
      <w:r>
        <w:rPr>
          <w:rStyle w:val="a1"/>
          <w:rFonts w:eastAsia="ヒラギノ角ゴ Pro W3"/>
          <w:i/>
          <w:iCs/>
          <w:color w:val="000000"/>
          <w:sz w:val="20"/>
          <w:szCs w:val="20"/>
        </w:rPr>
        <w:t>Източник: НДИПГ 2020, ИАОС</w:t>
      </w:r>
    </w:p>
    <w:p w14:paraId="20D03BE6" w14:textId="77777777" w:rsidR="008B1EFF" w:rsidRPr="002E54A0" w:rsidRDefault="0042190C">
      <w:pPr>
        <w:pStyle w:val="a0"/>
        <w:widowControl w:val="0"/>
        <w:spacing w:before="120" w:after="120" w:line="264" w:lineRule="auto"/>
        <w:jc w:val="both"/>
        <w:rPr>
          <w:sz w:val="22"/>
          <w:szCs w:val="22"/>
        </w:rPr>
      </w:pPr>
      <w:r w:rsidRPr="002E54A0">
        <w:rPr>
          <w:rStyle w:val="a1"/>
          <w:rFonts w:eastAsia="Arial"/>
          <w:b/>
          <w:color w:val="000000"/>
          <w:sz w:val="22"/>
          <w:szCs w:val="22"/>
        </w:rPr>
        <w:t>Отчита се съществен спад (с 56%) в поглъщането на емисии от сектора в сравнение с базовата година</w:t>
      </w:r>
      <w:r w:rsidRPr="002E54A0">
        <w:rPr>
          <w:rStyle w:val="a1"/>
          <w:rFonts w:eastAsia="Arial"/>
          <w:color w:val="000000"/>
          <w:sz w:val="22"/>
          <w:szCs w:val="22"/>
        </w:rPr>
        <w:t>. Причините за това са комплексни, но най-вече са свързани с динамиката на изменение на въглеродните запаси в горите. Намаляването на поглъщанията от горите се дължи на постепенното, но устойчиво покачване на средната възраст на горите в България, както и на значителния спад в дейностите по залесяване</w:t>
      </w:r>
      <w:r w:rsidRPr="002E54A0">
        <w:rPr>
          <w:rStyle w:val="ab"/>
          <w:rFonts w:eastAsia="Arial"/>
          <w:color w:val="000000"/>
          <w:sz w:val="22"/>
          <w:szCs w:val="22"/>
        </w:rPr>
        <w:footnoteReference w:id="31"/>
      </w:r>
      <w:r w:rsidRPr="002E54A0">
        <w:rPr>
          <w:rStyle w:val="a1"/>
          <w:rFonts w:eastAsia="Arial"/>
          <w:color w:val="000000"/>
          <w:sz w:val="22"/>
          <w:szCs w:val="22"/>
        </w:rPr>
        <w:t xml:space="preserve">. </w:t>
      </w:r>
    </w:p>
    <w:p w14:paraId="6F96B7A0" w14:textId="4BE3B4E3" w:rsidR="008B1EFF" w:rsidRPr="002E54A0" w:rsidRDefault="0042190C">
      <w:pPr>
        <w:pStyle w:val="a0"/>
        <w:widowControl w:val="0"/>
        <w:spacing w:before="120" w:after="120" w:line="264" w:lineRule="auto"/>
        <w:jc w:val="both"/>
        <w:rPr>
          <w:rFonts w:eastAsia="Arial"/>
          <w:color w:val="000000"/>
          <w:sz w:val="22"/>
          <w:szCs w:val="22"/>
        </w:rPr>
      </w:pPr>
      <w:r w:rsidRPr="002E54A0">
        <w:rPr>
          <w:rFonts w:eastAsia="Arial"/>
          <w:color w:val="000000"/>
          <w:sz w:val="22"/>
          <w:szCs w:val="22"/>
        </w:rPr>
        <w:t>Въпреки намалените нива на поглъщане от сектора, ЗПЗГС обхваща 13% от общия дял на нетните емисиите на парникови газове за 2018</w:t>
      </w:r>
      <w:r w:rsidR="00226F9D">
        <w:rPr>
          <w:rFonts w:eastAsia="Arial"/>
          <w:color w:val="000000"/>
          <w:sz w:val="22"/>
          <w:szCs w:val="22"/>
        </w:rPr>
        <w:t xml:space="preserve"> г.</w:t>
      </w:r>
      <w:r w:rsidRPr="002E54A0">
        <w:rPr>
          <w:rFonts w:eastAsia="Arial"/>
          <w:color w:val="000000"/>
          <w:sz w:val="22"/>
          <w:szCs w:val="22"/>
        </w:rPr>
        <w:t xml:space="preserve">, при 15% за базовата 1988 г. Това се дължи основно на общото намаление на емисиите в останалите сектори. </w:t>
      </w:r>
    </w:p>
    <w:p w14:paraId="040F6380" w14:textId="77777777" w:rsidR="008B1EFF" w:rsidRPr="002E54A0" w:rsidRDefault="0042190C">
      <w:pPr>
        <w:pStyle w:val="a0"/>
        <w:spacing w:before="120" w:after="120" w:line="264" w:lineRule="auto"/>
        <w:jc w:val="both"/>
        <w:rPr>
          <w:b/>
          <w:sz w:val="22"/>
          <w:szCs w:val="22"/>
        </w:rPr>
      </w:pPr>
      <w:r w:rsidRPr="002E54A0">
        <w:rPr>
          <w:b/>
          <w:sz w:val="22"/>
          <w:szCs w:val="22"/>
        </w:rPr>
        <w:t>Сектор „Отпадъци”</w:t>
      </w:r>
    </w:p>
    <w:p w14:paraId="5D68C80A" w14:textId="77777777" w:rsidR="008B1EFF" w:rsidRPr="002E54A0" w:rsidRDefault="0042190C">
      <w:pPr>
        <w:pStyle w:val="a0"/>
        <w:spacing w:before="120" w:after="120" w:line="264" w:lineRule="auto"/>
        <w:jc w:val="both"/>
        <w:rPr>
          <w:sz w:val="22"/>
          <w:szCs w:val="22"/>
        </w:rPr>
      </w:pPr>
      <w:r w:rsidRPr="002E54A0">
        <w:rPr>
          <w:sz w:val="22"/>
          <w:szCs w:val="22"/>
        </w:rPr>
        <w:lastRenderedPageBreak/>
        <w:t>Емисиите на ПГ в сектор “Отпадъци” се получават в резултат от процесите на събиране, съхранение и третиране на твърди отпадъци от бита и обществения сектор и след третиране на отпадъчни води от домакинствата и промишлеността.</w:t>
      </w:r>
    </w:p>
    <w:p w14:paraId="17CF1DB9" w14:textId="77777777" w:rsidR="008B1EFF" w:rsidRPr="002E54A0" w:rsidRDefault="0042190C">
      <w:pPr>
        <w:pStyle w:val="a0"/>
        <w:spacing w:before="120" w:after="120" w:line="264" w:lineRule="auto"/>
        <w:jc w:val="both"/>
        <w:rPr>
          <w:sz w:val="22"/>
          <w:szCs w:val="22"/>
        </w:rPr>
      </w:pPr>
      <w:r w:rsidRPr="002E54A0">
        <w:rPr>
          <w:sz w:val="22"/>
          <w:szCs w:val="22"/>
        </w:rPr>
        <w:t>Твърдите отпадъци могат да се третират посредством депониране на сметища, рециклиране, изгаряне с цел унищожаване или за получаване на енергия. В този сектор се определят емисиите на ПГ само от процесите на гниене на депонираните твърди отпадъци.</w:t>
      </w:r>
    </w:p>
    <w:p w14:paraId="7FB3FFDF" w14:textId="77777777" w:rsidR="008B1EFF" w:rsidRPr="002E54A0" w:rsidRDefault="0042190C">
      <w:pPr>
        <w:pStyle w:val="a0"/>
        <w:spacing w:before="120" w:after="120" w:line="264" w:lineRule="auto"/>
        <w:jc w:val="both"/>
        <w:rPr>
          <w:sz w:val="22"/>
          <w:szCs w:val="22"/>
        </w:rPr>
      </w:pPr>
      <w:r w:rsidRPr="002E54A0">
        <w:rPr>
          <w:sz w:val="22"/>
          <w:szCs w:val="22"/>
        </w:rPr>
        <w:t>Депонираните твърди отпадъци емитират СН</w:t>
      </w:r>
      <w:r w:rsidRPr="002E54A0">
        <w:rPr>
          <w:rStyle w:val="a1"/>
          <w:sz w:val="22"/>
          <w:szCs w:val="22"/>
          <w:vertAlign w:val="subscript"/>
        </w:rPr>
        <w:t>4</w:t>
      </w:r>
      <w:r w:rsidRPr="002E54A0">
        <w:rPr>
          <w:sz w:val="22"/>
          <w:szCs w:val="22"/>
        </w:rPr>
        <w:t xml:space="preserve"> в резултат от процесите на анаеробно и аеробно разграждане на органичното им съдържание. В инвентаризацията за 2018 г., емисиите на метан от този източник са на първо място – 74,6%.</w:t>
      </w:r>
    </w:p>
    <w:p w14:paraId="376BFAA9" w14:textId="77777777" w:rsidR="008B1EFF" w:rsidRPr="002E54A0" w:rsidRDefault="0042190C">
      <w:pPr>
        <w:pStyle w:val="a0"/>
        <w:spacing w:before="120" w:after="120" w:line="264" w:lineRule="auto"/>
        <w:jc w:val="both"/>
        <w:rPr>
          <w:sz w:val="22"/>
          <w:szCs w:val="22"/>
        </w:rPr>
      </w:pPr>
      <w:r w:rsidRPr="002E54A0">
        <w:rPr>
          <w:sz w:val="22"/>
          <w:szCs w:val="22"/>
        </w:rPr>
        <w:t>Вторият голям източник на СН</w:t>
      </w:r>
      <w:r w:rsidRPr="002E54A0">
        <w:rPr>
          <w:rStyle w:val="a1"/>
          <w:sz w:val="22"/>
          <w:szCs w:val="22"/>
          <w:vertAlign w:val="subscript"/>
        </w:rPr>
        <w:t>4</w:t>
      </w:r>
      <w:r w:rsidRPr="002E54A0">
        <w:rPr>
          <w:sz w:val="22"/>
          <w:szCs w:val="22"/>
        </w:rPr>
        <w:t xml:space="preserve"> в този сектор е третирането на отпадъчните води в пречиствателните съоръжения (21%), като се разглеждат самостоятелно третирането на индустриалните отпадъчни води и третирането на отпадъчни води от домакинствата и обществените сгради.</w:t>
      </w:r>
    </w:p>
    <w:p w14:paraId="447BE78E" w14:textId="799F545C" w:rsidR="008B1EFF" w:rsidRPr="002E54A0" w:rsidRDefault="0042190C">
      <w:pPr>
        <w:pStyle w:val="a0"/>
        <w:spacing w:before="120" w:line="276" w:lineRule="auto"/>
        <w:jc w:val="both"/>
        <w:rPr>
          <w:b/>
          <w:bCs/>
          <w:iCs/>
          <w:sz w:val="22"/>
          <w:szCs w:val="22"/>
        </w:rPr>
      </w:pPr>
      <w:r w:rsidRPr="002E54A0">
        <w:rPr>
          <w:b/>
          <w:bCs/>
          <w:iCs/>
          <w:sz w:val="22"/>
          <w:szCs w:val="22"/>
        </w:rPr>
        <w:t>Тенденции в общите емисии на парникови газове по сектори за периода 1988-2018</w:t>
      </w:r>
      <w:r w:rsidR="00226F9D">
        <w:rPr>
          <w:b/>
          <w:bCs/>
          <w:iCs/>
          <w:sz w:val="22"/>
          <w:szCs w:val="22"/>
        </w:rPr>
        <w:t xml:space="preserve"> </w:t>
      </w:r>
      <w:r w:rsidRPr="002E54A0">
        <w:rPr>
          <w:b/>
          <w:bCs/>
          <w:iCs/>
          <w:sz w:val="22"/>
          <w:szCs w:val="22"/>
        </w:rPr>
        <w:t>г.</w:t>
      </w:r>
    </w:p>
    <w:p w14:paraId="606F1B56" w14:textId="77777777" w:rsidR="008B1EFF" w:rsidRPr="002E54A0" w:rsidRDefault="0042190C">
      <w:pPr>
        <w:pStyle w:val="a0"/>
        <w:spacing w:before="120" w:line="276" w:lineRule="auto"/>
        <w:jc w:val="both"/>
        <w:rPr>
          <w:sz w:val="22"/>
          <w:szCs w:val="22"/>
        </w:rPr>
      </w:pPr>
      <w:r w:rsidRPr="002E54A0">
        <w:rPr>
          <w:sz w:val="22"/>
          <w:szCs w:val="22"/>
        </w:rPr>
        <w:t xml:space="preserve">На следващата фигура са представени общите емисии на ПГ по сектори за периода 1988–2018 г. в </w:t>
      </w:r>
      <w:proofErr w:type="spellStart"/>
      <w:r w:rsidRPr="002E54A0">
        <w:rPr>
          <w:sz w:val="22"/>
          <w:szCs w:val="22"/>
        </w:rPr>
        <w:t>Gg</w:t>
      </w:r>
      <w:proofErr w:type="spellEnd"/>
      <w:r w:rsidRPr="002E54A0">
        <w:rPr>
          <w:sz w:val="22"/>
          <w:szCs w:val="22"/>
        </w:rPr>
        <w:t xml:space="preserve"> СО</w:t>
      </w:r>
      <w:r w:rsidRPr="002E54A0">
        <w:rPr>
          <w:rStyle w:val="a1"/>
          <w:sz w:val="22"/>
          <w:szCs w:val="22"/>
          <w:vertAlign w:val="subscript"/>
        </w:rPr>
        <w:t>2</w:t>
      </w:r>
      <w:r w:rsidRPr="002E54A0">
        <w:rPr>
          <w:sz w:val="22"/>
          <w:szCs w:val="22"/>
        </w:rPr>
        <w:t>-екв. Включени са и количествата погълнат СО</w:t>
      </w:r>
      <w:r w:rsidRPr="002E54A0">
        <w:rPr>
          <w:rStyle w:val="a1"/>
          <w:sz w:val="22"/>
          <w:szCs w:val="22"/>
          <w:vertAlign w:val="subscript"/>
        </w:rPr>
        <w:t>2</w:t>
      </w:r>
      <w:r w:rsidRPr="002E54A0">
        <w:rPr>
          <w:sz w:val="22"/>
          <w:szCs w:val="22"/>
        </w:rPr>
        <w:t xml:space="preserve"> от горите, което води до понижаване на емисиите. </w:t>
      </w:r>
    </w:p>
    <w:p w14:paraId="21788989" w14:textId="2977A65C" w:rsidR="008B1EFF" w:rsidRPr="007C2C00" w:rsidRDefault="007C2C00" w:rsidP="007C2C00">
      <w:pPr>
        <w:pStyle w:val="Caption"/>
        <w:rPr>
          <w:rFonts w:ascii="Times New Roman" w:eastAsia="Times New Roman" w:hAnsi="Times New Roman"/>
          <w:b w:val="0"/>
          <w:bCs w:val="0"/>
          <w:i/>
          <w:color w:val="auto"/>
          <w:sz w:val="22"/>
          <w:szCs w:val="22"/>
          <w:lang w:val="bg-BG" w:eastAsia="bg-BG"/>
        </w:rPr>
      </w:pPr>
      <w:bookmarkStart w:id="41" w:name="_Toc71529784"/>
      <w:bookmarkStart w:id="42" w:name="_Toc72910394"/>
      <w:r w:rsidRPr="007C2C00">
        <w:rPr>
          <w:rFonts w:ascii="Times New Roman" w:eastAsia="Times New Roman" w:hAnsi="Times New Roman"/>
          <w:b w:val="0"/>
          <w:bCs w:val="0"/>
          <w:i/>
          <w:color w:val="auto"/>
          <w:sz w:val="22"/>
          <w:szCs w:val="22"/>
          <w:lang w:val="bg-BG" w:eastAsia="bg-BG"/>
        </w:rPr>
        <w:t xml:space="preserve">Фигура </w:t>
      </w:r>
      <w:r w:rsidRPr="007C2C00">
        <w:rPr>
          <w:rFonts w:ascii="Times New Roman" w:eastAsia="Times New Roman" w:hAnsi="Times New Roman"/>
          <w:b w:val="0"/>
          <w:bCs w:val="0"/>
          <w:i/>
          <w:color w:val="auto"/>
          <w:sz w:val="22"/>
          <w:szCs w:val="22"/>
          <w:lang w:val="bg-BG" w:eastAsia="bg-BG"/>
        </w:rPr>
        <w:fldChar w:fldCharType="begin"/>
      </w:r>
      <w:r w:rsidRPr="007C2C00">
        <w:rPr>
          <w:rFonts w:ascii="Times New Roman" w:eastAsia="Times New Roman" w:hAnsi="Times New Roman"/>
          <w:b w:val="0"/>
          <w:bCs w:val="0"/>
          <w:i/>
          <w:color w:val="auto"/>
          <w:sz w:val="22"/>
          <w:szCs w:val="22"/>
          <w:lang w:val="bg-BG" w:eastAsia="bg-BG"/>
        </w:rPr>
        <w:instrText xml:space="preserve"> SEQ Фигура \* ARABIC </w:instrText>
      </w:r>
      <w:r w:rsidRPr="007C2C00">
        <w:rPr>
          <w:rFonts w:ascii="Times New Roman" w:eastAsia="Times New Roman" w:hAnsi="Times New Roman"/>
          <w:b w:val="0"/>
          <w:bCs w:val="0"/>
          <w:i/>
          <w:color w:val="auto"/>
          <w:sz w:val="22"/>
          <w:szCs w:val="22"/>
          <w:lang w:val="bg-BG" w:eastAsia="bg-BG"/>
        </w:rPr>
        <w:fldChar w:fldCharType="separate"/>
      </w:r>
      <w:r w:rsidR="008059A7">
        <w:rPr>
          <w:rFonts w:ascii="Times New Roman" w:eastAsia="Times New Roman" w:hAnsi="Times New Roman"/>
          <w:b w:val="0"/>
          <w:bCs w:val="0"/>
          <w:i/>
          <w:noProof/>
          <w:color w:val="auto"/>
          <w:sz w:val="22"/>
          <w:szCs w:val="22"/>
          <w:lang w:val="bg-BG" w:eastAsia="bg-BG"/>
        </w:rPr>
        <w:t>11</w:t>
      </w:r>
      <w:r w:rsidRPr="007C2C00">
        <w:rPr>
          <w:rFonts w:ascii="Times New Roman" w:eastAsia="Times New Roman" w:hAnsi="Times New Roman"/>
          <w:b w:val="0"/>
          <w:bCs w:val="0"/>
          <w:i/>
          <w:color w:val="auto"/>
          <w:sz w:val="22"/>
          <w:szCs w:val="22"/>
          <w:lang w:val="bg-BG" w:eastAsia="bg-BG"/>
        </w:rPr>
        <w:fldChar w:fldCharType="end"/>
      </w:r>
      <w:r w:rsidRPr="007C2C00">
        <w:rPr>
          <w:rFonts w:ascii="Times New Roman" w:eastAsia="Times New Roman" w:hAnsi="Times New Roman"/>
          <w:b w:val="0"/>
          <w:bCs w:val="0"/>
          <w:i/>
          <w:color w:val="auto"/>
          <w:sz w:val="22"/>
          <w:szCs w:val="22"/>
          <w:lang w:val="bg-BG" w:eastAsia="bg-BG"/>
        </w:rPr>
        <w:t xml:space="preserve"> </w:t>
      </w:r>
      <w:r w:rsidR="0042190C" w:rsidRPr="007C2C00">
        <w:rPr>
          <w:rFonts w:ascii="Times New Roman" w:eastAsia="Times New Roman" w:hAnsi="Times New Roman"/>
          <w:b w:val="0"/>
          <w:i/>
          <w:color w:val="auto"/>
          <w:sz w:val="22"/>
          <w:szCs w:val="22"/>
          <w:lang w:val="bg-BG" w:eastAsia="bg-BG"/>
        </w:rPr>
        <w:t xml:space="preserve">Общи емисии на парникови газове по сектори за периода 1988 – 2018 г., </w:t>
      </w:r>
      <w:proofErr w:type="spellStart"/>
      <w:r w:rsidR="0042190C" w:rsidRPr="007C2C00">
        <w:rPr>
          <w:rFonts w:ascii="Times New Roman" w:eastAsia="Times New Roman" w:hAnsi="Times New Roman"/>
          <w:b w:val="0"/>
          <w:i/>
          <w:color w:val="auto"/>
          <w:sz w:val="22"/>
          <w:szCs w:val="22"/>
          <w:lang w:val="bg-BG" w:eastAsia="bg-BG"/>
        </w:rPr>
        <w:t>Gg</w:t>
      </w:r>
      <w:proofErr w:type="spellEnd"/>
      <w:r w:rsidR="0042190C" w:rsidRPr="007C2C00">
        <w:rPr>
          <w:rFonts w:ascii="Times New Roman" w:eastAsia="Times New Roman" w:hAnsi="Times New Roman"/>
          <w:b w:val="0"/>
          <w:i/>
          <w:color w:val="auto"/>
          <w:sz w:val="22"/>
          <w:szCs w:val="22"/>
          <w:lang w:val="bg-BG" w:eastAsia="bg-BG"/>
        </w:rPr>
        <w:t xml:space="preserve"> CO2 - екв.</w:t>
      </w:r>
      <w:bookmarkEnd w:id="41"/>
      <w:bookmarkEnd w:id="42"/>
    </w:p>
    <w:p w14:paraId="284117B3" w14:textId="77777777" w:rsidR="008B1EFF" w:rsidRDefault="0042190C">
      <w:pPr>
        <w:pStyle w:val="a0"/>
        <w:spacing w:before="120" w:line="276" w:lineRule="auto"/>
        <w:jc w:val="center"/>
      </w:pPr>
      <w:r>
        <w:rPr>
          <w:rStyle w:val="a1"/>
          <w:noProof/>
          <w:lang w:val="en-GB" w:eastAsia="en-GB"/>
        </w:rPr>
        <w:drawing>
          <wp:inline distT="0" distB="0" distL="0" distR="0" wp14:anchorId="18E91EA3" wp14:editId="42491933">
            <wp:extent cx="4513761" cy="2128860"/>
            <wp:effectExtent l="0" t="0" r="1089" b="4740"/>
            <wp:docPr id="21" name="Picture 173" descr="http://eea.government.bg/bg/soer/2018/climate/figuri/climat12.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rcRect/>
                    <a:stretch>
                      <a:fillRect/>
                    </a:stretch>
                  </pic:blipFill>
                  <pic:spPr>
                    <a:xfrm>
                      <a:off x="0" y="0"/>
                      <a:ext cx="4513761" cy="2128860"/>
                    </a:xfrm>
                    <a:prstGeom prst="rect">
                      <a:avLst/>
                    </a:prstGeom>
                    <a:noFill/>
                    <a:ln>
                      <a:noFill/>
                      <a:prstDash/>
                    </a:ln>
                  </pic:spPr>
                </pic:pic>
              </a:graphicData>
            </a:graphic>
          </wp:inline>
        </w:drawing>
      </w:r>
    </w:p>
    <w:p w14:paraId="6436FA14" w14:textId="77777777" w:rsidR="008B1EFF" w:rsidRDefault="0042190C">
      <w:pPr>
        <w:pStyle w:val="a0"/>
        <w:spacing w:before="120" w:line="276" w:lineRule="auto"/>
      </w:pPr>
      <w:r>
        <w:rPr>
          <w:rStyle w:val="a1"/>
          <w:i/>
          <w:iCs/>
          <w:sz w:val="20"/>
          <w:szCs w:val="20"/>
        </w:rPr>
        <w:t xml:space="preserve">ЗПЗГС - </w:t>
      </w:r>
      <w:proofErr w:type="spellStart"/>
      <w:r>
        <w:rPr>
          <w:rStyle w:val="a1"/>
          <w:i/>
          <w:iCs/>
          <w:sz w:val="20"/>
          <w:szCs w:val="20"/>
        </w:rPr>
        <w:t>Земеползване</w:t>
      </w:r>
      <w:proofErr w:type="spellEnd"/>
      <w:r>
        <w:rPr>
          <w:rStyle w:val="a1"/>
          <w:i/>
          <w:iCs/>
          <w:sz w:val="20"/>
          <w:szCs w:val="20"/>
        </w:rPr>
        <w:t xml:space="preserve">, промяна в </w:t>
      </w:r>
      <w:proofErr w:type="spellStart"/>
      <w:r>
        <w:rPr>
          <w:rStyle w:val="a1"/>
          <w:i/>
          <w:iCs/>
          <w:sz w:val="20"/>
          <w:szCs w:val="20"/>
        </w:rPr>
        <w:t>земеползването</w:t>
      </w:r>
      <w:proofErr w:type="spellEnd"/>
      <w:r>
        <w:rPr>
          <w:rStyle w:val="a1"/>
          <w:i/>
          <w:iCs/>
          <w:sz w:val="20"/>
          <w:szCs w:val="20"/>
        </w:rPr>
        <w:t xml:space="preserve"> и горско стопанство</w:t>
      </w:r>
    </w:p>
    <w:p w14:paraId="2C24B91E" w14:textId="77777777" w:rsidR="008B1EFF" w:rsidRDefault="0042190C">
      <w:pPr>
        <w:pStyle w:val="a0"/>
        <w:spacing w:before="120" w:line="276" w:lineRule="auto"/>
      </w:pPr>
      <w:r>
        <w:rPr>
          <w:rStyle w:val="a1"/>
          <w:i/>
          <w:iCs/>
          <w:sz w:val="20"/>
          <w:szCs w:val="20"/>
        </w:rPr>
        <w:t xml:space="preserve">Източник: ИАОС , Национален доклад за инвентаризация на емисиите на ПГ за 2018 г. </w:t>
      </w:r>
    </w:p>
    <w:p w14:paraId="17DE844D" w14:textId="77777777" w:rsidR="008B1EFF" w:rsidRPr="002E54A0" w:rsidRDefault="0042190C">
      <w:pPr>
        <w:pStyle w:val="a0"/>
        <w:spacing w:before="120" w:line="276" w:lineRule="auto"/>
        <w:jc w:val="both"/>
        <w:rPr>
          <w:sz w:val="22"/>
          <w:szCs w:val="22"/>
        </w:rPr>
      </w:pPr>
      <w:r w:rsidRPr="002E54A0">
        <w:rPr>
          <w:sz w:val="22"/>
          <w:szCs w:val="22"/>
        </w:rPr>
        <w:t>Анализът на данните показва, че най-голям дял от общите емисии на ПГ през 2018г. има сектор “Енергетика” – 71,3%, следван от сектор “Индустриални процеси и използване на продукти” – 11,3%. Сектор „Селско стопанство” и сектор “Отпадъци” със съответно по 11,1% и 6,4% от националните емисии. </w:t>
      </w:r>
    </w:p>
    <w:p w14:paraId="4E862DA0" w14:textId="77777777" w:rsidR="008B1EFF" w:rsidRPr="002E54A0" w:rsidRDefault="0042190C">
      <w:pPr>
        <w:pStyle w:val="a0"/>
        <w:spacing w:before="120" w:line="276" w:lineRule="auto"/>
        <w:jc w:val="both"/>
        <w:rPr>
          <w:sz w:val="22"/>
          <w:szCs w:val="22"/>
        </w:rPr>
      </w:pPr>
      <w:r w:rsidRPr="002E54A0">
        <w:rPr>
          <w:sz w:val="22"/>
          <w:szCs w:val="22"/>
        </w:rPr>
        <w:t xml:space="preserve">Основните причини за наблюдаваното намаление на емисиите на ПГ в Република България в периода до 2000 г. са структурните изменения на икономиката, поради радикалния икономически преходен процес от централно планирана към пазарна икономика. Това довежда до намаляване на </w:t>
      </w:r>
      <w:r w:rsidRPr="002E54A0">
        <w:rPr>
          <w:sz w:val="22"/>
          <w:szCs w:val="22"/>
        </w:rPr>
        <w:lastRenderedPageBreak/>
        <w:t>енергия в ТЕЦ (и увеличение на дела на хидро- и атомна енергия), структурни изменения в промишлеността (включващи намаление на енергийно-интензивната продукция и подобряване на енергийната ефективност), по-добро изолиране на сградите и преминаване от твърди и течни горива към природен газ. </w:t>
      </w:r>
    </w:p>
    <w:p w14:paraId="0C91410C" w14:textId="77777777" w:rsidR="008B1EFF" w:rsidRPr="002E54A0" w:rsidRDefault="0042190C">
      <w:pPr>
        <w:pStyle w:val="a0"/>
        <w:spacing w:before="120" w:line="276" w:lineRule="auto"/>
        <w:jc w:val="both"/>
        <w:rPr>
          <w:sz w:val="22"/>
          <w:szCs w:val="22"/>
        </w:rPr>
      </w:pPr>
      <w:r w:rsidRPr="002E54A0">
        <w:rPr>
          <w:sz w:val="22"/>
          <w:szCs w:val="22"/>
        </w:rPr>
        <w:t>За намаление на емисиите ПГ от селското стопанство и от сектор „Отпадъци“ основните причини са намаляването на популациите на говеда, овце и свине и намаляването на депонираните битови отпадъци в сметищата. </w:t>
      </w:r>
    </w:p>
    <w:p w14:paraId="3B792EBE" w14:textId="77777777" w:rsidR="008B1EFF" w:rsidRPr="002E54A0" w:rsidRDefault="0042190C">
      <w:pPr>
        <w:pStyle w:val="a0"/>
        <w:spacing w:before="120" w:line="276" w:lineRule="auto"/>
        <w:jc w:val="both"/>
        <w:rPr>
          <w:sz w:val="22"/>
          <w:szCs w:val="22"/>
        </w:rPr>
      </w:pPr>
      <w:r w:rsidRPr="002E54A0">
        <w:rPr>
          <w:sz w:val="22"/>
          <w:szCs w:val="22"/>
        </w:rPr>
        <w:t>Намалените емисии на ПГ са резултат и от намаление на населението и спад на БВП.</w:t>
      </w:r>
    </w:p>
    <w:p w14:paraId="33031082" w14:textId="77777777" w:rsidR="008B1EFF" w:rsidRPr="002E54A0" w:rsidRDefault="0042190C">
      <w:pPr>
        <w:pStyle w:val="a0"/>
        <w:spacing w:before="120" w:line="276" w:lineRule="auto"/>
        <w:jc w:val="both"/>
        <w:rPr>
          <w:b/>
          <w:sz w:val="22"/>
          <w:szCs w:val="22"/>
        </w:rPr>
      </w:pPr>
      <w:r w:rsidRPr="002E54A0">
        <w:rPr>
          <w:b/>
          <w:sz w:val="22"/>
          <w:szCs w:val="22"/>
        </w:rPr>
        <w:t>Количества на основните парникови газове, емитирани от различните сектори:</w:t>
      </w:r>
    </w:p>
    <w:p w14:paraId="179D0AC5" w14:textId="77777777" w:rsidR="008B1EFF" w:rsidRPr="002E54A0" w:rsidRDefault="0042190C">
      <w:pPr>
        <w:pStyle w:val="a0"/>
        <w:spacing w:before="120" w:line="276" w:lineRule="auto"/>
        <w:jc w:val="both"/>
        <w:rPr>
          <w:sz w:val="22"/>
          <w:szCs w:val="22"/>
        </w:rPr>
      </w:pPr>
      <w:r w:rsidRPr="002E54A0">
        <w:rPr>
          <w:sz w:val="22"/>
          <w:szCs w:val="22"/>
        </w:rPr>
        <w:t xml:space="preserve">Анализът показва, че основен източник на въглероден диоксид е сектор „Енергетика“, в сектор „Отпадъци“ се генерират над 55% от емисиите на метан, а сектор „Селско стопанство“ е основен източник на емисии на азотен диоксид. </w:t>
      </w:r>
    </w:p>
    <w:p w14:paraId="7EB2DC3D" w14:textId="7F925363" w:rsidR="008B1EFF" w:rsidRPr="007C2C00" w:rsidRDefault="007C2C00" w:rsidP="007C2C00">
      <w:pPr>
        <w:pStyle w:val="Caption"/>
        <w:rPr>
          <w:rFonts w:ascii="Times New Roman" w:eastAsia="Times New Roman" w:hAnsi="Times New Roman"/>
          <w:b w:val="0"/>
          <w:bCs w:val="0"/>
          <w:i/>
          <w:noProof/>
          <w:color w:val="auto"/>
          <w:sz w:val="22"/>
          <w:szCs w:val="22"/>
          <w:lang w:val="bg-BG" w:eastAsia="bg-BG"/>
        </w:rPr>
      </w:pPr>
      <w:bookmarkStart w:id="43" w:name="_Toc71529785"/>
      <w:bookmarkStart w:id="44" w:name="_Toc72910395"/>
      <w:r w:rsidRPr="007C2C00">
        <w:rPr>
          <w:rFonts w:ascii="Times New Roman" w:eastAsia="Times New Roman" w:hAnsi="Times New Roman"/>
          <w:b w:val="0"/>
          <w:bCs w:val="0"/>
          <w:i/>
          <w:noProof/>
          <w:color w:val="auto"/>
          <w:sz w:val="22"/>
          <w:szCs w:val="22"/>
          <w:lang w:val="bg-BG" w:eastAsia="bg-BG"/>
        </w:rPr>
        <w:t xml:space="preserve">Фигура </w:t>
      </w:r>
      <w:r w:rsidRPr="007C2C00">
        <w:rPr>
          <w:rFonts w:ascii="Times New Roman" w:eastAsia="Times New Roman" w:hAnsi="Times New Roman"/>
          <w:b w:val="0"/>
          <w:bCs w:val="0"/>
          <w:i/>
          <w:noProof/>
          <w:color w:val="auto"/>
          <w:sz w:val="22"/>
          <w:szCs w:val="22"/>
          <w:lang w:val="bg-BG" w:eastAsia="bg-BG"/>
        </w:rPr>
        <w:fldChar w:fldCharType="begin"/>
      </w:r>
      <w:r w:rsidRPr="007C2C00">
        <w:rPr>
          <w:rFonts w:ascii="Times New Roman" w:eastAsia="Times New Roman" w:hAnsi="Times New Roman"/>
          <w:b w:val="0"/>
          <w:bCs w:val="0"/>
          <w:i/>
          <w:noProof/>
          <w:color w:val="auto"/>
          <w:sz w:val="22"/>
          <w:szCs w:val="22"/>
          <w:lang w:val="bg-BG" w:eastAsia="bg-BG"/>
        </w:rPr>
        <w:instrText xml:space="preserve"> SEQ Фигура \* ARABIC </w:instrText>
      </w:r>
      <w:r w:rsidRPr="007C2C00">
        <w:rPr>
          <w:rFonts w:ascii="Times New Roman" w:eastAsia="Times New Roman" w:hAnsi="Times New Roman"/>
          <w:b w:val="0"/>
          <w:bCs w:val="0"/>
          <w:i/>
          <w:noProof/>
          <w:color w:val="auto"/>
          <w:sz w:val="22"/>
          <w:szCs w:val="22"/>
          <w:lang w:val="bg-BG" w:eastAsia="bg-BG"/>
        </w:rPr>
        <w:fldChar w:fldCharType="separate"/>
      </w:r>
      <w:r w:rsidR="008059A7">
        <w:rPr>
          <w:rFonts w:ascii="Times New Roman" w:eastAsia="Times New Roman" w:hAnsi="Times New Roman"/>
          <w:b w:val="0"/>
          <w:bCs w:val="0"/>
          <w:i/>
          <w:noProof/>
          <w:color w:val="auto"/>
          <w:sz w:val="22"/>
          <w:szCs w:val="22"/>
          <w:lang w:val="bg-BG" w:eastAsia="bg-BG"/>
        </w:rPr>
        <w:t>12</w:t>
      </w:r>
      <w:r w:rsidRPr="007C2C00">
        <w:rPr>
          <w:rFonts w:ascii="Times New Roman" w:eastAsia="Times New Roman" w:hAnsi="Times New Roman"/>
          <w:b w:val="0"/>
          <w:bCs w:val="0"/>
          <w:i/>
          <w:noProof/>
          <w:color w:val="auto"/>
          <w:sz w:val="22"/>
          <w:szCs w:val="22"/>
          <w:lang w:val="bg-BG" w:eastAsia="bg-BG"/>
        </w:rPr>
        <w:fldChar w:fldCharType="end"/>
      </w:r>
      <w:r w:rsidRPr="007C2C00">
        <w:rPr>
          <w:rFonts w:ascii="Times New Roman" w:eastAsia="Times New Roman" w:hAnsi="Times New Roman"/>
          <w:b w:val="0"/>
          <w:bCs w:val="0"/>
          <w:i/>
          <w:noProof/>
          <w:color w:val="auto"/>
          <w:sz w:val="22"/>
          <w:szCs w:val="22"/>
          <w:lang w:val="bg-BG" w:eastAsia="bg-BG"/>
        </w:rPr>
        <w:t xml:space="preserve"> </w:t>
      </w:r>
      <w:r w:rsidR="0042190C" w:rsidRPr="007C2C00">
        <w:rPr>
          <w:rFonts w:ascii="Times New Roman" w:eastAsia="Times New Roman" w:hAnsi="Times New Roman"/>
          <w:b w:val="0"/>
          <w:i/>
          <w:noProof/>
          <w:color w:val="auto"/>
          <w:sz w:val="22"/>
          <w:szCs w:val="22"/>
          <w:lang w:val="bg-BG" w:eastAsia="bg-BG"/>
        </w:rPr>
        <w:t>Дял на основните източници на емисии на ПГ през 2018 г.,%</w:t>
      </w:r>
      <w:bookmarkEnd w:id="43"/>
      <w:bookmarkEnd w:id="44"/>
    </w:p>
    <w:p w14:paraId="2EB8049A" w14:textId="77777777" w:rsidR="008B1EFF" w:rsidRDefault="0042190C">
      <w:pPr>
        <w:pStyle w:val="a0"/>
        <w:spacing w:before="120" w:line="276" w:lineRule="auto"/>
        <w:jc w:val="center"/>
      </w:pPr>
      <w:r>
        <w:rPr>
          <w:rStyle w:val="a1"/>
          <w:noProof/>
          <w:lang w:val="en-GB" w:eastAsia="en-GB"/>
        </w:rPr>
        <w:drawing>
          <wp:inline distT="0" distB="0" distL="0" distR="0" wp14:anchorId="09588608" wp14:editId="241AA5D8">
            <wp:extent cx="5210178" cy="2228850"/>
            <wp:effectExtent l="0" t="0" r="9522" b="0"/>
            <wp:docPr id="22" name="Picture 174" descr="http://eea.government.bg/bg/soer/2018/climate/figuri/climat13.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rcRect/>
                    <a:stretch>
                      <a:fillRect/>
                    </a:stretch>
                  </pic:blipFill>
                  <pic:spPr>
                    <a:xfrm>
                      <a:off x="0" y="0"/>
                      <a:ext cx="5210178" cy="2228850"/>
                    </a:xfrm>
                    <a:prstGeom prst="rect">
                      <a:avLst/>
                    </a:prstGeom>
                    <a:noFill/>
                    <a:ln>
                      <a:noFill/>
                      <a:prstDash/>
                    </a:ln>
                  </pic:spPr>
                </pic:pic>
              </a:graphicData>
            </a:graphic>
          </wp:inline>
        </w:drawing>
      </w:r>
    </w:p>
    <w:p w14:paraId="649545E9" w14:textId="77777777" w:rsidR="008B1EFF" w:rsidRDefault="0042190C" w:rsidP="007C2C00">
      <w:pPr>
        <w:pStyle w:val="a0"/>
        <w:spacing w:before="120" w:line="276" w:lineRule="auto"/>
      </w:pPr>
      <w:r>
        <w:rPr>
          <w:rStyle w:val="a1"/>
          <w:i/>
          <w:iCs/>
          <w:sz w:val="20"/>
          <w:szCs w:val="20"/>
        </w:rPr>
        <w:t>Източник: ИАОС , Национален доклад за инвентаризация на емисиите на ПГ за 2018 г.</w:t>
      </w:r>
    </w:p>
    <w:p w14:paraId="4DA7DDCD" w14:textId="77777777" w:rsidR="008B1EFF" w:rsidRPr="002E54A0" w:rsidRDefault="0042190C">
      <w:pPr>
        <w:pStyle w:val="a0"/>
        <w:spacing w:before="120" w:line="276" w:lineRule="auto"/>
        <w:jc w:val="both"/>
        <w:rPr>
          <w:bCs/>
          <w:sz w:val="22"/>
          <w:szCs w:val="22"/>
        </w:rPr>
      </w:pPr>
      <w:r w:rsidRPr="002E54A0">
        <w:rPr>
          <w:bCs/>
          <w:sz w:val="22"/>
          <w:szCs w:val="22"/>
        </w:rPr>
        <w:t xml:space="preserve">Повечето сектори са постигнали намаление на емисиите си в последните три десетилетия, с изключение на транспорта, където се регистрира нарастване на емисиите, както на европейско, така и на национално ниво. </w:t>
      </w:r>
    </w:p>
    <w:p w14:paraId="3BF4D95D" w14:textId="53C2ACE6" w:rsidR="008B1EFF" w:rsidRPr="002E54A0" w:rsidRDefault="0042190C">
      <w:pPr>
        <w:pStyle w:val="a0"/>
        <w:spacing w:before="120" w:line="276" w:lineRule="auto"/>
        <w:jc w:val="both"/>
        <w:rPr>
          <w:bCs/>
          <w:sz w:val="22"/>
          <w:szCs w:val="22"/>
        </w:rPr>
      </w:pPr>
      <w:r w:rsidRPr="002E54A0">
        <w:rPr>
          <w:bCs/>
          <w:sz w:val="22"/>
          <w:szCs w:val="22"/>
        </w:rPr>
        <w:t xml:space="preserve">Общо емисиите ПГ генерирани от пътния транспорт нарастват с 33.2% в сравнение с базовата година, като от  6 968 </w:t>
      </w:r>
      <w:proofErr w:type="spellStart"/>
      <w:r w:rsidRPr="002E54A0">
        <w:rPr>
          <w:bCs/>
          <w:sz w:val="22"/>
          <w:szCs w:val="22"/>
        </w:rPr>
        <w:t>Gg</w:t>
      </w:r>
      <w:proofErr w:type="spellEnd"/>
      <w:r w:rsidRPr="002E54A0">
        <w:rPr>
          <w:bCs/>
          <w:sz w:val="22"/>
          <w:szCs w:val="22"/>
        </w:rPr>
        <w:t xml:space="preserve"> CO2e стигат до 9 283 </w:t>
      </w:r>
      <w:proofErr w:type="spellStart"/>
      <w:r w:rsidRPr="002E54A0">
        <w:rPr>
          <w:bCs/>
          <w:sz w:val="22"/>
          <w:szCs w:val="22"/>
        </w:rPr>
        <w:t>Gg</w:t>
      </w:r>
      <w:proofErr w:type="spellEnd"/>
      <w:r w:rsidRPr="002E54A0">
        <w:rPr>
          <w:bCs/>
          <w:sz w:val="22"/>
          <w:szCs w:val="22"/>
        </w:rPr>
        <w:t xml:space="preserve"> CO2e през 2018</w:t>
      </w:r>
      <w:r w:rsidR="002E46C4">
        <w:rPr>
          <w:bCs/>
          <w:sz w:val="22"/>
          <w:szCs w:val="22"/>
        </w:rPr>
        <w:t xml:space="preserve"> г</w:t>
      </w:r>
      <w:r w:rsidRPr="002E54A0">
        <w:rPr>
          <w:bCs/>
          <w:sz w:val="22"/>
          <w:szCs w:val="22"/>
        </w:rPr>
        <w:t xml:space="preserve">. </w:t>
      </w:r>
    </w:p>
    <w:p w14:paraId="3B43A119" w14:textId="77777777" w:rsidR="008B1EFF" w:rsidRPr="002E54A0" w:rsidRDefault="0042190C">
      <w:pPr>
        <w:pStyle w:val="a0"/>
        <w:spacing w:before="120" w:line="276" w:lineRule="auto"/>
        <w:jc w:val="both"/>
        <w:rPr>
          <w:bCs/>
          <w:sz w:val="22"/>
          <w:szCs w:val="22"/>
        </w:rPr>
      </w:pPr>
      <w:r w:rsidRPr="002E54A0">
        <w:rPr>
          <w:bCs/>
          <w:sz w:val="22"/>
          <w:szCs w:val="22"/>
        </w:rPr>
        <w:t xml:space="preserve">Важен фактор е структурата на превозните средства, регистрирани през 2018г. в страната: 86,9 % са на възраст над 10 години, като новите автомобили (от 1 – до 5 години) са 5,6 %, а тези между 6 и 10 години са 7,5%. </w:t>
      </w:r>
    </w:p>
    <w:p w14:paraId="2C880D88" w14:textId="77777777" w:rsidR="008B1EFF" w:rsidRPr="002E54A0" w:rsidRDefault="0042190C">
      <w:pPr>
        <w:pStyle w:val="a0"/>
        <w:spacing w:before="120" w:line="276" w:lineRule="auto"/>
        <w:jc w:val="both"/>
        <w:rPr>
          <w:bCs/>
          <w:sz w:val="22"/>
          <w:szCs w:val="22"/>
        </w:rPr>
      </w:pPr>
      <w:r w:rsidRPr="002E54A0">
        <w:rPr>
          <w:bCs/>
          <w:sz w:val="22"/>
          <w:szCs w:val="22"/>
        </w:rPr>
        <w:t>Важен фактор допринасящ за увеличаване на емисиите от транспорта е т.н. транзитен транспорт.</w:t>
      </w:r>
    </w:p>
    <w:p w14:paraId="7A7BDEE3" w14:textId="77777777" w:rsidR="008B1EFF" w:rsidRPr="002E54A0" w:rsidRDefault="0042190C">
      <w:pPr>
        <w:pStyle w:val="a0"/>
        <w:spacing w:before="120" w:after="120" w:line="264" w:lineRule="auto"/>
        <w:rPr>
          <w:sz w:val="22"/>
          <w:szCs w:val="22"/>
        </w:rPr>
      </w:pPr>
      <w:r w:rsidRPr="002E54A0">
        <w:rPr>
          <w:rStyle w:val="a1"/>
          <w:b/>
          <w:bCs/>
          <w:iCs/>
          <w:sz w:val="22"/>
          <w:szCs w:val="22"/>
        </w:rPr>
        <w:t>Годишни емисии на парникови газове на човек от населението</w:t>
      </w:r>
      <w:r w:rsidRPr="002E54A0">
        <w:rPr>
          <w:sz w:val="22"/>
          <w:szCs w:val="22"/>
        </w:rPr>
        <w:t xml:space="preserve"> </w:t>
      </w:r>
    </w:p>
    <w:p w14:paraId="7D22AB6A" w14:textId="77777777" w:rsidR="008B1EFF" w:rsidRPr="002E54A0" w:rsidRDefault="0042190C">
      <w:pPr>
        <w:pStyle w:val="a0"/>
        <w:spacing w:before="120" w:after="120" w:line="264" w:lineRule="auto"/>
        <w:rPr>
          <w:sz w:val="22"/>
          <w:szCs w:val="22"/>
        </w:rPr>
      </w:pPr>
      <w:r w:rsidRPr="002E54A0">
        <w:rPr>
          <w:sz w:val="22"/>
          <w:szCs w:val="22"/>
        </w:rPr>
        <w:lastRenderedPageBreak/>
        <w:t>Основен индикатор за оценка на емисиите на парникови газове в международен аспект са емисиите на парникови газове на човек от населението.</w:t>
      </w:r>
    </w:p>
    <w:p w14:paraId="3616F293" w14:textId="61F6999D" w:rsidR="008B1EFF" w:rsidRPr="007C2C00" w:rsidRDefault="007C2C00" w:rsidP="007C2C00">
      <w:pPr>
        <w:pStyle w:val="Caption"/>
        <w:rPr>
          <w:rFonts w:ascii="Times New Roman" w:eastAsia="Times New Roman" w:hAnsi="Times New Roman"/>
          <w:b w:val="0"/>
          <w:bCs w:val="0"/>
          <w:i/>
          <w:noProof/>
          <w:color w:val="auto"/>
          <w:sz w:val="22"/>
          <w:szCs w:val="22"/>
          <w:lang w:val="bg-BG" w:eastAsia="bg-BG"/>
        </w:rPr>
      </w:pPr>
      <w:bookmarkStart w:id="45" w:name="_Toc71529786"/>
      <w:bookmarkStart w:id="46" w:name="_Toc72910396"/>
      <w:r w:rsidRPr="007C2C00">
        <w:rPr>
          <w:rFonts w:ascii="Times New Roman" w:eastAsia="Times New Roman" w:hAnsi="Times New Roman"/>
          <w:b w:val="0"/>
          <w:bCs w:val="0"/>
          <w:i/>
          <w:noProof/>
          <w:color w:val="auto"/>
          <w:sz w:val="22"/>
          <w:szCs w:val="22"/>
          <w:lang w:val="bg-BG" w:eastAsia="bg-BG"/>
        </w:rPr>
        <w:t xml:space="preserve">Фигура </w:t>
      </w:r>
      <w:r w:rsidRPr="007C2C00">
        <w:rPr>
          <w:rFonts w:ascii="Times New Roman" w:eastAsia="Times New Roman" w:hAnsi="Times New Roman"/>
          <w:b w:val="0"/>
          <w:bCs w:val="0"/>
          <w:i/>
          <w:noProof/>
          <w:color w:val="auto"/>
          <w:sz w:val="22"/>
          <w:szCs w:val="22"/>
          <w:lang w:val="bg-BG" w:eastAsia="bg-BG"/>
        </w:rPr>
        <w:fldChar w:fldCharType="begin"/>
      </w:r>
      <w:r w:rsidRPr="007C2C00">
        <w:rPr>
          <w:rFonts w:ascii="Times New Roman" w:eastAsia="Times New Roman" w:hAnsi="Times New Roman"/>
          <w:b w:val="0"/>
          <w:bCs w:val="0"/>
          <w:i/>
          <w:noProof/>
          <w:color w:val="auto"/>
          <w:sz w:val="22"/>
          <w:szCs w:val="22"/>
          <w:lang w:val="bg-BG" w:eastAsia="bg-BG"/>
        </w:rPr>
        <w:instrText xml:space="preserve"> SEQ Фигура \* ARABIC </w:instrText>
      </w:r>
      <w:r w:rsidRPr="007C2C00">
        <w:rPr>
          <w:rFonts w:ascii="Times New Roman" w:eastAsia="Times New Roman" w:hAnsi="Times New Roman"/>
          <w:b w:val="0"/>
          <w:bCs w:val="0"/>
          <w:i/>
          <w:noProof/>
          <w:color w:val="auto"/>
          <w:sz w:val="22"/>
          <w:szCs w:val="22"/>
          <w:lang w:val="bg-BG" w:eastAsia="bg-BG"/>
        </w:rPr>
        <w:fldChar w:fldCharType="separate"/>
      </w:r>
      <w:r w:rsidR="008059A7">
        <w:rPr>
          <w:rFonts w:ascii="Times New Roman" w:eastAsia="Times New Roman" w:hAnsi="Times New Roman"/>
          <w:b w:val="0"/>
          <w:bCs w:val="0"/>
          <w:i/>
          <w:noProof/>
          <w:color w:val="auto"/>
          <w:sz w:val="22"/>
          <w:szCs w:val="22"/>
          <w:lang w:val="bg-BG" w:eastAsia="bg-BG"/>
        </w:rPr>
        <w:t>13</w:t>
      </w:r>
      <w:r w:rsidRPr="007C2C00">
        <w:rPr>
          <w:rFonts w:ascii="Times New Roman" w:eastAsia="Times New Roman" w:hAnsi="Times New Roman"/>
          <w:b w:val="0"/>
          <w:bCs w:val="0"/>
          <w:i/>
          <w:noProof/>
          <w:color w:val="auto"/>
          <w:sz w:val="22"/>
          <w:szCs w:val="22"/>
          <w:lang w:val="bg-BG" w:eastAsia="bg-BG"/>
        </w:rPr>
        <w:fldChar w:fldCharType="end"/>
      </w:r>
      <w:r w:rsidRPr="007C2C00">
        <w:rPr>
          <w:rFonts w:ascii="Times New Roman" w:eastAsia="Times New Roman" w:hAnsi="Times New Roman"/>
          <w:b w:val="0"/>
          <w:bCs w:val="0"/>
          <w:i/>
          <w:noProof/>
          <w:color w:val="auto"/>
          <w:sz w:val="22"/>
          <w:szCs w:val="22"/>
          <w:lang w:val="bg-BG" w:eastAsia="bg-BG"/>
        </w:rPr>
        <w:t xml:space="preserve"> </w:t>
      </w:r>
      <w:r w:rsidR="0042190C" w:rsidRPr="007C2C00">
        <w:rPr>
          <w:rFonts w:ascii="Times New Roman" w:eastAsia="Times New Roman" w:hAnsi="Times New Roman"/>
          <w:b w:val="0"/>
          <w:i/>
          <w:noProof/>
          <w:color w:val="auto"/>
          <w:sz w:val="22"/>
          <w:szCs w:val="22"/>
          <w:lang w:val="bg-BG" w:eastAsia="bg-BG"/>
        </w:rPr>
        <w:t>Годишни емисии на парникови газове на човек от населението,</w:t>
      </w:r>
      <w:r w:rsidR="0042190C" w:rsidRPr="007C2C00">
        <w:rPr>
          <w:rFonts w:ascii="Times New Roman" w:eastAsia="Times New Roman" w:hAnsi="Times New Roman"/>
          <w:b w:val="0"/>
          <w:bCs w:val="0"/>
          <w:i/>
          <w:noProof/>
          <w:color w:val="auto"/>
          <w:sz w:val="22"/>
          <w:szCs w:val="22"/>
          <w:lang w:val="bg-BG" w:eastAsia="bg-BG"/>
        </w:rPr>
        <w:t xml:space="preserve"> </w:t>
      </w:r>
      <w:r w:rsidR="0042190C" w:rsidRPr="007C2C00">
        <w:rPr>
          <w:rFonts w:ascii="Times New Roman" w:eastAsia="Times New Roman" w:hAnsi="Times New Roman"/>
          <w:b w:val="0"/>
          <w:i/>
          <w:noProof/>
          <w:color w:val="auto"/>
          <w:sz w:val="22"/>
          <w:szCs w:val="22"/>
          <w:lang w:val="bg-BG" w:eastAsia="bg-BG"/>
        </w:rPr>
        <w:t>тона СО2 - екв.</w:t>
      </w:r>
      <w:bookmarkEnd w:id="45"/>
      <w:bookmarkEnd w:id="46"/>
    </w:p>
    <w:p w14:paraId="2964CEFD" w14:textId="77777777" w:rsidR="008B1EFF" w:rsidRDefault="0042190C">
      <w:pPr>
        <w:pStyle w:val="a0"/>
        <w:spacing w:before="120" w:line="276" w:lineRule="auto"/>
        <w:jc w:val="center"/>
      </w:pPr>
      <w:r>
        <w:rPr>
          <w:rStyle w:val="a1"/>
          <w:noProof/>
          <w:lang w:val="en-GB" w:eastAsia="en-GB"/>
        </w:rPr>
        <w:drawing>
          <wp:inline distT="0" distB="0" distL="0" distR="0" wp14:anchorId="2D590724" wp14:editId="4B73C858">
            <wp:extent cx="4477158" cy="2187573"/>
            <wp:effectExtent l="0" t="0" r="0" b="3177"/>
            <wp:docPr id="23" name="Picture 175" descr="http://eea.government.bg/bg/soer/2018/climate/figuri/climat14.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rcRect/>
                    <a:stretch>
                      <a:fillRect/>
                    </a:stretch>
                  </pic:blipFill>
                  <pic:spPr>
                    <a:xfrm>
                      <a:off x="0" y="0"/>
                      <a:ext cx="4477158" cy="2187573"/>
                    </a:xfrm>
                    <a:prstGeom prst="rect">
                      <a:avLst/>
                    </a:prstGeom>
                    <a:noFill/>
                    <a:ln>
                      <a:noFill/>
                      <a:prstDash/>
                    </a:ln>
                  </pic:spPr>
                </pic:pic>
              </a:graphicData>
            </a:graphic>
          </wp:inline>
        </w:drawing>
      </w:r>
    </w:p>
    <w:p w14:paraId="1B6594BB" w14:textId="77777777" w:rsidR="008B1EFF" w:rsidRDefault="0042190C">
      <w:pPr>
        <w:pStyle w:val="a0"/>
        <w:spacing w:before="120" w:line="276" w:lineRule="auto"/>
      </w:pPr>
      <w:r>
        <w:rPr>
          <w:rStyle w:val="a1"/>
          <w:i/>
          <w:iCs/>
          <w:sz w:val="20"/>
          <w:szCs w:val="20"/>
        </w:rPr>
        <w:t>Източник: ИАОС</w:t>
      </w:r>
    </w:p>
    <w:p w14:paraId="23079517" w14:textId="77777777" w:rsidR="008B1EFF" w:rsidRPr="002E54A0" w:rsidRDefault="0042190C">
      <w:pPr>
        <w:pStyle w:val="a0"/>
        <w:spacing w:before="120" w:line="276" w:lineRule="auto"/>
        <w:jc w:val="both"/>
        <w:rPr>
          <w:sz w:val="22"/>
          <w:szCs w:val="22"/>
        </w:rPr>
      </w:pPr>
      <w:r w:rsidRPr="002E54A0">
        <w:rPr>
          <w:sz w:val="22"/>
          <w:szCs w:val="22"/>
        </w:rPr>
        <w:t>Емисиите на парникови газове на човек от населението намаляват от 13 тона СО</w:t>
      </w:r>
      <w:r w:rsidRPr="002E54A0">
        <w:rPr>
          <w:rStyle w:val="a1"/>
          <w:sz w:val="22"/>
          <w:szCs w:val="22"/>
          <w:vertAlign w:val="subscript"/>
        </w:rPr>
        <w:t>2</w:t>
      </w:r>
      <w:r w:rsidRPr="002E54A0">
        <w:rPr>
          <w:sz w:val="22"/>
          <w:szCs w:val="22"/>
        </w:rPr>
        <w:t>- екв. през 1988 г. до 8,3 тона СО</w:t>
      </w:r>
      <w:r w:rsidRPr="002E54A0">
        <w:rPr>
          <w:rStyle w:val="a1"/>
          <w:sz w:val="22"/>
          <w:szCs w:val="22"/>
          <w:vertAlign w:val="subscript"/>
        </w:rPr>
        <w:t>2</w:t>
      </w:r>
      <w:r w:rsidRPr="002E54A0">
        <w:rPr>
          <w:sz w:val="22"/>
          <w:szCs w:val="22"/>
        </w:rPr>
        <w:t>-екв. през 2018 г. Най-ниски са били нивата през 2000 г. - 7,3 тона СО</w:t>
      </w:r>
      <w:r w:rsidRPr="002E54A0">
        <w:rPr>
          <w:rStyle w:val="a1"/>
          <w:sz w:val="22"/>
          <w:szCs w:val="22"/>
          <w:vertAlign w:val="subscript"/>
        </w:rPr>
        <w:t>2</w:t>
      </w:r>
      <w:r w:rsidRPr="002E54A0">
        <w:rPr>
          <w:sz w:val="22"/>
          <w:szCs w:val="22"/>
        </w:rPr>
        <w:t>-екв. По този показател Република България се доближава до средния за Европейския съюз (ЕС) – 7 тона СО</w:t>
      </w:r>
      <w:r w:rsidRPr="002E54A0">
        <w:rPr>
          <w:rStyle w:val="a1"/>
          <w:sz w:val="22"/>
          <w:szCs w:val="22"/>
          <w:vertAlign w:val="subscript"/>
        </w:rPr>
        <w:t>2</w:t>
      </w:r>
      <w:r w:rsidRPr="002E54A0">
        <w:rPr>
          <w:sz w:val="22"/>
          <w:szCs w:val="22"/>
        </w:rPr>
        <w:t>-екв.</w:t>
      </w:r>
    </w:p>
    <w:p w14:paraId="1B8E3EC4" w14:textId="77777777" w:rsidR="008B1EFF" w:rsidRDefault="0042190C" w:rsidP="002700D9">
      <w:pPr>
        <w:pStyle w:val="Heading2"/>
      </w:pPr>
      <w:bookmarkStart w:id="47" w:name="_Toc72910312"/>
      <w:proofErr w:type="spellStart"/>
      <w:r>
        <w:t>Движещи</w:t>
      </w:r>
      <w:proofErr w:type="spellEnd"/>
      <w:r>
        <w:t xml:space="preserve"> </w:t>
      </w:r>
      <w:proofErr w:type="spellStart"/>
      <w:r>
        <w:t>сили</w:t>
      </w:r>
      <w:proofErr w:type="spellEnd"/>
      <w:r>
        <w:t xml:space="preserve"> и </w:t>
      </w:r>
      <w:proofErr w:type="spellStart"/>
      <w:r>
        <w:t>фактори</w:t>
      </w:r>
      <w:proofErr w:type="spellEnd"/>
      <w:r>
        <w:t xml:space="preserve"> </w:t>
      </w:r>
      <w:proofErr w:type="spellStart"/>
      <w:r>
        <w:t>на</w:t>
      </w:r>
      <w:proofErr w:type="spellEnd"/>
      <w:r>
        <w:t xml:space="preserve"> </w:t>
      </w:r>
      <w:proofErr w:type="spellStart"/>
      <w:r>
        <w:t>натиск</w:t>
      </w:r>
      <w:bookmarkEnd w:id="47"/>
      <w:proofErr w:type="spellEnd"/>
    </w:p>
    <w:p w14:paraId="3B0AB6CD" w14:textId="77777777" w:rsidR="008B1EFF" w:rsidRPr="002E54A0" w:rsidRDefault="0042190C">
      <w:pPr>
        <w:pStyle w:val="a0"/>
        <w:spacing w:before="120" w:line="276" w:lineRule="auto"/>
        <w:jc w:val="both"/>
        <w:rPr>
          <w:sz w:val="22"/>
          <w:szCs w:val="22"/>
        </w:rPr>
      </w:pPr>
      <w:r w:rsidRPr="002E54A0">
        <w:rPr>
          <w:rStyle w:val="a1"/>
          <w:b/>
          <w:sz w:val="22"/>
          <w:szCs w:val="22"/>
        </w:rPr>
        <w:t>Ключови показатели, характеризиращи движещите сили</w:t>
      </w:r>
      <w:r w:rsidRPr="002E54A0">
        <w:rPr>
          <w:rStyle w:val="a1"/>
          <w:b/>
          <w:sz w:val="22"/>
          <w:szCs w:val="22"/>
          <w:vertAlign w:val="superscript"/>
        </w:rPr>
        <w:footnoteReference w:id="32"/>
      </w:r>
    </w:p>
    <w:p w14:paraId="2513A8E5" w14:textId="77777777" w:rsidR="008B1EFF" w:rsidRPr="002E54A0" w:rsidRDefault="0042190C">
      <w:pPr>
        <w:pStyle w:val="a0"/>
        <w:spacing w:before="120" w:line="276" w:lineRule="auto"/>
        <w:rPr>
          <w:sz w:val="22"/>
          <w:szCs w:val="22"/>
        </w:rPr>
      </w:pPr>
      <w:r w:rsidRPr="002E54A0">
        <w:rPr>
          <w:rStyle w:val="a1"/>
          <w:b/>
          <w:bCs/>
          <w:iCs/>
          <w:sz w:val="22"/>
          <w:szCs w:val="22"/>
        </w:rPr>
        <w:t>Годишни емисии на парникови газове за единица БВП</w:t>
      </w:r>
    </w:p>
    <w:p w14:paraId="7E432B89" w14:textId="77777777" w:rsidR="008B1EFF" w:rsidRDefault="0042190C">
      <w:pPr>
        <w:pStyle w:val="a0"/>
        <w:spacing w:before="120" w:line="276" w:lineRule="auto"/>
        <w:jc w:val="both"/>
        <w:rPr>
          <w:sz w:val="22"/>
          <w:szCs w:val="22"/>
        </w:rPr>
      </w:pPr>
      <w:r w:rsidRPr="002E54A0">
        <w:rPr>
          <w:sz w:val="22"/>
          <w:szCs w:val="22"/>
        </w:rPr>
        <w:t>Емисиите на парникови газове са тясно свързани с икономическия растеж, тъй като с нарастване на икономическата активност нараства и потреблението на енергия и природни ресурси. Намаляването на тази зависимост е признак за устойчивост на развитието, поради което годишните емисии на парникови газове за производство на единица брутен вътрешен продукт (БВП) представляват важен индикатор. На следващата фигура са представени данни за този показател  за Република България в периода 1999 – 2018 година.</w:t>
      </w:r>
    </w:p>
    <w:p w14:paraId="44DB6F70" w14:textId="77777777" w:rsidR="007C2C00" w:rsidRDefault="007C2C00">
      <w:pPr>
        <w:pStyle w:val="a0"/>
        <w:spacing w:before="120" w:line="276" w:lineRule="auto"/>
        <w:jc w:val="both"/>
        <w:rPr>
          <w:sz w:val="22"/>
          <w:szCs w:val="22"/>
        </w:rPr>
      </w:pPr>
    </w:p>
    <w:p w14:paraId="314EF89A" w14:textId="77777777" w:rsidR="007C2C00" w:rsidRDefault="007C2C00">
      <w:pPr>
        <w:pStyle w:val="a0"/>
        <w:spacing w:before="120" w:line="276" w:lineRule="auto"/>
        <w:jc w:val="both"/>
        <w:rPr>
          <w:sz w:val="22"/>
          <w:szCs w:val="22"/>
        </w:rPr>
      </w:pPr>
    </w:p>
    <w:p w14:paraId="3DA3E86A" w14:textId="7CABB3FB" w:rsidR="007C2C00" w:rsidRDefault="007C2C00">
      <w:pPr>
        <w:pStyle w:val="a0"/>
        <w:spacing w:before="120" w:line="276" w:lineRule="auto"/>
        <w:jc w:val="both"/>
        <w:rPr>
          <w:sz w:val="22"/>
          <w:szCs w:val="22"/>
        </w:rPr>
      </w:pPr>
    </w:p>
    <w:p w14:paraId="62249074" w14:textId="2FC69E1D" w:rsidR="006D6D46" w:rsidRDefault="006D6D46">
      <w:pPr>
        <w:pStyle w:val="a0"/>
        <w:spacing w:before="120" w:line="276" w:lineRule="auto"/>
        <w:jc w:val="both"/>
        <w:rPr>
          <w:sz w:val="22"/>
          <w:szCs w:val="22"/>
        </w:rPr>
      </w:pPr>
    </w:p>
    <w:p w14:paraId="71AC8E8E" w14:textId="77777777" w:rsidR="006D6D46" w:rsidRPr="002E54A0" w:rsidRDefault="006D6D46">
      <w:pPr>
        <w:pStyle w:val="a0"/>
        <w:spacing w:before="120" w:line="276" w:lineRule="auto"/>
        <w:jc w:val="both"/>
        <w:rPr>
          <w:sz w:val="22"/>
          <w:szCs w:val="22"/>
        </w:rPr>
      </w:pPr>
    </w:p>
    <w:p w14:paraId="71EA1882" w14:textId="215916B8" w:rsidR="008B1EFF" w:rsidRPr="007C2C00" w:rsidRDefault="007C2C00" w:rsidP="007C2C00">
      <w:pPr>
        <w:pStyle w:val="Caption"/>
        <w:rPr>
          <w:rFonts w:ascii="Times New Roman" w:eastAsia="Times New Roman" w:hAnsi="Times New Roman"/>
          <w:b w:val="0"/>
          <w:bCs w:val="0"/>
          <w:i/>
          <w:noProof/>
          <w:color w:val="auto"/>
          <w:sz w:val="22"/>
          <w:szCs w:val="22"/>
          <w:lang w:val="bg-BG" w:eastAsia="bg-BG"/>
        </w:rPr>
      </w:pPr>
      <w:bookmarkStart w:id="48" w:name="_Toc71529787"/>
      <w:bookmarkStart w:id="49" w:name="_Toc72910397"/>
      <w:r w:rsidRPr="007C2C00">
        <w:rPr>
          <w:rFonts w:ascii="Times New Roman" w:eastAsia="Times New Roman" w:hAnsi="Times New Roman"/>
          <w:b w:val="0"/>
          <w:bCs w:val="0"/>
          <w:i/>
          <w:noProof/>
          <w:color w:val="auto"/>
          <w:sz w:val="22"/>
          <w:szCs w:val="22"/>
          <w:lang w:val="bg-BG" w:eastAsia="bg-BG"/>
        </w:rPr>
        <w:lastRenderedPageBreak/>
        <w:t xml:space="preserve">Фигура </w:t>
      </w:r>
      <w:r w:rsidRPr="007C2C00">
        <w:rPr>
          <w:rFonts w:ascii="Times New Roman" w:eastAsia="Times New Roman" w:hAnsi="Times New Roman"/>
          <w:b w:val="0"/>
          <w:bCs w:val="0"/>
          <w:i/>
          <w:noProof/>
          <w:color w:val="auto"/>
          <w:sz w:val="22"/>
          <w:szCs w:val="22"/>
          <w:lang w:val="bg-BG" w:eastAsia="bg-BG"/>
        </w:rPr>
        <w:fldChar w:fldCharType="begin"/>
      </w:r>
      <w:r w:rsidRPr="007C2C00">
        <w:rPr>
          <w:rFonts w:ascii="Times New Roman" w:eastAsia="Times New Roman" w:hAnsi="Times New Roman"/>
          <w:b w:val="0"/>
          <w:bCs w:val="0"/>
          <w:i/>
          <w:noProof/>
          <w:color w:val="auto"/>
          <w:sz w:val="22"/>
          <w:szCs w:val="22"/>
          <w:lang w:val="bg-BG" w:eastAsia="bg-BG"/>
        </w:rPr>
        <w:instrText xml:space="preserve"> SEQ Фигура \* ARABIC </w:instrText>
      </w:r>
      <w:r w:rsidRPr="007C2C00">
        <w:rPr>
          <w:rFonts w:ascii="Times New Roman" w:eastAsia="Times New Roman" w:hAnsi="Times New Roman"/>
          <w:b w:val="0"/>
          <w:bCs w:val="0"/>
          <w:i/>
          <w:noProof/>
          <w:color w:val="auto"/>
          <w:sz w:val="22"/>
          <w:szCs w:val="22"/>
          <w:lang w:val="bg-BG" w:eastAsia="bg-BG"/>
        </w:rPr>
        <w:fldChar w:fldCharType="separate"/>
      </w:r>
      <w:r w:rsidR="008059A7">
        <w:rPr>
          <w:rFonts w:ascii="Times New Roman" w:eastAsia="Times New Roman" w:hAnsi="Times New Roman"/>
          <w:b w:val="0"/>
          <w:bCs w:val="0"/>
          <w:i/>
          <w:noProof/>
          <w:color w:val="auto"/>
          <w:sz w:val="22"/>
          <w:szCs w:val="22"/>
          <w:lang w:val="bg-BG" w:eastAsia="bg-BG"/>
        </w:rPr>
        <w:t>14</w:t>
      </w:r>
      <w:r w:rsidRPr="007C2C00">
        <w:rPr>
          <w:rFonts w:ascii="Times New Roman" w:eastAsia="Times New Roman" w:hAnsi="Times New Roman"/>
          <w:b w:val="0"/>
          <w:bCs w:val="0"/>
          <w:i/>
          <w:noProof/>
          <w:color w:val="auto"/>
          <w:sz w:val="22"/>
          <w:szCs w:val="22"/>
          <w:lang w:val="bg-BG" w:eastAsia="bg-BG"/>
        </w:rPr>
        <w:fldChar w:fldCharType="end"/>
      </w:r>
      <w:r w:rsidRPr="007C2C00">
        <w:rPr>
          <w:rFonts w:ascii="Times New Roman" w:eastAsia="Times New Roman" w:hAnsi="Times New Roman"/>
          <w:b w:val="0"/>
          <w:bCs w:val="0"/>
          <w:i/>
          <w:noProof/>
          <w:color w:val="auto"/>
          <w:sz w:val="22"/>
          <w:szCs w:val="22"/>
          <w:lang w:val="bg-BG" w:eastAsia="bg-BG"/>
        </w:rPr>
        <w:t xml:space="preserve"> </w:t>
      </w:r>
      <w:r w:rsidR="0042190C" w:rsidRPr="007C2C00">
        <w:rPr>
          <w:rFonts w:ascii="Times New Roman" w:eastAsia="Times New Roman" w:hAnsi="Times New Roman"/>
          <w:b w:val="0"/>
          <w:i/>
          <w:noProof/>
          <w:color w:val="auto"/>
          <w:sz w:val="22"/>
          <w:szCs w:val="22"/>
          <w:lang w:val="bg-BG" w:eastAsia="bg-BG"/>
        </w:rPr>
        <w:t>Годишни емисии на парникови газове за единица БВП, тона СО2 - екв. за 1000 лева</w:t>
      </w:r>
      <w:bookmarkEnd w:id="48"/>
      <w:bookmarkEnd w:id="49"/>
    </w:p>
    <w:p w14:paraId="3CBB293D" w14:textId="77777777" w:rsidR="008B1EFF" w:rsidRDefault="0042190C">
      <w:pPr>
        <w:pStyle w:val="a0"/>
        <w:spacing w:before="120" w:line="276" w:lineRule="auto"/>
        <w:jc w:val="center"/>
      </w:pPr>
      <w:r>
        <w:rPr>
          <w:rStyle w:val="a1"/>
          <w:b/>
          <w:bCs/>
          <w:noProof/>
          <w:lang w:val="en-GB" w:eastAsia="en-GB"/>
        </w:rPr>
        <w:drawing>
          <wp:inline distT="0" distB="0" distL="0" distR="0" wp14:anchorId="33D9B0C3" wp14:editId="415EE5AF">
            <wp:extent cx="4579607" cy="2004492"/>
            <wp:effectExtent l="0" t="0" r="0" b="0"/>
            <wp:docPr id="24" name="Picture 21" descr="http://eea.government.bg/bg/soer/2018/climate/figuri/climat15.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rcRect/>
                    <a:stretch>
                      <a:fillRect/>
                    </a:stretch>
                  </pic:blipFill>
                  <pic:spPr>
                    <a:xfrm>
                      <a:off x="0" y="0"/>
                      <a:ext cx="4579607" cy="2004492"/>
                    </a:xfrm>
                    <a:prstGeom prst="rect">
                      <a:avLst/>
                    </a:prstGeom>
                    <a:noFill/>
                    <a:ln>
                      <a:noFill/>
                      <a:prstDash/>
                    </a:ln>
                  </pic:spPr>
                </pic:pic>
              </a:graphicData>
            </a:graphic>
          </wp:inline>
        </w:drawing>
      </w:r>
    </w:p>
    <w:p w14:paraId="7329E64B" w14:textId="77777777" w:rsidR="008B1EFF" w:rsidRDefault="0042190C">
      <w:pPr>
        <w:pStyle w:val="a0"/>
        <w:spacing w:before="120" w:line="276" w:lineRule="auto"/>
      </w:pPr>
      <w:r>
        <w:rPr>
          <w:rStyle w:val="a1"/>
          <w:i/>
          <w:iCs/>
          <w:sz w:val="20"/>
          <w:szCs w:val="20"/>
        </w:rPr>
        <w:t>Източник: ИАОС</w:t>
      </w:r>
    </w:p>
    <w:p w14:paraId="2974C2FC" w14:textId="77777777" w:rsidR="008B1EFF" w:rsidRPr="002E54A0" w:rsidRDefault="0042190C">
      <w:pPr>
        <w:pStyle w:val="a0"/>
        <w:spacing w:before="120" w:after="120" w:line="264" w:lineRule="auto"/>
        <w:jc w:val="both"/>
        <w:rPr>
          <w:sz w:val="22"/>
          <w:szCs w:val="22"/>
        </w:rPr>
      </w:pPr>
      <w:r w:rsidRPr="002E54A0">
        <w:rPr>
          <w:sz w:val="22"/>
          <w:szCs w:val="22"/>
        </w:rPr>
        <w:t>За периода емисиите на парниковите газове, получени при създаване на 1000 лева брутен вътрешен продукт  значително намаляват - от 2,53 тона СО</w:t>
      </w:r>
      <w:r w:rsidRPr="002E54A0">
        <w:rPr>
          <w:rStyle w:val="a1"/>
          <w:sz w:val="22"/>
          <w:szCs w:val="22"/>
          <w:vertAlign w:val="subscript"/>
        </w:rPr>
        <w:t>2</w:t>
      </w:r>
      <w:r w:rsidRPr="002E54A0">
        <w:rPr>
          <w:sz w:val="22"/>
          <w:szCs w:val="22"/>
        </w:rPr>
        <w:t xml:space="preserve"> - екв. за 1999 г. през 2018 г. те достигат до 0,55 тона СО</w:t>
      </w:r>
      <w:r w:rsidRPr="002E54A0">
        <w:rPr>
          <w:rStyle w:val="a1"/>
          <w:sz w:val="22"/>
          <w:szCs w:val="22"/>
          <w:vertAlign w:val="subscript"/>
        </w:rPr>
        <w:t>2</w:t>
      </w:r>
      <w:r w:rsidRPr="002E54A0">
        <w:rPr>
          <w:sz w:val="22"/>
          <w:szCs w:val="22"/>
        </w:rPr>
        <w:t xml:space="preserve"> – екв. </w:t>
      </w:r>
    </w:p>
    <w:p w14:paraId="7F68FB36" w14:textId="77777777" w:rsidR="008B1EFF" w:rsidRPr="002E54A0" w:rsidRDefault="0042190C">
      <w:pPr>
        <w:pStyle w:val="a0"/>
        <w:spacing w:before="120" w:after="120" w:line="264" w:lineRule="auto"/>
        <w:jc w:val="both"/>
        <w:rPr>
          <w:sz w:val="22"/>
          <w:szCs w:val="22"/>
        </w:rPr>
      </w:pPr>
      <w:r w:rsidRPr="002E54A0">
        <w:rPr>
          <w:rStyle w:val="a1"/>
          <w:b/>
          <w:sz w:val="22"/>
          <w:szCs w:val="22"/>
          <w:u w:val="single"/>
        </w:rPr>
        <w:t>Крайното енергийно потребление</w:t>
      </w:r>
      <w:r w:rsidRPr="002E54A0">
        <w:rPr>
          <w:sz w:val="22"/>
          <w:szCs w:val="22"/>
        </w:rPr>
        <w:t xml:space="preserve"> е индикатор, който характеризира динамиката на изменение на потреблението на доставената до краен потребител енергия. Този индикатор може да се използва както за целите на мониторинга, така и при оценка на ефективността на различни политически мерки, свързани с енергийното потребление и енергийната ефективност.</w:t>
      </w:r>
    </w:p>
    <w:p w14:paraId="797A3343" w14:textId="4847E90C" w:rsidR="008B1EFF" w:rsidRPr="002E54A0" w:rsidRDefault="0042190C">
      <w:pPr>
        <w:pStyle w:val="a0"/>
        <w:spacing w:before="120" w:after="120" w:line="264" w:lineRule="auto"/>
        <w:jc w:val="both"/>
        <w:rPr>
          <w:sz w:val="22"/>
          <w:szCs w:val="22"/>
        </w:rPr>
      </w:pPr>
      <w:r w:rsidRPr="002E54A0">
        <w:rPr>
          <w:sz w:val="22"/>
          <w:szCs w:val="22"/>
        </w:rPr>
        <w:t>През 2018 г. крайното енергийно потребление нараства</w:t>
      </w:r>
      <w:r w:rsidRPr="002E54A0">
        <w:rPr>
          <w:rStyle w:val="a1"/>
          <w:bCs/>
          <w:sz w:val="22"/>
          <w:szCs w:val="22"/>
        </w:rPr>
        <w:t xml:space="preserve"> слабо (с 0,1%) в сравнение с предходната 2017 година, но спрямо 2014 година, крайното енергийно потребление е нараснало с 9.8%</w:t>
      </w:r>
      <w:r w:rsidRPr="002E54A0">
        <w:rPr>
          <w:sz w:val="22"/>
          <w:szCs w:val="22"/>
        </w:rPr>
        <w:t xml:space="preserve">. </w:t>
      </w:r>
    </w:p>
    <w:p w14:paraId="600D79DD" w14:textId="77777777" w:rsidR="008B1EFF" w:rsidRPr="002E54A0" w:rsidRDefault="0042190C">
      <w:pPr>
        <w:pStyle w:val="a0"/>
        <w:spacing w:before="120" w:after="120" w:line="264" w:lineRule="auto"/>
        <w:jc w:val="both"/>
        <w:rPr>
          <w:sz w:val="22"/>
          <w:szCs w:val="22"/>
        </w:rPr>
      </w:pPr>
      <w:r w:rsidRPr="002E54A0">
        <w:rPr>
          <w:sz w:val="22"/>
          <w:szCs w:val="22"/>
        </w:rPr>
        <w:t>В сравнение с 2017 г. най-значителен ръст се наблюдава в услугите – 5.5%, следвани от селското, горско и рибно стопанство – 4.5%, и транспорта – 1.4%. При домакинствата се наблюдава намаление от 3.8%, а при индустрията – 0.8%.</w:t>
      </w:r>
    </w:p>
    <w:p w14:paraId="0008FC1D" w14:textId="5C1F5C03" w:rsidR="008B1EFF" w:rsidRPr="007C2C00" w:rsidRDefault="007C2C00" w:rsidP="007C2C00">
      <w:pPr>
        <w:pStyle w:val="Caption"/>
        <w:rPr>
          <w:rFonts w:ascii="Times New Roman" w:eastAsia="Times New Roman" w:hAnsi="Times New Roman"/>
          <w:b w:val="0"/>
          <w:bCs w:val="0"/>
          <w:i/>
          <w:noProof/>
          <w:color w:val="auto"/>
          <w:sz w:val="22"/>
          <w:szCs w:val="22"/>
          <w:lang w:val="bg-BG" w:eastAsia="bg-BG"/>
        </w:rPr>
      </w:pPr>
      <w:bookmarkStart w:id="50" w:name="_Toc71529788"/>
      <w:bookmarkStart w:id="51" w:name="_Toc72910398"/>
      <w:r w:rsidRPr="007C2C00">
        <w:rPr>
          <w:rFonts w:ascii="Times New Roman" w:eastAsia="Times New Roman" w:hAnsi="Times New Roman"/>
          <w:b w:val="0"/>
          <w:bCs w:val="0"/>
          <w:i/>
          <w:noProof/>
          <w:color w:val="auto"/>
          <w:sz w:val="22"/>
          <w:szCs w:val="22"/>
          <w:lang w:val="bg-BG" w:eastAsia="bg-BG"/>
        </w:rPr>
        <w:t xml:space="preserve">Фигура </w:t>
      </w:r>
      <w:r w:rsidRPr="007C2C00">
        <w:rPr>
          <w:rFonts w:ascii="Times New Roman" w:eastAsia="Times New Roman" w:hAnsi="Times New Roman"/>
          <w:b w:val="0"/>
          <w:bCs w:val="0"/>
          <w:i/>
          <w:noProof/>
          <w:color w:val="auto"/>
          <w:sz w:val="22"/>
          <w:szCs w:val="22"/>
          <w:lang w:val="bg-BG" w:eastAsia="bg-BG"/>
        </w:rPr>
        <w:fldChar w:fldCharType="begin"/>
      </w:r>
      <w:r w:rsidRPr="007C2C00">
        <w:rPr>
          <w:rFonts w:ascii="Times New Roman" w:eastAsia="Times New Roman" w:hAnsi="Times New Roman"/>
          <w:b w:val="0"/>
          <w:bCs w:val="0"/>
          <w:i/>
          <w:noProof/>
          <w:color w:val="auto"/>
          <w:sz w:val="22"/>
          <w:szCs w:val="22"/>
          <w:lang w:val="bg-BG" w:eastAsia="bg-BG"/>
        </w:rPr>
        <w:instrText xml:space="preserve"> SEQ Фигура \* ARABIC </w:instrText>
      </w:r>
      <w:r w:rsidRPr="007C2C00">
        <w:rPr>
          <w:rFonts w:ascii="Times New Roman" w:eastAsia="Times New Roman" w:hAnsi="Times New Roman"/>
          <w:b w:val="0"/>
          <w:bCs w:val="0"/>
          <w:i/>
          <w:noProof/>
          <w:color w:val="auto"/>
          <w:sz w:val="22"/>
          <w:szCs w:val="22"/>
          <w:lang w:val="bg-BG" w:eastAsia="bg-BG"/>
        </w:rPr>
        <w:fldChar w:fldCharType="separate"/>
      </w:r>
      <w:r w:rsidR="008059A7">
        <w:rPr>
          <w:rFonts w:ascii="Times New Roman" w:eastAsia="Times New Roman" w:hAnsi="Times New Roman"/>
          <w:b w:val="0"/>
          <w:bCs w:val="0"/>
          <w:i/>
          <w:noProof/>
          <w:color w:val="auto"/>
          <w:sz w:val="22"/>
          <w:szCs w:val="22"/>
          <w:lang w:val="bg-BG" w:eastAsia="bg-BG"/>
        </w:rPr>
        <w:t>15</w:t>
      </w:r>
      <w:r w:rsidRPr="007C2C00">
        <w:rPr>
          <w:rFonts w:ascii="Times New Roman" w:eastAsia="Times New Roman" w:hAnsi="Times New Roman"/>
          <w:b w:val="0"/>
          <w:bCs w:val="0"/>
          <w:i/>
          <w:noProof/>
          <w:color w:val="auto"/>
          <w:sz w:val="22"/>
          <w:szCs w:val="22"/>
          <w:lang w:val="bg-BG" w:eastAsia="bg-BG"/>
        </w:rPr>
        <w:fldChar w:fldCharType="end"/>
      </w:r>
      <w:r w:rsidRPr="007C2C00">
        <w:rPr>
          <w:rFonts w:ascii="Times New Roman" w:eastAsia="Times New Roman" w:hAnsi="Times New Roman"/>
          <w:b w:val="0"/>
          <w:bCs w:val="0"/>
          <w:i/>
          <w:noProof/>
          <w:color w:val="auto"/>
          <w:sz w:val="22"/>
          <w:szCs w:val="22"/>
          <w:lang w:val="bg-BG" w:eastAsia="bg-BG"/>
        </w:rPr>
        <w:t xml:space="preserve"> </w:t>
      </w:r>
      <w:r w:rsidR="0042190C" w:rsidRPr="007C2C00">
        <w:rPr>
          <w:rFonts w:ascii="Times New Roman" w:eastAsia="Times New Roman" w:hAnsi="Times New Roman"/>
          <w:b w:val="0"/>
          <w:i/>
          <w:noProof/>
          <w:color w:val="auto"/>
          <w:sz w:val="22"/>
          <w:szCs w:val="22"/>
          <w:lang w:val="bg-BG" w:eastAsia="bg-BG"/>
        </w:rPr>
        <w:t>Крайно енергийно потребление, ktoe</w:t>
      </w:r>
      <w:bookmarkEnd w:id="50"/>
      <w:bookmarkEnd w:id="51"/>
    </w:p>
    <w:p w14:paraId="73BC9C6E" w14:textId="77777777" w:rsidR="008B1EFF" w:rsidRDefault="0042190C">
      <w:pPr>
        <w:pStyle w:val="a0"/>
        <w:spacing w:before="120" w:line="276" w:lineRule="auto"/>
        <w:jc w:val="center"/>
      </w:pPr>
      <w:r>
        <w:rPr>
          <w:rStyle w:val="a1"/>
          <w:b/>
          <w:bCs/>
          <w:noProof/>
          <w:lang w:val="en-GB" w:eastAsia="en-GB"/>
        </w:rPr>
        <w:drawing>
          <wp:inline distT="0" distB="0" distL="0" distR="0" wp14:anchorId="709E30EE" wp14:editId="7FC809CD">
            <wp:extent cx="3788779" cy="1890723"/>
            <wp:effectExtent l="0" t="0" r="2171" b="0"/>
            <wp:docPr id="25" name="Picture 3" descr="http://eea.government.bg/bg/soer/2018/energetics/energetika1.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rcRect/>
                    <a:stretch>
                      <a:fillRect/>
                    </a:stretch>
                  </pic:blipFill>
                  <pic:spPr>
                    <a:xfrm>
                      <a:off x="0" y="0"/>
                      <a:ext cx="3788779" cy="1890723"/>
                    </a:xfrm>
                    <a:prstGeom prst="rect">
                      <a:avLst/>
                    </a:prstGeom>
                    <a:noFill/>
                    <a:ln>
                      <a:noFill/>
                      <a:prstDash/>
                    </a:ln>
                  </pic:spPr>
                </pic:pic>
              </a:graphicData>
            </a:graphic>
          </wp:inline>
        </w:drawing>
      </w:r>
    </w:p>
    <w:p w14:paraId="25CA1523" w14:textId="77777777" w:rsidR="008B1EFF" w:rsidRDefault="0042190C">
      <w:pPr>
        <w:pStyle w:val="a0"/>
        <w:spacing w:before="120" w:line="276" w:lineRule="auto"/>
      </w:pPr>
      <w:r>
        <w:rPr>
          <w:rStyle w:val="a1"/>
          <w:b/>
          <w:bCs/>
          <w:sz w:val="20"/>
          <w:szCs w:val="20"/>
        </w:rPr>
        <w:t> </w:t>
      </w:r>
      <w:r>
        <w:rPr>
          <w:rStyle w:val="a1"/>
          <w:i/>
          <w:iCs/>
          <w:sz w:val="20"/>
          <w:szCs w:val="20"/>
        </w:rPr>
        <w:t>Източник: НСИ</w:t>
      </w:r>
    </w:p>
    <w:p w14:paraId="5499937D" w14:textId="091EE91A" w:rsidR="008B1EFF" w:rsidRDefault="0042190C">
      <w:pPr>
        <w:pStyle w:val="a0"/>
        <w:spacing w:before="120" w:line="276" w:lineRule="auto"/>
        <w:jc w:val="both"/>
      </w:pPr>
      <w:r>
        <w:t xml:space="preserve">Изменението на крайното енергийно потребление по сектори е показано на Фиг. </w:t>
      </w:r>
      <w:r w:rsidR="000C34CE">
        <w:t>16</w:t>
      </w:r>
      <w:r>
        <w:t>. </w:t>
      </w:r>
    </w:p>
    <w:p w14:paraId="71BB4B8C" w14:textId="77777777" w:rsidR="000C34CE" w:rsidRDefault="000C34CE">
      <w:pPr>
        <w:pStyle w:val="a0"/>
        <w:spacing w:before="120" w:line="276" w:lineRule="auto"/>
        <w:jc w:val="both"/>
      </w:pPr>
    </w:p>
    <w:p w14:paraId="22BC0FF5" w14:textId="0CF83901" w:rsidR="008B1EFF" w:rsidRPr="007C2C00" w:rsidRDefault="007C2C00" w:rsidP="007C2C00">
      <w:pPr>
        <w:pStyle w:val="Caption"/>
        <w:rPr>
          <w:rFonts w:ascii="Times New Roman" w:eastAsia="Times New Roman" w:hAnsi="Times New Roman"/>
          <w:b w:val="0"/>
          <w:bCs w:val="0"/>
          <w:i/>
          <w:noProof/>
          <w:color w:val="auto"/>
          <w:sz w:val="22"/>
          <w:szCs w:val="22"/>
          <w:lang w:val="bg-BG" w:eastAsia="bg-BG"/>
        </w:rPr>
      </w:pPr>
      <w:bookmarkStart w:id="52" w:name="_Toc71529789"/>
      <w:bookmarkStart w:id="53" w:name="_Toc72910399"/>
      <w:r w:rsidRPr="007C2C00">
        <w:rPr>
          <w:rFonts w:ascii="Times New Roman" w:eastAsia="Times New Roman" w:hAnsi="Times New Roman"/>
          <w:b w:val="0"/>
          <w:bCs w:val="0"/>
          <w:i/>
          <w:noProof/>
          <w:color w:val="auto"/>
          <w:sz w:val="22"/>
          <w:szCs w:val="22"/>
          <w:lang w:val="bg-BG" w:eastAsia="bg-BG"/>
        </w:rPr>
        <w:t xml:space="preserve">Фигура </w:t>
      </w:r>
      <w:r w:rsidRPr="007C2C00">
        <w:rPr>
          <w:rFonts w:ascii="Times New Roman" w:eastAsia="Times New Roman" w:hAnsi="Times New Roman"/>
          <w:b w:val="0"/>
          <w:bCs w:val="0"/>
          <w:i/>
          <w:noProof/>
          <w:color w:val="auto"/>
          <w:sz w:val="22"/>
          <w:szCs w:val="22"/>
          <w:lang w:val="bg-BG" w:eastAsia="bg-BG"/>
        </w:rPr>
        <w:fldChar w:fldCharType="begin"/>
      </w:r>
      <w:r w:rsidRPr="007C2C00">
        <w:rPr>
          <w:rFonts w:ascii="Times New Roman" w:eastAsia="Times New Roman" w:hAnsi="Times New Roman"/>
          <w:b w:val="0"/>
          <w:bCs w:val="0"/>
          <w:i/>
          <w:noProof/>
          <w:color w:val="auto"/>
          <w:sz w:val="22"/>
          <w:szCs w:val="22"/>
          <w:lang w:val="bg-BG" w:eastAsia="bg-BG"/>
        </w:rPr>
        <w:instrText xml:space="preserve"> SEQ Фигура \* ARABIC </w:instrText>
      </w:r>
      <w:r w:rsidRPr="007C2C00">
        <w:rPr>
          <w:rFonts w:ascii="Times New Roman" w:eastAsia="Times New Roman" w:hAnsi="Times New Roman"/>
          <w:b w:val="0"/>
          <w:bCs w:val="0"/>
          <w:i/>
          <w:noProof/>
          <w:color w:val="auto"/>
          <w:sz w:val="22"/>
          <w:szCs w:val="22"/>
          <w:lang w:val="bg-BG" w:eastAsia="bg-BG"/>
        </w:rPr>
        <w:fldChar w:fldCharType="separate"/>
      </w:r>
      <w:r w:rsidR="008059A7">
        <w:rPr>
          <w:rFonts w:ascii="Times New Roman" w:eastAsia="Times New Roman" w:hAnsi="Times New Roman"/>
          <w:b w:val="0"/>
          <w:bCs w:val="0"/>
          <w:i/>
          <w:noProof/>
          <w:color w:val="auto"/>
          <w:sz w:val="22"/>
          <w:szCs w:val="22"/>
          <w:lang w:val="bg-BG" w:eastAsia="bg-BG"/>
        </w:rPr>
        <w:t>16</w:t>
      </w:r>
      <w:r w:rsidRPr="007C2C00">
        <w:rPr>
          <w:rFonts w:ascii="Times New Roman" w:eastAsia="Times New Roman" w:hAnsi="Times New Roman"/>
          <w:b w:val="0"/>
          <w:bCs w:val="0"/>
          <w:i/>
          <w:noProof/>
          <w:color w:val="auto"/>
          <w:sz w:val="22"/>
          <w:szCs w:val="22"/>
          <w:lang w:val="bg-BG" w:eastAsia="bg-BG"/>
        </w:rPr>
        <w:fldChar w:fldCharType="end"/>
      </w:r>
      <w:r w:rsidRPr="007C2C00">
        <w:rPr>
          <w:rFonts w:ascii="Times New Roman" w:eastAsia="Times New Roman" w:hAnsi="Times New Roman"/>
          <w:b w:val="0"/>
          <w:bCs w:val="0"/>
          <w:i/>
          <w:noProof/>
          <w:color w:val="auto"/>
          <w:sz w:val="22"/>
          <w:szCs w:val="22"/>
          <w:lang w:val="bg-BG" w:eastAsia="bg-BG"/>
        </w:rPr>
        <w:t xml:space="preserve"> </w:t>
      </w:r>
      <w:r w:rsidR="0042190C" w:rsidRPr="007C2C00">
        <w:rPr>
          <w:rFonts w:ascii="Times New Roman" w:eastAsia="Times New Roman" w:hAnsi="Times New Roman"/>
          <w:b w:val="0"/>
          <w:i/>
          <w:noProof/>
          <w:color w:val="auto"/>
          <w:sz w:val="22"/>
          <w:szCs w:val="22"/>
          <w:lang w:val="bg-BG" w:eastAsia="bg-BG"/>
        </w:rPr>
        <w:t>Изменение на крайното енергийно потребление по сектори, ktoe</w:t>
      </w:r>
      <w:bookmarkEnd w:id="52"/>
      <w:bookmarkEnd w:id="53"/>
    </w:p>
    <w:p w14:paraId="23BCF2E9" w14:textId="66A48866" w:rsidR="008B1EFF" w:rsidRDefault="0042190C" w:rsidP="007C2C00">
      <w:pPr>
        <w:pStyle w:val="a0"/>
        <w:spacing w:before="120" w:line="276" w:lineRule="auto"/>
        <w:jc w:val="center"/>
      </w:pPr>
      <w:r>
        <w:rPr>
          <w:rStyle w:val="a1"/>
          <w:noProof/>
          <w:lang w:val="en-GB" w:eastAsia="en-GB"/>
        </w:rPr>
        <w:drawing>
          <wp:inline distT="0" distB="0" distL="0" distR="0" wp14:anchorId="382CFAAE" wp14:editId="3099ACC5">
            <wp:extent cx="4270760" cy="1572283"/>
            <wp:effectExtent l="0" t="0" r="0" b="8867"/>
            <wp:docPr id="26" name="Picture 14" descr="http://eea.government.bg/bg/soer/2018/energetics/energetika2.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rcRect/>
                    <a:stretch>
                      <a:fillRect/>
                    </a:stretch>
                  </pic:blipFill>
                  <pic:spPr>
                    <a:xfrm>
                      <a:off x="0" y="0"/>
                      <a:ext cx="4270760" cy="1572283"/>
                    </a:xfrm>
                    <a:prstGeom prst="rect">
                      <a:avLst/>
                    </a:prstGeom>
                    <a:noFill/>
                    <a:ln>
                      <a:noFill/>
                      <a:prstDash/>
                    </a:ln>
                  </pic:spPr>
                </pic:pic>
              </a:graphicData>
            </a:graphic>
          </wp:inline>
        </w:drawing>
      </w:r>
    </w:p>
    <w:p w14:paraId="5111905D" w14:textId="3ED375CB" w:rsidR="007C2C00" w:rsidRPr="007C2C00" w:rsidRDefault="007C2C00">
      <w:pPr>
        <w:pStyle w:val="a0"/>
        <w:spacing w:before="120" w:after="120" w:line="264" w:lineRule="auto"/>
        <w:jc w:val="both"/>
        <w:rPr>
          <w:rStyle w:val="a1"/>
          <w:bCs/>
          <w:i/>
          <w:iCs/>
          <w:sz w:val="22"/>
          <w:szCs w:val="22"/>
        </w:rPr>
      </w:pPr>
      <w:r w:rsidRPr="007C2C00">
        <w:rPr>
          <w:rStyle w:val="a1"/>
          <w:bCs/>
          <w:i/>
          <w:iCs/>
          <w:sz w:val="22"/>
          <w:szCs w:val="22"/>
        </w:rPr>
        <w:t>Източник: НСИ</w:t>
      </w:r>
    </w:p>
    <w:p w14:paraId="22BFA45F" w14:textId="77777777" w:rsidR="008B1EFF" w:rsidRPr="002E54A0" w:rsidRDefault="0042190C">
      <w:pPr>
        <w:pStyle w:val="a0"/>
        <w:spacing w:before="120" w:after="120" w:line="264" w:lineRule="auto"/>
        <w:jc w:val="both"/>
        <w:rPr>
          <w:sz w:val="22"/>
          <w:szCs w:val="22"/>
        </w:rPr>
      </w:pPr>
      <w:r w:rsidRPr="002E54A0">
        <w:rPr>
          <w:rStyle w:val="a1"/>
          <w:b/>
          <w:bCs/>
          <w:iCs/>
          <w:sz w:val="22"/>
          <w:szCs w:val="22"/>
        </w:rPr>
        <w:t>Енергийна интензивност</w:t>
      </w:r>
    </w:p>
    <w:p w14:paraId="2D118E2E" w14:textId="66C0BDB8" w:rsidR="008B1EFF" w:rsidRPr="002E54A0" w:rsidRDefault="0042190C">
      <w:pPr>
        <w:pStyle w:val="a0"/>
        <w:spacing w:before="120" w:after="120" w:line="264" w:lineRule="auto"/>
        <w:jc w:val="both"/>
        <w:rPr>
          <w:bCs/>
          <w:sz w:val="22"/>
          <w:szCs w:val="22"/>
        </w:rPr>
      </w:pPr>
      <w:r w:rsidRPr="002E54A0">
        <w:rPr>
          <w:bCs/>
          <w:sz w:val="22"/>
          <w:szCs w:val="22"/>
        </w:rPr>
        <w:t>Целта, поставена в „Енергийната стратегия на Р</w:t>
      </w:r>
      <w:r w:rsidR="0065423F">
        <w:rPr>
          <w:bCs/>
          <w:sz w:val="22"/>
          <w:szCs w:val="22"/>
        </w:rPr>
        <w:t xml:space="preserve"> </w:t>
      </w:r>
      <w:r w:rsidRPr="002E54A0">
        <w:rPr>
          <w:bCs/>
          <w:sz w:val="22"/>
          <w:szCs w:val="22"/>
        </w:rPr>
        <w:t>България до 2020 г.“ е за 50% намаляване на енергийната интензивност до 2020г. в сравнение с 2005г. През 2018 г. брутната енергийна интензивност намалява с 3,0 %, а крайната енергийна интензивност с 2,9 % в сравнение с предходната 2017</w:t>
      </w:r>
      <w:r w:rsidR="004B62DB">
        <w:rPr>
          <w:bCs/>
          <w:sz w:val="22"/>
          <w:szCs w:val="22"/>
        </w:rPr>
        <w:t xml:space="preserve"> г.</w:t>
      </w:r>
      <w:r w:rsidRPr="002E54A0">
        <w:rPr>
          <w:bCs/>
          <w:sz w:val="22"/>
          <w:szCs w:val="22"/>
        </w:rPr>
        <w:t xml:space="preserve">, което означава по-малко потребление на енергия за единица произведен БВП. </w:t>
      </w:r>
    </w:p>
    <w:p w14:paraId="158840FF" w14:textId="77777777" w:rsidR="008B1EFF" w:rsidRPr="002E54A0" w:rsidRDefault="0042190C">
      <w:pPr>
        <w:pStyle w:val="a0"/>
        <w:spacing w:before="120" w:after="120" w:line="264" w:lineRule="auto"/>
        <w:jc w:val="both"/>
        <w:rPr>
          <w:sz w:val="22"/>
          <w:szCs w:val="22"/>
        </w:rPr>
      </w:pPr>
      <w:r w:rsidRPr="002E54A0">
        <w:rPr>
          <w:sz w:val="22"/>
          <w:szCs w:val="22"/>
        </w:rPr>
        <w:t xml:space="preserve">Дългосрочната тенденция през периода 2013-2018 г. е при ръст на БВП първичната и крайната енергийна интензивност да намаляват в резултат от прилаганите мерки за повишаване на енергийната ефективност във всички сектори. </w:t>
      </w:r>
    </w:p>
    <w:p w14:paraId="273238A6" w14:textId="1871A4C1" w:rsidR="008B1EFF" w:rsidRPr="008059A7" w:rsidRDefault="001345CA" w:rsidP="001345CA">
      <w:pPr>
        <w:pStyle w:val="Caption"/>
        <w:rPr>
          <w:rFonts w:ascii="Times New Roman" w:eastAsia="Times New Roman" w:hAnsi="Times New Roman"/>
          <w:b w:val="0"/>
          <w:bCs w:val="0"/>
          <w:i/>
          <w:noProof/>
          <w:color w:val="auto"/>
          <w:sz w:val="22"/>
          <w:szCs w:val="22"/>
          <w:lang w:val="bg-BG" w:eastAsia="bg-BG"/>
        </w:rPr>
      </w:pPr>
      <w:bookmarkStart w:id="54" w:name="_Toc71529790"/>
      <w:bookmarkStart w:id="55" w:name="_Toc72910400"/>
      <w:r w:rsidRPr="008059A7">
        <w:rPr>
          <w:rFonts w:ascii="Times New Roman" w:eastAsia="Times New Roman" w:hAnsi="Times New Roman"/>
          <w:b w:val="0"/>
          <w:bCs w:val="0"/>
          <w:i/>
          <w:noProof/>
          <w:color w:val="auto"/>
          <w:sz w:val="22"/>
          <w:szCs w:val="22"/>
          <w:lang w:val="bg-BG" w:eastAsia="bg-BG"/>
        </w:rPr>
        <w:t xml:space="preserve">Фигура </w:t>
      </w:r>
      <w:r w:rsidRPr="008059A7">
        <w:rPr>
          <w:rFonts w:ascii="Times New Roman" w:eastAsia="Times New Roman" w:hAnsi="Times New Roman"/>
          <w:b w:val="0"/>
          <w:bCs w:val="0"/>
          <w:i/>
          <w:noProof/>
          <w:color w:val="auto"/>
          <w:sz w:val="22"/>
          <w:szCs w:val="22"/>
          <w:lang w:val="bg-BG" w:eastAsia="bg-BG"/>
        </w:rPr>
        <w:fldChar w:fldCharType="begin"/>
      </w:r>
      <w:r w:rsidRPr="008059A7">
        <w:rPr>
          <w:rFonts w:ascii="Times New Roman" w:eastAsia="Times New Roman" w:hAnsi="Times New Roman"/>
          <w:b w:val="0"/>
          <w:bCs w:val="0"/>
          <w:i/>
          <w:noProof/>
          <w:color w:val="auto"/>
          <w:sz w:val="22"/>
          <w:szCs w:val="22"/>
          <w:lang w:val="bg-BG" w:eastAsia="bg-BG"/>
        </w:rPr>
        <w:instrText xml:space="preserve"> SEQ Фигура \* ARABIC </w:instrText>
      </w:r>
      <w:r w:rsidRPr="008059A7">
        <w:rPr>
          <w:rFonts w:ascii="Times New Roman" w:eastAsia="Times New Roman" w:hAnsi="Times New Roman"/>
          <w:b w:val="0"/>
          <w:bCs w:val="0"/>
          <w:i/>
          <w:noProof/>
          <w:color w:val="auto"/>
          <w:sz w:val="22"/>
          <w:szCs w:val="22"/>
          <w:lang w:val="bg-BG" w:eastAsia="bg-BG"/>
        </w:rPr>
        <w:fldChar w:fldCharType="separate"/>
      </w:r>
      <w:r w:rsidR="008059A7">
        <w:rPr>
          <w:rFonts w:ascii="Times New Roman" w:eastAsia="Times New Roman" w:hAnsi="Times New Roman"/>
          <w:b w:val="0"/>
          <w:bCs w:val="0"/>
          <w:i/>
          <w:noProof/>
          <w:color w:val="auto"/>
          <w:sz w:val="22"/>
          <w:szCs w:val="22"/>
          <w:lang w:val="bg-BG" w:eastAsia="bg-BG"/>
        </w:rPr>
        <w:t>17</w:t>
      </w:r>
      <w:r w:rsidRPr="008059A7">
        <w:rPr>
          <w:rFonts w:ascii="Times New Roman" w:eastAsia="Times New Roman" w:hAnsi="Times New Roman"/>
          <w:b w:val="0"/>
          <w:bCs w:val="0"/>
          <w:i/>
          <w:noProof/>
          <w:color w:val="auto"/>
          <w:sz w:val="22"/>
          <w:szCs w:val="22"/>
          <w:lang w:val="bg-BG" w:eastAsia="bg-BG"/>
        </w:rPr>
        <w:fldChar w:fldCharType="end"/>
      </w:r>
      <w:r w:rsidR="0042190C" w:rsidRPr="008059A7">
        <w:rPr>
          <w:rFonts w:ascii="Times New Roman" w:eastAsia="Times New Roman" w:hAnsi="Times New Roman"/>
          <w:b w:val="0"/>
          <w:i/>
          <w:noProof/>
          <w:color w:val="auto"/>
          <w:sz w:val="22"/>
          <w:szCs w:val="22"/>
          <w:lang w:val="bg-BG" w:eastAsia="bg-BG"/>
        </w:rPr>
        <w:t xml:space="preserve"> Енергийна интензивност за периода 2013 – 2017</w:t>
      </w:r>
      <w:r w:rsidR="00B4253B">
        <w:rPr>
          <w:rFonts w:ascii="Times New Roman" w:eastAsia="Times New Roman" w:hAnsi="Times New Roman"/>
          <w:b w:val="0"/>
          <w:i/>
          <w:noProof/>
          <w:color w:val="auto"/>
          <w:sz w:val="22"/>
          <w:szCs w:val="22"/>
          <w:lang w:val="bg-BG" w:eastAsia="bg-BG"/>
        </w:rPr>
        <w:t xml:space="preserve"> г. (</w:t>
      </w:r>
      <w:r w:rsidR="0042190C" w:rsidRPr="008059A7">
        <w:rPr>
          <w:rFonts w:ascii="Times New Roman" w:eastAsia="Times New Roman" w:hAnsi="Times New Roman"/>
          <w:b w:val="0"/>
          <w:i/>
          <w:noProof/>
          <w:color w:val="auto"/>
          <w:sz w:val="22"/>
          <w:szCs w:val="22"/>
          <w:lang w:val="bg-BG" w:eastAsia="bg-BG"/>
        </w:rPr>
        <w:t xml:space="preserve"> кг.н.е/лв.</w:t>
      </w:r>
      <w:bookmarkEnd w:id="54"/>
      <w:bookmarkEnd w:id="55"/>
      <w:r w:rsidR="00B4253B">
        <w:rPr>
          <w:rFonts w:ascii="Times New Roman" w:eastAsia="Times New Roman" w:hAnsi="Times New Roman"/>
          <w:b w:val="0"/>
          <w:i/>
          <w:noProof/>
          <w:color w:val="auto"/>
          <w:sz w:val="22"/>
          <w:szCs w:val="22"/>
          <w:lang w:val="bg-BG" w:eastAsia="bg-BG"/>
        </w:rPr>
        <w:t>)</w:t>
      </w:r>
    </w:p>
    <w:p w14:paraId="4CB4131E" w14:textId="77777777" w:rsidR="008B1EFF" w:rsidRDefault="0042190C">
      <w:pPr>
        <w:pStyle w:val="a0"/>
        <w:spacing w:before="120" w:line="276" w:lineRule="auto"/>
        <w:jc w:val="center"/>
      </w:pPr>
      <w:r>
        <w:rPr>
          <w:rStyle w:val="a1"/>
          <w:b/>
          <w:noProof/>
          <w:lang w:val="en-GB" w:eastAsia="en-GB"/>
        </w:rPr>
        <w:drawing>
          <wp:inline distT="0" distB="0" distL="0" distR="0" wp14:anchorId="1285C6F4" wp14:editId="312E39C3">
            <wp:extent cx="4113995" cy="2027718"/>
            <wp:effectExtent l="0" t="0" r="805" b="0"/>
            <wp:docPr id="27" name="Picture 179" descr="http://eea.government.bg/bg/soer/2018/energetics/energetika4.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rcRect/>
                    <a:stretch>
                      <a:fillRect/>
                    </a:stretch>
                  </pic:blipFill>
                  <pic:spPr>
                    <a:xfrm>
                      <a:off x="0" y="0"/>
                      <a:ext cx="4113995" cy="2027718"/>
                    </a:xfrm>
                    <a:prstGeom prst="rect">
                      <a:avLst/>
                    </a:prstGeom>
                    <a:noFill/>
                    <a:ln>
                      <a:noFill/>
                      <a:prstDash/>
                    </a:ln>
                  </pic:spPr>
                </pic:pic>
              </a:graphicData>
            </a:graphic>
          </wp:inline>
        </w:drawing>
      </w:r>
    </w:p>
    <w:p w14:paraId="334E456F" w14:textId="77777777" w:rsidR="008B1EFF" w:rsidRPr="002E54A0" w:rsidRDefault="0042190C">
      <w:pPr>
        <w:pStyle w:val="a0"/>
        <w:spacing w:before="120" w:after="120" w:line="264" w:lineRule="auto"/>
        <w:jc w:val="both"/>
        <w:rPr>
          <w:sz w:val="22"/>
          <w:szCs w:val="22"/>
        </w:rPr>
      </w:pPr>
      <w:r w:rsidRPr="002E54A0">
        <w:rPr>
          <w:rStyle w:val="a1"/>
          <w:bCs/>
          <w:sz w:val="22"/>
          <w:szCs w:val="22"/>
        </w:rPr>
        <w:t xml:space="preserve">Икономиката на България се характеризира като енерго- и </w:t>
      </w:r>
      <w:proofErr w:type="spellStart"/>
      <w:r w:rsidRPr="002E54A0">
        <w:rPr>
          <w:rStyle w:val="a1"/>
          <w:bCs/>
          <w:sz w:val="22"/>
          <w:szCs w:val="22"/>
        </w:rPr>
        <w:t>ресурсо</w:t>
      </w:r>
      <w:proofErr w:type="spellEnd"/>
      <w:r w:rsidRPr="002E54A0">
        <w:rPr>
          <w:rStyle w:val="a1"/>
          <w:bCs/>
          <w:sz w:val="22"/>
          <w:szCs w:val="22"/>
        </w:rPr>
        <w:t xml:space="preserve">-интензивна. По последни данни на Евростат, </w:t>
      </w:r>
      <w:r w:rsidRPr="002E54A0">
        <w:rPr>
          <w:rStyle w:val="a1"/>
          <w:b/>
          <w:bCs/>
          <w:sz w:val="22"/>
          <w:szCs w:val="22"/>
          <w:u w:val="single"/>
        </w:rPr>
        <w:t>енергийната интензивност на брутния вътрешен продукт</w:t>
      </w:r>
      <w:r w:rsidRPr="002E54A0">
        <w:rPr>
          <w:rStyle w:val="a1"/>
          <w:bCs/>
          <w:sz w:val="22"/>
          <w:szCs w:val="22"/>
        </w:rPr>
        <w:t xml:space="preserve"> (БВП) на България през 2018 г. е с 3.5 пъти по-висока от средната за ЕС (при БВП изчислен при референтна година 2010 г.) или 415 </w:t>
      </w:r>
      <w:proofErr w:type="spellStart"/>
      <w:r w:rsidRPr="002E54A0">
        <w:rPr>
          <w:rStyle w:val="a1"/>
          <w:bCs/>
          <w:sz w:val="22"/>
          <w:szCs w:val="22"/>
        </w:rPr>
        <w:t>kgoe</w:t>
      </w:r>
      <w:proofErr w:type="spellEnd"/>
      <w:r w:rsidRPr="002E54A0">
        <w:rPr>
          <w:rStyle w:val="a1"/>
          <w:bCs/>
          <w:sz w:val="22"/>
          <w:szCs w:val="22"/>
        </w:rPr>
        <w:t xml:space="preserve">/1000 €, спрямо 118 </w:t>
      </w:r>
      <w:proofErr w:type="spellStart"/>
      <w:r w:rsidRPr="002E54A0">
        <w:rPr>
          <w:rStyle w:val="a1"/>
          <w:bCs/>
          <w:sz w:val="22"/>
          <w:szCs w:val="22"/>
        </w:rPr>
        <w:t>kgoe</w:t>
      </w:r>
      <w:proofErr w:type="spellEnd"/>
      <w:r w:rsidRPr="002E54A0">
        <w:rPr>
          <w:rStyle w:val="a1"/>
          <w:bCs/>
          <w:sz w:val="22"/>
          <w:szCs w:val="22"/>
        </w:rPr>
        <w:t>/1 000 € в ЕС.</w:t>
      </w:r>
    </w:p>
    <w:p w14:paraId="5CCA7D80" w14:textId="77777777" w:rsidR="008B1EFF" w:rsidRPr="002E54A0" w:rsidRDefault="0042190C">
      <w:pPr>
        <w:pStyle w:val="a0"/>
        <w:spacing w:before="120" w:after="120" w:line="264" w:lineRule="auto"/>
        <w:jc w:val="both"/>
        <w:rPr>
          <w:sz w:val="22"/>
          <w:szCs w:val="22"/>
        </w:rPr>
      </w:pPr>
      <w:r w:rsidRPr="002E54A0">
        <w:rPr>
          <w:rStyle w:val="a1"/>
          <w:b/>
          <w:sz w:val="22"/>
          <w:szCs w:val="22"/>
          <w:u w:val="single"/>
        </w:rPr>
        <w:t>Брутното вътрешно потребление</w:t>
      </w:r>
      <w:r w:rsidRPr="002E54A0">
        <w:rPr>
          <w:sz w:val="22"/>
          <w:szCs w:val="22"/>
        </w:rPr>
        <w:t xml:space="preserve"> на енергийни ресурси представлява ключов фактор за развитието на индустрията и обществото. Традиционно енергията се оценява като основен елемент </w:t>
      </w:r>
      <w:r w:rsidRPr="002E54A0">
        <w:rPr>
          <w:sz w:val="22"/>
          <w:szCs w:val="22"/>
        </w:rPr>
        <w:lastRenderedPageBreak/>
        <w:t xml:space="preserve">на икономическото развитие, но производството и потреблението на енергия оказват значително негативно въздействие върху околната среда. </w:t>
      </w:r>
    </w:p>
    <w:p w14:paraId="5F3D90F5" w14:textId="77777777" w:rsidR="008B1EFF" w:rsidRPr="002E54A0" w:rsidRDefault="0042190C">
      <w:pPr>
        <w:pStyle w:val="a0"/>
        <w:spacing w:before="120" w:after="120" w:line="264" w:lineRule="auto"/>
        <w:jc w:val="both"/>
        <w:rPr>
          <w:sz w:val="22"/>
          <w:szCs w:val="22"/>
        </w:rPr>
      </w:pPr>
      <w:r w:rsidRPr="002E54A0">
        <w:rPr>
          <w:sz w:val="22"/>
          <w:szCs w:val="22"/>
        </w:rPr>
        <w:t>Индикаторът „брутно вътрешно потребление” отразява спецификата на въздействието в зависимост от вида на използваното гориво, например използването на въглища като гориво обуславя изключително високи нива на замърсители – основна част от емисиите на парниковия газ CO</w:t>
      </w:r>
      <w:r w:rsidRPr="002E54A0">
        <w:rPr>
          <w:rStyle w:val="a1"/>
          <w:sz w:val="22"/>
          <w:szCs w:val="22"/>
          <w:vertAlign w:val="subscript"/>
        </w:rPr>
        <w:t>2</w:t>
      </w:r>
      <w:r w:rsidRPr="002E54A0">
        <w:rPr>
          <w:sz w:val="22"/>
          <w:szCs w:val="22"/>
        </w:rPr>
        <w:t xml:space="preserve"> са резултат от изгарянето на въглища. Производството на енергия от възобновяеми източници оказва най-малки въздействия върху околната среда. </w:t>
      </w:r>
    </w:p>
    <w:p w14:paraId="57EEF1B3" w14:textId="77777777" w:rsidR="008B1EFF" w:rsidRPr="002E54A0" w:rsidRDefault="0042190C">
      <w:pPr>
        <w:pStyle w:val="a0"/>
        <w:spacing w:before="120" w:after="120" w:line="264" w:lineRule="auto"/>
        <w:jc w:val="both"/>
        <w:rPr>
          <w:sz w:val="22"/>
          <w:szCs w:val="22"/>
        </w:rPr>
      </w:pPr>
      <w:r w:rsidRPr="002E54A0">
        <w:rPr>
          <w:sz w:val="22"/>
          <w:szCs w:val="22"/>
        </w:rPr>
        <w:t>Индикаторът е свързан с оценка на първичните енергийни носители и широко се използва за измерване на обемите на използваните енергийни ресурси.</w:t>
      </w:r>
    </w:p>
    <w:p w14:paraId="04BB530C" w14:textId="00537F46" w:rsidR="008B1EFF" w:rsidRPr="002E54A0" w:rsidRDefault="0042190C">
      <w:pPr>
        <w:pStyle w:val="a0"/>
        <w:spacing w:before="120" w:after="120" w:line="264" w:lineRule="auto"/>
        <w:jc w:val="both"/>
        <w:rPr>
          <w:sz w:val="22"/>
          <w:szCs w:val="22"/>
        </w:rPr>
      </w:pPr>
      <w:r w:rsidRPr="002E54A0">
        <w:rPr>
          <w:sz w:val="22"/>
          <w:szCs w:val="22"/>
        </w:rPr>
        <w:t xml:space="preserve">През 2018 г. се наблюдава ръст на брутното вътрешно потребление в размер на 0.2% спрямо 2017 г. Изменението на брутното вътрешно потребление на енергия и разпределението по енергийни източници за периода 2014-2018 г. е представено в Таблица </w:t>
      </w:r>
      <w:r w:rsidR="008059A7" w:rsidRPr="008059A7">
        <w:t>3</w:t>
      </w:r>
    </w:p>
    <w:p w14:paraId="216D9FDE" w14:textId="2F361F02" w:rsidR="008B1EFF" w:rsidRPr="008059A7" w:rsidRDefault="008059A7" w:rsidP="008059A7">
      <w:pPr>
        <w:pStyle w:val="Caption"/>
        <w:rPr>
          <w:rFonts w:ascii="Times New Roman" w:eastAsia="Times New Roman" w:hAnsi="Times New Roman"/>
          <w:b w:val="0"/>
          <w:i/>
          <w:noProof/>
          <w:color w:val="auto"/>
          <w:sz w:val="22"/>
          <w:szCs w:val="22"/>
          <w:lang w:val="bg-BG" w:eastAsia="bg-BG"/>
        </w:rPr>
      </w:pPr>
      <w:bookmarkStart w:id="56" w:name="_Toc71527458"/>
      <w:bookmarkStart w:id="57" w:name="_Toc72910351"/>
      <w:r w:rsidRPr="008059A7">
        <w:rPr>
          <w:rFonts w:ascii="Times New Roman" w:eastAsia="Times New Roman" w:hAnsi="Times New Roman"/>
          <w:b w:val="0"/>
          <w:i/>
          <w:noProof/>
          <w:color w:val="auto"/>
          <w:sz w:val="22"/>
          <w:szCs w:val="22"/>
          <w:lang w:val="bg-BG" w:eastAsia="bg-BG"/>
        </w:rPr>
        <w:t xml:space="preserve">Таблица  </w:t>
      </w:r>
      <w:r w:rsidRPr="008059A7">
        <w:rPr>
          <w:rFonts w:ascii="Times New Roman" w:eastAsia="Times New Roman" w:hAnsi="Times New Roman"/>
          <w:b w:val="0"/>
          <w:i/>
          <w:noProof/>
          <w:color w:val="auto"/>
          <w:sz w:val="22"/>
          <w:szCs w:val="22"/>
          <w:lang w:val="bg-BG" w:eastAsia="bg-BG"/>
        </w:rPr>
        <w:fldChar w:fldCharType="begin"/>
      </w:r>
      <w:r w:rsidRPr="008059A7">
        <w:rPr>
          <w:rFonts w:ascii="Times New Roman" w:eastAsia="Times New Roman" w:hAnsi="Times New Roman"/>
          <w:b w:val="0"/>
          <w:i/>
          <w:noProof/>
          <w:color w:val="auto"/>
          <w:sz w:val="22"/>
          <w:szCs w:val="22"/>
          <w:lang w:val="bg-BG" w:eastAsia="bg-BG"/>
        </w:rPr>
        <w:instrText xml:space="preserve"> SEQ Таблица_ \* ARABIC </w:instrText>
      </w:r>
      <w:r w:rsidRPr="008059A7">
        <w:rPr>
          <w:rFonts w:ascii="Times New Roman" w:eastAsia="Times New Roman" w:hAnsi="Times New Roman"/>
          <w:b w:val="0"/>
          <w:i/>
          <w:noProof/>
          <w:color w:val="auto"/>
          <w:sz w:val="22"/>
          <w:szCs w:val="22"/>
          <w:lang w:val="bg-BG" w:eastAsia="bg-BG"/>
        </w:rPr>
        <w:fldChar w:fldCharType="separate"/>
      </w:r>
      <w:r>
        <w:rPr>
          <w:rFonts w:ascii="Times New Roman" w:eastAsia="Times New Roman" w:hAnsi="Times New Roman"/>
          <w:b w:val="0"/>
          <w:i/>
          <w:noProof/>
          <w:color w:val="auto"/>
          <w:sz w:val="22"/>
          <w:szCs w:val="22"/>
          <w:lang w:val="bg-BG" w:eastAsia="bg-BG"/>
        </w:rPr>
        <w:t>3</w:t>
      </w:r>
      <w:r w:rsidRPr="008059A7">
        <w:rPr>
          <w:rFonts w:ascii="Times New Roman" w:eastAsia="Times New Roman" w:hAnsi="Times New Roman"/>
          <w:b w:val="0"/>
          <w:i/>
          <w:noProof/>
          <w:color w:val="auto"/>
          <w:sz w:val="22"/>
          <w:szCs w:val="22"/>
          <w:lang w:val="bg-BG" w:eastAsia="bg-BG"/>
        </w:rPr>
        <w:fldChar w:fldCharType="end"/>
      </w:r>
      <w:r w:rsidRPr="008059A7">
        <w:rPr>
          <w:rFonts w:ascii="Times New Roman" w:eastAsia="Times New Roman" w:hAnsi="Times New Roman"/>
          <w:b w:val="0"/>
          <w:i/>
          <w:noProof/>
          <w:color w:val="auto"/>
          <w:sz w:val="22"/>
          <w:szCs w:val="22"/>
          <w:lang w:eastAsia="bg-BG"/>
        </w:rPr>
        <w:t xml:space="preserve"> </w:t>
      </w:r>
      <w:r w:rsidR="0042190C" w:rsidRPr="008059A7">
        <w:rPr>
          <w:rFonts w:ascii="Times New Roman" w:eastAsia="Times New Roman" w:hAnsi="Times New Roman"/>
          <w:b w:val="0"/>
          <w:i/>
          <w:noProof/>
          <w:color w:val="auto"/>
          <w:sz w:val="22"/>
          <w:szCs w:val="22"/>
          <w:lang w:val="bg-BG" w:eastAsia="bg-BG"/>
        </w:rPr>
        <w:t>Брутно вътрешно потребление на енергия в периода 2014 – 2018 г., кtoe</w:t>
      </w:r>
      <w:bookmarkEnd w:id="56"/>
      <w:bookmarkEnd w:id="57"/>
    </w:p>
    <w:tbl>
      <w:tblPr>
        <w:tblW w:w="9255" w:type="dxa"/>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365"/>
        <w:gridCol w:w="1162"/>
        <w:gridCol w:w="880"/>
        <w:gridCol w:w="1014"/>
        <w:gridCol w:w="880"/>
        <w:gridCol w:w="954"/>
      </w:tblGrid>
      <w:tr w:rsidR="008B1EFF" w14:paraId="3748C8C4" w14:textId="77777777" w:rsidTr="00F74A49">
        <w:tc>
          <w:tcPr>
            <w:tcW w:w="4365" w:type="dxa"/>
            <w:shd w:val="clear" w:color="auto" w:fill="auto"/>
            <w:noWrap/>
            <w:tcMar>
              <w:top w:w="15" w:type="dxa"/>
              <w:left w:w="15" w:type="dxa"/>
              <w:bottom w:w="15" w:type="dxa"/>
              <w:right w:w="15" w:type="dxa"/>
            </w:tcMar>
            <w:vAlign w:val="center"/>
          </w:tcPr>
          <w:p w14:paraId="059ADD72" w14:textId="77777777" w:rsidR="008B1EFF" w:rsidRDefault="0042190C">
            <w:pPr>
              <w:pStyle w:val="a0"/>
              <w:spacing w:line="276" w:lineRule="auto"/>
              <w:rPr>
                <w:sz w:val="22"/>
                <w:szCs w:val="22"/>
              </w:rPr>
            </w:pPr>
            <w:r>
              <w:rPr>
                <w:sz w:val="22"/>
                <w:szCs w:val="22"/>
              </w:rPr>
              <w:t> </w:t>
            </w:r>
          </w:p>
        </w:tc>
        <w:tc>
          <w:tcPr>
            <w:tcW w:w="1162" w:type="dxa"/>
            <w:shd w:val="clear" w:color="auto" w:fill="auto"/>
            <w:noWrap/>
            <w:tcMar>
              <w:top w:w="15" w:type="dxa"/>
              <w:left w:w="15" w:type="dxa"/>
              <w:bottom w:w="15" w:type="dxa"/>
              <w:right w:w="15" w:type="dxa"/>
            </w:tcMar>
            <w:vAlign w:val="center"/>
          </w:tcPr>
          <w:p w14:paraId="212E1111" w14:textId="77777777" w:rsidR="008B1EFF" w:rsidRDefault="0042190C">
            <w:pPr>
              <w:pStyle w:val="a0"/>
              <w:spacing w:line="276" w:lineRule="auto"/>
              <w:jc w:val="center"/>
            </w:pPr>
            <w:r>
              <w:rPr>
                <w:rStyle w:val="a1"/>
                <w:b/>
                <w:bCs/>
                <w:sz w:val="22"/>
                <w:szCs w:val="22"/>
              </w:rPr>
              <w:t>2014</w:t>
            </w:r>
          </w:p>
        </w:tc>
        <w:tc>
          <w:tcPr>
            <w:tcW w:w="880" w:type="dxa"/>
            <w:shd w:val="clear" w:color="auto" w:fill="auto"/>
            <w:noWrap/>
            <w:tcMar>
              <w:top w:w="15" w:type="dxa"/>
              <w:left w:w="15" w:type="dxa"/>
              <w:bottom w:w="15" w:type="dxa"/>
              <w:right w:w="15" w:type="dxa"/>
            </w:tcMar>
            <w:vAlign w:val="center"/>
          </w:tcPr>
          <w:p w14:paraId="7F518AEB" w14:textId="77777777" w:rsidR="008B1EFF" w:rsidRDefault="0042190C">
            <w:pPr>
              <w:pStyle w:val="a0"/>
              <w:spacing w:line="276" w:lineRule="auto"/>
              <w:jc w:val="center"/>
            </w:pPr>
            <w:r>
              <w:rPr>
                <w:rStyle w:val="a1"/>
                <w:b/>
                <w:bCs/>
                <w:sz w:val="22"/>
                <w:szCs w:val="22"/>
              </w:rPr>
              <w:t>2015</w:t>
            </w:r>
          </w:p>
        </w:tc>
        <w:tc>
          <w:tcPr>
            <w:tcW w:w="1014" w:type="dxa"/>
            <w:shd w:val="clear" w:color="auto" w:fill="auto"/>
            <w:noWrap/>
            <w:tcMar>
              <w:top w:w="15" w:type="dxa"/>
              <w:left w:w="15" w:type="dxa"/>
              <w:bottom w:w="15" w:type="dxa"/>
              <w:right w:w="15" w:type="dxa"/>
            </w:tcMar>
            <w:vAlign w:val="center"/>
          </w:tcPr>
          <w:p w14:paraId="764B6017" w14:textId="77777777" w:rsidR="008B1EFF" w:rsidRDefault="0042190C">
            <w:pPr>
              <w:pStyle w:val="a0"/>
              <w:spacing w:line="276" w:lineRule="auto"/>
              <w:jc w:val="center"/>
            </w:pPr>
            <w:r>
              <w:rPr>
                <w:rStyle w:val="a1"/>
                <w:b/>
                <w:bCs/>
                <w:sz w:val="22"/>
                <w:szCs w:val="22"/>
              </w:rPr>
              <w:t>2016</w:t>
            </w:r>
          </w:p>
        </w:tc>
        <w:tc>
          <w:tcPr>
            <w:tcW w:w="880" w:type="dxa"/>
            <w:shd w:val="clear" w:color="auto" w:fill="auto"/>
            <w:noWrap/>
            <w:tcMar>
              <w:top w:w="15" w:type="dxa"/>
              <w:left w:w="15" w:type="dxa"/>
              <w:bottom w:w="15" w:type="dxa"/>
              <w:right w:w="15" w:type="dxa"/>
            </w:tcMar>
            <w:vAlign w:val="center"/>
          </w:tcPr>
          <w:p w14:paraId="44B242F9" w14:textId="77777777" w:rsidR="008B1EFF" w:rsidRDefault="0042190C">
            <w:pPr>
              <w:pStyle w:val="a0"/>
              <w:spacing w:line="276" w:lineRule="auto"/>
              <w:jc w:val="center"/>
            </w:pPr>
            <w:r>
              <w:rPr>
                <w:rStyle w:val="a1"/>
                <w:b/>
                <w:bCs/>
                <w:sz w:val="22"/>
                <w:szCs w:val="22"/>
              </w:rPr>
              <w:t>2017</w:t>
            </w:r>
          </w:p>
        </w:tc>
        <w:tc>
          <w:tcPr>
            <w:tcW w:w="954" w:type="dxa"/>
            <w:shd w:val="clear" w:color="auto" w:fill="auto"/>
            <w:noWrap/>
            <w:tcMar>
              <w:top w:w="15" w:type="dxa"/>
              <w:left w:w="15" w:type="dxa"/>
              <w:bottom w:w="15" w:type="dxa"/>
              <w:right w:w="15" w:type="dxa"/>
            </w:tcMar>
            <w:vAlign w:val="center"/>
          </w:tcPr>
          <w:p w14:paraId="05C0249A" w14:textId="77777777" w:rsidR="008B1EFF" w:rsidRDefault="0042190C">
            <w:pPr>
              <w:pStyle w:val="a0"/>
              <w:spacing w:line="276" w:lineRule="auto"/>
              <w:jc w:val="center"/>
            </w:pPr>
            <w:r>
              <w:rPr>
                <w:rStyle w:val="a1"/>
                <w:b/>
                <w:bCs/>
                <w:sz w:val="22"/>
                <w:szCs w:val="22"/>
              </w:rPr>
              <w:t>2018</w:t>
            </w:r>
          </w:p>
        </w:tc>
      </w:tr>
      <w:tr w:rsidR="008B1EFF" w14:paraId="5E614F69" w14:textId="77777777" w:rsidTr="00F74A49">
        <w:tc>
          <w:tcPr>
            <w:tcW w:w="4365" w:type="dxa"/>
            <w:shd w:val="clear" w:color="auto" w:fill="auto"/>
            <w:tcMar>
              <w:top w:w="15" w:type="dxa"/>
              <w:left w:w="15" w:type="dxa"/>
              <w:bottom w:w="15" w:type="dxa"/>
              <w:right w:w="15" w:type="dxa"/>
            </w:tcMar>
            <w:vAlign w:val="center"/>
          </w:tcPr>
          <w:p w14:paraId="7E4AD01B" w14:textId="77777777" w:rsidR="008B1EFF" w:rsidRDefault="0042190C">
            <w:pPr>
              <w:pStyle w:val="a0"/>
              <w:spacing w:line="276" w:lineRule="auto"/>
              <w:rPr>
                <w:sz w:val="22"/>
                <w:szCs w:val="22"/>
              </w:rPr>
            </w:pPr>
            <w:r>
              <w:rPr>
                <w:sz w:val="22"/>
                <w:szCs w:val="22"/>
              </w:rPr>
              <w:t>Въглища и горива от тях</w:t>
            </w:r>
          </w:p>
        </w:tc>
        <w:tc>
          <w:tcPr>
            <w:tcW w:w="1162" w:type="dxa"/>
            <w:shd w:val="clear" w:color="auto" w:fill="auto"/>
            <w:tcMar>
              <w:top w:w="15" w:type="dxa"/>
              <w:left w:w="15" w:type="dxa"/>
              <w:bottom w:w="15" w:type="dxa"/>
              <w:right w:w="15" w:type="dxa"/>
            </w:tcMar>
            <w:vAlign w:val="center"/>
          </w:tcPr>
          <w:p w14:paraId="171E91E6" w14:textId="77777777" w:rsidR="008B1EFF" w:rsidRDefault="0042190C">
            <w:pPr>
              <w:pStyle w:val="a0"/>
              <w:spacing w:line="276" w:lineRule="auto"/>
              <w:jc w:val="center"/>
              <w:rPr>
                <w:sz w:val="22"/>
                <w:szCs w:val="22"/>
              </w:rPr>
            </w:pPr>
            <w:r>
              <w:rPr>
                <w:sz w:val="22"/>
                <w:szCs w:val="22"/>
              </w:rPr>
              <w:t>6 357</w:t>
            </w:r>
          </w:p>
        </w:tc>
        <w:tc>
          <w:tcPr>
            <w:tcW w:w="880" w:type="dxa"/>
            <w:shd w:val="clear" w:color="auto" w:fill="auto"/>
            <w:tcMar>
              <w:top w:w="15" w:type="dxa"/>
              <w:left w:w="15" w:type="dxa"/>
              <w:bottom w:w="15" w:type="dxa"/>
              <w:right w:w="15" w:type="dxa"/>
            </w:tcMar>
            <w:vAlign w:val="center"/>
          </w:tcPr>
          <w:p w14:paraId="0ACFE239" w14:textId="77777777" w:rsidR="008B1EFF" w:rsidRDefault="0042190C">
            <w:pPr>
              <w:pStyle w:val="a0"/>
              <w:spacing w:line="276" w:lineRule="auto"/>
              <w:jc w:val="center"/>
              <w:rPr>
                <w:sz w:val="22"/>
                <w:szCs w:val="22"/>
              </w:rPr>
            </w:pPr>
            <w:r>
              <w:rPr>
                <w:sz w:val="22"/>
                <w:szCs w:val="22"/>
              </w:rPr>
              <w:t>6 607</w:t>
            </w:r>
          </w:p>
        </w:tc>
        <w:tc>
          <w:tcPr>
            <w:tcW w:w="1014" w:type="dxa"/>
            <w:shd w:val="clear" w:color="auto" w:fill="auto"/>
            <w:tcMar>
              <w:top w:w="15" w:type="dxa"/>
              <w:left w:w="15" w:type="dxa"/>
              <w:bottom w:w="15" w:type="dxa"/>
              <w:right w:w="15" w:type="dxa"/>
            </w:tcMar>
            <w:vAlign w:val="center"/>
          </w:tcPr>
          <w:p w14:paraId="64266AFD" w14:textId="77777777" w:rsidR="008B1EFF" w:rsidRDefault="0042190C">
            <w:pPr>
              <w:pStyle w:val="a0"/>
              <w:spacing w:line="276" w:lineRule="auto"/>
              <w:jc w:val="center"/>
              <w:rPr>
                <w:sz w:val="22"/>
                <w:szCs w:val="22"/>
              </w:rPr>
            </w:pPr>
            <w:r>
              <w:rPr>
                <w:sz w:val="22"/>
                <w:szCs w:val="22"/>
              </w:rPr>
              <w:t>5 699</w:t>
            </w:r>
          </w:p>
        </w:tc>
        <w:tc>
          <w:tcPr>
            <w:tcW w:w="880" w:type="dxa"/>
            <w:shd w:val="clear" w:color="auto" w:fill="auto"/>
            <w:tcMar>
              <w:top w:w="15" w:type="dxa"/>
              <w:left w:w="15" w:type="dxa"/>
              <w:bottom w:w="15" w:type="dxa"/>
              <w:right w:w="15" w:type="dxa"/>
            </w:tcMar>
            <w:vAlign w:val="center"/>
          </w:tcPr>
          <w:p w14:paraId="30E35449" w14:textId="77777777" w:rsidR="008B1EFF" w:rsidRDefault="0042190C">
            <w:pPr>
              <w:pStyle w:val="a0"/>
              <w:spacing w:line="276" w:lineRule="auto"/>
              <w:jc w:val="center"/>
              <w:rPr>
                <w:sz w:val="22"/>
                <w:szCs w:val="22"/>
              </w:rPr>
            </w:pPr>
            <w:r>
              <w:rPr>
                <w:sz w:val="22"/>
                <w:szCs w:val="22"/>
              </w:rPr>
              <w:t>6 123</w:t>
            </w:r>
          </w:p>
        </w:tc>
        <w:tc>
          <w:tcPr>
            <w:tcW w:w="954" w:type="dxa"/>
            <w:shd w:val="clear" w:color="auto" w:fill="auto"/>
            <w:tcMar>
              <w:top w:w="15" w:type="dxa"/>
              <w:left w:w="15" w:type="dxa"/>
              <w:bottom w:w="15" w:type="dxa"/>
              <w:right w:w="15" w:type="dxa"/>
            </w:tcMar>
            <w:vAlign w:val="center"/>
          </w:tcPr>
          <w:p w14:paraId="1C254F56" w14:textId="77777777" w:rsidR="008B1EFF" w:rsidRDefault="0042190C">
            <w:pPr>
              <w:pStyle w:val="a0"/>
              <w:spacing w:line="276" w:lineRule="auto"/>
              <w:jc w:val="center"/>
              <w:rPr>
                <w:sz w:val="22"/>
                <w:szCs w:val="22"/>
              </w:rPr>
            </w:pPr>
            <w:r>
              <w:rPr>
                <w:sz w:val="22"/>
                <w:szCs w:val="22"/>
              </w:rPr>
              <w:t>5 634</w:t>
            </w:r>
          </w:p>
        </w:tc>
      </w:tr>
      <w:tr w:rsidR="008B1EFF" w14:paraId="3A5257A8" w14:textId="77777777" w:rsidTr="00F74A49">
        <w:tc>
          <w:tcPr>
            <w:tcW w:w="4365" w:type="dxa"/>
            <w:shd w:val="clear" w:color="auto" w:fill="auto"/>
            <w:tcMar>
              <w:top w:w="15" w:type="dxa"/>
              <w:left w:w="15" w:type="dxa"/>
              <w:bottom w:w="15" w:type="dxa"/>
              <w:right w:w="15" w:type="dxa"/>
            </w:tcMar>
            <w:vAlign w:val="center"/>
          </w:tcPr>
          <w:p w14:paraId="56305FB0" w14:textId="77777777" w:rsidR="008B1EFF" w:rsidRDefault="0042190C">
            <w:pPr>
              <w:pStyle w:val="a0"/>
              <w:spacing w:line="276" w:lineRule="auto"/>
              <w:rPr>
                <w:sz w:val="22"/>
                <w:szCs w:val="22"/>
              </w:rPr>
            </w:pPr>
            <w:r>
              <w:rPr>
                <w:sz w:val="22"/>
                <w:szCs w:val="22"/>
              </w:rPr>
              <w:t>Природен газ</w:t>
            </w:r>
          </w:p>
        </w:tc>
        <w:tc>
          <w:tcPr>
            <w:tcW w:w="1162" w:type="dxa"/>
            <w:shd w:val="clear" w:color="auto" w:fill="auto"/>
            <w:tcMar>
              <w:top w:w="15" w:type="dxa"/>
              <w:left w:w="15" w:type="dxa"/>
              <w:bottom w:w="15" w:type="dxa"/>
              <w:right w:w="15" w:type="dxa"/>
            </w:tcMar>
            <w:vAlign w:val="center"/>
          </w:tcPr>
          <w:p w14:paraId="18D3B609" w14:textId="77777777" w:rsidR="008B1EFF" w:rsidRDefault="0042190C">
            <w:pPr>
              <w:pStyle w:val="a0"/>
              <w:spacing w:line="276" w:lineRule="auto"/>
              <w:jc w:val="center"/>
              <w:rPr>
                <w:sz w:val="22"/>
                <w:szCs w:val="22"/>
              </w:rPr>
            </w:pPr>
            <w:r>
              <w:rPr>
                <w:sz w:val="22"/>
                <w:szCs w:val="22"/>
              </w:rPr>
              <w:t>2 363</w:t>
            </w:r>
          </w:p>
        </w:tc>
        <w:tc>
          <w:tcPr>
            <w:tcW w:w="880" w:type="dxa"/>
            <w:shd w:val="clear" w:color="auto" w:fill="auto"/>
            <w:tcMar>
              <w:top w:w="15" w:type="dxa"/>
              <w:left w:w="15" w:type="dxa"/>
              <w:bottom w:w="15" w:type="dxa"/>
              <w:right w:w="15" w:type="dxa"/>
            </w:tcMar>
            <w:vAlign w:val="center"/>
          </w:tcPr>
          <w:p w14:paraId="0CFB3B9C" w14:textId="77777777" w:rsidR="008B1EFF" w:rsidRDefault="0042190C">
            <w:pPr>
              <w:pStyle w:val="a0"/>
              <w:spacing w:line="276" w:lineRule="auto"/>
              <w:jc w:val="center"/>
              <w:rPr>
                <w:sz w:val="22"/>
                <w:szCs w:val="22"/>
              </w:rPr>
            </w:pPr>
            <w:r>
              <w:rPr>
                <w:sz w:val="22"/>
                <w:szCs w:val="22"/>
              </w:rPr>
              <w:t>2 595</w:t>
            </w:r>
          </w:p>
        </w:tc>
        <w:tc>
          <w:tcPr>
            <w:tcW w:w="1014" w:type="dxa"/>
            <w:shd w:val="clear" w:color="auto" w:fill="auto"/>
            <w:tcMar>
              <w:top w:w="15" w:type="dxa"/>
              <w:left w:w="15" w:type="dxa"/>
              <w:bottom w:w="15" w:type="dxa"/>
              <w:right w:w="15" w:type="dxa"/>
            </w:tcMar>
            <w:vAlign w:val="center"/>
          </w:tcPr>
          <w:p w14:paraId="1D2A75F6" w14:textId="77777777" w:rsidR="008B1EFF" w:rsidRDefault="0042190C">
            <w:pPr>
              <w:pStyle w:val="a0"/>
              <w:spacing w:line="276" w:lineRule="auto"/>
              <w:jc w:val="center"/>
              <w:rPr>
                <w:sz w:val="22"/>
                <w:szCs w:val="22"/>
              </w:rPr>
            </w:pPr>
            <w:r>
              <w:rPr>
                <w:sz w:val="22"/>
                <w:szCs w:val="22"/>
              </w:rPr>
              <w:t>2 687</w:t>
            </w:r>
          </w:p>
        </w:tc>
        <w:tc>
          <w:tcPr>
            <w:tcW w:w="880" w:type="dxa"/>
            <w:shd w:val="clear" w:color="auto" w:fill="auto"/>
            <w:tcMar>
              <w:top w:w="15" w:type="dxa"/>
              <w:left w:w="15" w:type="dxa"/>
              <w:bottom w:w="15" w:type="dxa"/>
              <w:right w:w="15" w:type="dxa"/>
            </w:tcMar>
            <w:vAlign w:val="center"/>
          </w:tcPr>
          <w:p w14:paraId="00FC313E" w14:textId="77777777" w:rsidR="008B1EFF" w:rsidRDefault="0042190C">
            <w:pPr>
              <w:pStyle w:val="a0"/>
              <w:spacing w:line="276" w:lineRule="auto"/>
              <w:jc w:val="center"/>
              <w:rPr>
                <w:sz w:val="22"/>
                <w:szCs w:val="22"/>
              </w:rPr>
            </w:pPr>
            <w:r>
              <w:rPr>
                <w:sz w:val="22"/>
                <w:szCs w:val="22"/>
              </w:rPr>
              <w:t>2 762</w:t>
            </w:r>
          </w:p>
        </w:tc>
        <w:tc>
          <w:tcPr>
            <w:tcW w:w="954" w:type="dxa"/>
            <w:shd w:val="clear" w:color="auto" w:fill="auto"/>
            <w:tcMar>
              <w:top w:w="15" w:type="dxa"/>
              <w:left w:w="15" w:type="dxa"/>
              <w:bottom w:w="15" w:type="dxa"/>
              <w:right w:w="15" w:type="dxa"/>
            </w:tcMar>
            <w:vAlign w:val="center"/>
          </w:tcPr>
          <w:p w14:paraId="65F9C6F3" w14:textId="77777777" w:rsidR="008B1EFF" w:rsidRDefault="0042190C">
            <w:pPr>
              <w:pStyle w:val="a0"/>
              <w:spacing w:line="276" w:lineRule="auto"/>
              <w:jc w:val="center"/>
              <w:rPr>
                <w:sz w:val="22"/>
                <w:szCs w:val="22"/>
              </w:rPr>
            </w:pPr>
            <w:r>
              <w:rPr>
                <w:sz w:val="22"/>
                <w:szCs w:val="22"/>
              </w:rPr>
              <w:t>2 612</w:t>
            </w:r>
          </w:p>
        </w:tc>
      </w:tr>
      <w:tr w:rsidR="008B1EFF" w14:paraId="5239CDF9" w14:textId="77777777" w:rsidTr="00F74A49">
        <w:tc>
          <w:tcPr>
            <w:tcW w:w="4365" w:type="dxa"/>
            <w:shd w:val="clear" w:color="auto" w:fill="auto"/>
            <w:tcMar>
              <w:top w:w="15" w:type="dxa"/>
              <w:left w:w="15" w:type="dxa"/>
              <w:bottom w:w="15" w:type="dxa"/>
              <w:right w:w="15" w:type="dxa"/>
            </w:tcMar>
            <w:vAlign w:val="center"/>
          </w:tcPr>
          <w:p w14:paraId="03F9A53F" w14:textId="77777777" w:rsidR="008B1EFF" w:rsidRDefault="0042190C">
            <w:pPr>
              <w:pStyle w:val="a0"/>
              <w:spacing w:line="276" w:lineRule="auto"/>
              <w:rPr>
                <w:sz w:val="22"/>
                <w:szCs w:val="22"/>
              </w:rPr>
            </w:pPr>
            <w:r>
              <w:rPr>
                <w:sz w:val="22"/>
                <w:szCs w:val="22"/>
              </w:rPr>
              <w:t>Нефт и нефтопродукти</w:t>
            </w:r>
          </w:p>
        </w:tc>
        <w:tc>
          <w:tcPr>
            <w:tcW w:w="1162" w:type="dxa"/>
            <w:shd w:val="clear" w:color="auto" w:fill="auto"/>
            <w:tcMar>
              <w:top w:w="15" w:type="dxa"/>
              <w:left w:w="15" w:type="dxa"/>
              <w:bottom w:w="15" w:type="dxa"/>
              <w:right w:w="15" w:type="dxa"/>
            </w:tcMar>
            <w:vAlign w:val="center"/>
          </w:tcPr>
          <w:p w14:paraId="1B4513DE" w14:textId="77777777" w:rsidR="008B1EFF" w:rsidRDefault="0042190C">
            <w:pPr>
              <w:pStyle w:val="a0"/>
              <w:spacing w:line="276" w:lineRule="auto"/>
              <w:jc w:val="center"/>
              <w:rPr>
                <w:sz w:val="22"/>
                <w:szCs w:val="22"/>
              </w:rPr>
            </w:pPr>
            <w:r>
              <w:rPr>
                <w:sz w:val="22"/>
                <w:szCs w:val="22"/>
              </w:rPr>
              <w:t>4 014</w:t>
            </w:r>
          </w:p>
        </w:tc>
        <w:tc>
          <w:tcPr>
            <w:tcW w:w="880" w:type="dxa"/>
            <w:shd w:val="clear" w:color="auto" w:fill="auto"/>
            <w:tcMar>
              <w:top w:w="15" w:type="dxa"/>
              <w:left w:w="15" w:type="dxa"/>
              <w:bottom w:w="15" w:type="dxa"/>
              <w:right w:w="15" w:type="dxa"/>
            </w:tcMar>
            <w:vAlign w:val="center"/>
          </w:tcPr>
          <w:p w14:paraId="4417E50B" w14:textId="77777777" w:rsidR="008B1EFF" w:rsidRDefault="0042190C">
            <w:pPr>
              <w:pStyle w:val="a0"/>
              <w:spacing w:line="276" w:lineRule="auto"/>
              <w:jc w:val="center"/>
              <w:rPr>
                <w:sz w:val="22"/>
                <w:szCs w:val="22"/>
              </w:rPr>
            </w:pPr>
            <w:r>
              <w:rPr>
                <w:sz w:val="22"/>
                <w:szCs w:val="22"/>
              </w:rPr>
              <w:t>4 344</w:t>
            </w:r>
          </w:p>
        </w:tc>
        <w:tc>
          <w:tcPr>
            <w:tcW w:w="1014" w:type="dxa"/>
            <w:shd w:val="clear" w:color="auto" w:fill="auto"/>
            <w:tcMar>
              <w:top w:w="15" w:type="dxa"/>
              <w:left w:w="15" w:type="dxa"/>
              <w:bottom w:w="15" w:type="dxa"/>
              <w:right w:w="15" w:type="dxa"/>
            </w:tcMar>
            <w:vAlign w:val="center"/>
          </w:tcPr>
          <w:p w14:paraId="63BAB614" w14:textId="77777777" w:rsidR="008B1EFF" w:rsidRDefault="0042190C">
            <w:pPr>
              <w:pStyle w:val="a0"/>
              <w:spacing w:line="276" w:lineRule="auto"/>
              <w:jc w:val="center"/>
              <w:rPr>
                <w:sz w:val="22"/>
                <w:szCs w:val="22"/>
              </w:rPr>
            </w:pPr>
            <w:r>
              <w:rPr>
                <w:sz w:val="22"/>
                <w:szCs w:val="22"/>
              </w:rPr>
              <w:t>4 352</w:t>
            </w:r>
          </w:p>
        </w:tc>
        <w:tc>
          <w:tcPr>
            <w:tcW w:w="880" w:type="dxa"/>
            <w:shd w:val="clear" w:color="auto" w:fill="auto"/>
            <w:tcMar>
              <w:top w:w="15" w:type="dxa"/>
              <w:left w:w="15" w:type="dxa"/>
              <w:bottom w:w="15" w:type="dxa"/>
              <w:right w:w="15" w:type="dxa"/>
            </w:tcMar>
            <w:vAlign w:val="center"/>
          </w:tcPr>
          <w:p w14:paraId="0CE80A5D" w14:textId="77777777" w:rsidR="008B1EFF" w:rsidRDefault="0042190C">
            <w:pPr>
              <w:pStyle w:val="a0"/>
              <w:spacing w:line="276" w:lineRule="auto"/>
              <w:jc w:val="center"/>
              <w:rPr>
                <w:sz w:val="22"/>
                <w:szCs w:val="22"/>
              </w:rPr>
            </w:pPr>
            <w:r>
              <w:rPr>
                <w:sz w:val="22"/>
                <w:szCs w:val="22"/>
              </w:rPr>
              <w:t>4 555</w:t>
            </w:r>
          </w:p>
        </w:tc>
        <w:tc>
          <w:tcPr>
            <w:tcW w:w="954" w:type="dxa"/>
            <w:shd w:val="clear" w:color="auto" w:fill="auto"/>
            <w:tcMar>
              <w:top w:w="15" w:type="dxa"/>
              <w:left w:w="15" w:type="dxa"/>
              <w:bottom w:w="15" w:type="dxa"/>
              <w:right w:w="15" w:type="dxa"/>
            </w:tcMar>
            <w:vAlign w:val="center"/>
          </w:tcPr>
          <w:p w14:paraId="3CE2573F" w14:textId="77777777" w:rsidR="008B1EFF" w:rsidRDefault="0042190C">
            <w:pPr>
              <w:pStyle w:val="a0"/>
              <w:spacing w:line="276" w:lineRule="auto"/>
              <w:jc w:val="center"/>
              <w:rPr>
                <w:sz w:val="22"/>
                <w:szCs w:val="22"/>
              </w:rPr>
            </w:pPr>
            <w:r>
              <w:rPr>
                <w:sz w:val="22"/>
                <w:szCs w:val="22"/>
              </w:rPr>
              <w:t>4 611</w:t>
            </w:r>
          </w:p>
        </w:tc>
      </w:tr>
      <w:tr w:rsidR="008B1EFF" w14:paraId="2B2B4B0B" w14:textId="77777777" w:rsidTr="00F74A49">
        <w:tc>
          <w:tcPr>
            <w:tcW w:w="4365" w:type="dxa"/>
            <w:shd w:val="clear" w:color="auto" w:fill="auto"/>
            <w:tcMar>
              <w:top w:w="15" w:type="dxa"/>
              <w:left w:w="15" w:type="dxa"/>
              <w:bottom w:w="15" w:type="dxa"/>
              <w:right w:w="15" w:type="dxa"/>
            </w:tcMar>
            <w:vAlign w:val="center"/>
          </w:tcPr>
          <w:p w14:paraId="0E9FAB3E" w14:textId="77777777" w:rsidR="008B1EFF" w:rsidRDefault="0042190C">
            <w:pPr>
              <w:pStyle w:val="a0"/>
              <w:spacing w:line="276" w:lineRule="auto"/>
              <w:rPr>
                <w:sz w:val="22"/>
                <w:szCs w:val="22"/>
              </w:rPr>
            </w:pPr>
            <w:r>
              <w:rPr>
                <w:sz w:val="22"/>
                <w:szCs w:val="22"/>
              </w:rPr>
              <w:t>Ядрена енергия</w:t>
            </w:r>
          </w:p>
        </w:tc>
        <w:tc>
          <w:tcPr>
            <w:tcW w:w="1162" w:type="dxa"/>
            <w:shd w:val="clear" w:color="auto" w:fill="auto"/>
            <w:tcMar>
              <w:top w:w="15" w:type="dxa"/>
              <w:left w:w="15" w:type="dxa"/>
              <w:bottom w:w="15" w:type="dxa"/>
              <w:right w:w="15" w:type="dxa"/>
            </w:tcMar>
            <w:vAlign w:val="center"/>
          </w:tcPr>
          <w:p w14:paraId="1E791E93" w14:textId="77777777" w:rsidR="008B1EFF" w:rsidRDefault="0042190C">
            <w:pPr>
              <w:pStyle w:val="a0"/>
              <w:spacing w:line="276" w:lineRule="auto"/>
              <w:jc w:val="center"/>
              <w:rPr>
                <w:sz w:val="22"/>
                <w:szCs w:val="22"/>
              </w:rPr>
            </w:pPr>
            <w:r>
              <w:rPr>
                <w:sz w:val="22"/>
                <w:szCs w:val="22"/>
              </w:rPr>
              <w:t>4 046</w:t>
            </w:r>
          </w:p>
        </w:tc>
        <w:tc>
          <w:tcPr>
            <w:tcW w:w="880" w:type="dxa"/>
            <w:shd w:val="clear" w:color="auto" w:fill="auto"/>
            <w:tcMar>
              <w:top w:w="15" w:type="dxa"/>
              <w:left w:w="15" w:type="dxa"/>
              <w:bottom w:w="15" w:type="dxa"/>
              <w:right w:w="15" w:type="dxa"/>
            </w:tcMar>
            <w:vAlign w:val="center"/>
          </w:tcPr>
          <w:p w14:paraId="2796B7F5" w14:textId="77777777" w:rsidR="008B1EFF" w:rsidRDefault="0042190C">
            <w:pPr>
              <w:pStyle w:val="a0"/>
              <w:spacing w:line="276" w:lineRule="auto"/>
              <w:jc w:val="center"/>
              <w:rPr>
                <w:sz w:val="22"/>
                <w:szCs w:val="22"/>
              </w:rPr>
            </w:pPr>
            <w:r>
              <w:rPr>
                <w:sz w:val="22"/>
                <w:szCs w:val="22"/>
              </w:rPr>
              <w:t>3 912</w:t>
            </w:r>
          </w:p>
        </w:tc>
        <w:tc>
          <w:tcPr>
            <w:tcW w:w="1014" w:type="dxa"/>
            <w:shd w:val="clear" w:color="auto" w:fill="auto"/>
            <w:tcMar>
              <w:top w:w="15" w:type="dxa"/>
              <w:left w:w="15" w:type="dxa"/>
              <w:bottom w:w="15" w:type="dxa"/>
              <w:right w:w="15" w:type="dxa"/>
            </w:tcMar>
            <w:vAlign w:val="center"/>
          </w:tcPr>
          <w:p w14:paraId="5C1C0194" w14:textId="77777777" w:rsidR="008B1EFF" w:rsidRDefault="0042190C">
            <w:pPr>
              <w:pStyle w:val="a0"/>
              <w:spacing w:line="276" w:lineRule="auto"/>
              <w:jc w:val="center"/>
              <w:rPr>
                <w:sz w:val="22"/>
                <w:szCs w:val="22"/>
              </w:rPr>
            </w:pPr>
            <w:r>
              <w:rPr>
                <w:sz w:val="22"/>
                <w:szCs w:val="22"/>
              </w:rPr>
              <w:t>4 010</w:t>
            </w:r>
          </w:p>
        </w:tc>
        <w:tc>
          <w:tcPr>
            <w:tcW w:w="880" w:type="dxa"/>
            <w:shd w:val="clear" w:color="auto" w:fill="auto"/>
            <w:tcMar>
              <w:top w:w="15" w:type="dxa"/>
              <w:left w:w="15" w:type="dxa"/>
              <w:bottom w:w="15" w:type="dxa"/>
              <w:right w:w="15" w:type="dxa"/>
            </w:tcMar>
            <w:vAlign w:val="center"/>
          </w:tcPr>
          <w:p w14:paraId="397560DC" w14:textId="77777777" w:rsidR="008B1EFF" w:rsidRDefault="0042190C">
            <w:pPr>
              <w:pStyle w:val="a0"/>
              <w:spacing w:line="276" w:lineRule="auto"/>
              <w:jc w:val="center"/>
              <w:rPr>
                <w:sz w:val="22"/>
                <w:szCs w:val="22"/>
              </w:rPr>
            </w:pPr>
            <w:r>
              <w:rPr>
                <w:sz w:val="22"/>
                <w:szCs w:val="22"/>
              </w:rPr>
              <w:t>3 940</w:t>
            </w:r>
          </w:p>
        </w:tc>
        <w:tc>
          <w:tcPr>
            <w:tcW w:w="954" w:type="dxa"/>
            <w:shd w:val="clear" w:color="auto" w:fill="auto"/>
            <w:tcMar>
              <w:top w:w="15" w:type="dxa"/>
              <w:left w:w="15" w:type="dxa"/>
              <w:bottom w:w="15" w:type="dxa"/>
              <w:right w:w="15" w:type="dxa"/>
            </w:tcMar>
            <w:vAlign w:val="center"/>
          </w:tcPr>
          <w:p w14:paraId="6711A672" w14:textId="77777777" w:rsidR="008B1EFF" w:rsidRDefault="0042190C">
            <w:pPr>
              <w:pStyle w:val="a0"/>
              <w:spacing w:line="276" w:lineRule="auto"/>
              <w:jc w:val="center"/>
              <w:rPr>
                <w:sz w:val="22"/>
                <w:szCs w:val="22"/>
              </w:rPr>
            </w:pPr>
            <w:r>
              <w:rPr>
                <w:sz w:val="22"/>
                <w:szCs w:val="22"/>
              </w:rPr>
              <w:t>4 168</w:t>
            </w:r>
          </w:p>
        </w:tc>
      </w:tr>
      <w:tr w:rsidR="008B1EFF" w14:paraId="39278C97" w14:textId="77777777" w:rsidTr="00F74A49">
        <w:tc>
          <w:tcPr>
            <w:tcW w:w="4365" w:type="dxa"/>
            <w:shd w:val="clear" w:color="auto" w:fill="auto"/>
            <w:tcMar>
              <w:top w:w="15" w:type="dxa"/>
              <w:left w:w="15" w:type="dxa"/>
              <w:bottom w:w="15" w:type="dxa"/>
              <w:right w:w="15" w:type="dxa"/>
            </w:tcMar>
            <w:vAlign w:val="center"/>
          </w:tcPr>
          <w:p w14:paraId="36EAA07D" w14:textId="77777777" w:rsidR="008B1EFF" w:rsidRDefault="0042190C">
            <w:pPr>
              <w:pStyle w:val="a0"/>
              <w:spacing w:line="276" w:lineRule="auto"/>
              <w:rPr>
                <w:sz w:val="22"/>
                <w:szCs w:val="22"/>
              </w:rPr>
            </w:pPr>
            <w:r>
              <w:rPr>
                <w:sz w:val="22"/>
                <w:szCs w:val="22"/>
              </w:rPr>
              <w:t>Възобновяеми източници</w:t>
            </w:r>
          </w:p>
        </w:tc>
        <w:tc>
          <w:tcPr>
            <w:tcW w:w="1162" w:type="dxa"/>
            <w:shd w:val="clear" w:color="auto" w:fill="auto"/>
            <w:tcMar>
              <w:top w:w="15" w:type="dxa"/>
              <w:left w:w="15" w:type="dxa"/>
              <w:bottom w:w="15" w:type="dxa"/>
              <w:right w:w="15" w:type="dxa"/>
            </w:tcMar>
            <w:vAlign w:val="center"/>
          </w:tcPr>
          <w:p w14:paraId="621BBDCA" w14:textId="77777777" w:rsidR="008B1EFF" w:rsidRDefault="0042190C">
            <w:pPr>
              <w:pStyle w:val="a0"/>
              <w:spacing w:line="276" w:lineRule="auto"/>
              <w:jc w:val="center"/>
              <w:rPr>
                <w:sz w:val="22"/>
                <w:szCs w:val="22"/>
              </w:rPr>
            </w:pPr>
            <w:r>
              <w:rPr>
                <w:sz w:val="22"/>
                <w:szCs w:val="22"/>
              </w:rPr>
              <w:t>1 860</w:t>
            </w:r>
          </w:p>
        </w:tc>
        <w:tc>
          <w:tcPr>
            <w:tcW w:w="880" w:type="dxa"/>
            <w:shd w:val="clear" w:color="auto" w:fill="auto"/>
            <w:tcMar>
              <w:top w:w="15" w:type="dxa"/>
              <w:left w:w="15" w:type="dxa"/>
              <w:bottom w:w="15" w:type="dxa"/>
              <w:right w:w="15" w:type="dxa"/>
            </w:tcMar>
            <w:vAlign w:val="center"/>
          </w:tcPr>
          <w:p w14:paraId="5D4CDB2D" w14:textId="77777777" w:rsidR="008B1EFF" w:rsidRDefault="0042190C">
            <w:pPr>
              <w:pStyle w:val="a0"/>
              <w:spacing w:line="276" w:lineRule="auto"/>
              <w:jc w:val="center"/>
              <w:rPr>
                <w:sz w:val="22"/>
                <w:szCs w:val="22"/>
              </w:rPr>
            </w:pPr>
            <w:r>
              <w:rPr>
                <w:sz w:val="22"/>
                <w:szCs w:val="22"/>
              </w:rPr>
              <w:t>2 076</w:t>
            </w:r>
          </w:p>
        </w:tc>
        <w:tc>
          <w:tcPr>
            <w:tcW w:w="1014" w:type="dxa"/>
            <w:shd w:val="clear" w:color="auto" w:fill="auto"/>
            <w:tcMar>
              <w:top w:w="15" w:type="dxa"/>
              <w:left w:w="15" w:type="dxa"/>
              <w:bottom w:w="15" w:type="dxa"/>
              <w:right w:w="15" w:type="dxa"/>
            </w:tcMar>
            <w:vAlign w:val="center"/>
          </w:tcPr>
          <w:p w14:paraId="688143A8" w14:textId="77777777" w:rsidR="008B1EFF" w:rsidRDefault="0042190C">
            <w:pPr>
              <w:pStyle w:val="a0"/>
              <w:spacing w:line="276" w:lineRule="auto"/>
              <w:jc w:val="center"/>
              <w:rPr>
                <w:sz w:val="22"/>
                <w:szCs w:val="22"/>
              </w:rPr>
            </w:pPr>
            <w:r>
              <w:rPr>
                <w:sz w:val="22"/>
                <w:szCs w:val="22"/>
              </w:rPr>
              <w:t>2 022</w:t>
            </w:r>
          </w:p>
        </w:tc>
        <w:tc>
          <w:tcPr>
            <w:tcW w:w="880" w:type="dxa"/>
            <w:shd w:val="clear" w:color="auto" w:fill="auto"/>
            <w:tcMar>
              <w:top w:w="15" w:type="dxa"/>
              <w:left w:w="15" w:type="dxa"/>
              <w:bottom w:w="15" w:type="dxa"/>
              <w:right w:w="15" w:type="dxa"/>
            </w:tcMar>
            <w:vAlign w:val="center"/>
          </w:tcPr>
          <w:p w14:paraId="420D7CF7" w14:textId="77777777" w:rsidR="008B1EFF" w:rsidRDefault="0042190C">
            <w:pPr>
              <w:pStyle w:val="a0"/>
              <w:spacing w:line="276" w:lineRule="auto"/>
              <w:jc w:val="center"/>
              <w:rPr>
                <w:sz w:val="22"/>
                <w:szCs w:val="22"/>
              </w:rPr>
            </w:pPr>
            <w:r>
              <w:rPr>
                <w:sz w:val="22"/>
                <w:szCs w:val="22"/>
              </w:rPr>
              <w:t>1 952</w:t>
            </w:r>
          </w:p>
        </w:tc>
        <w:tc>
          <w:tcPr>
            <w:tcW w:w="954" w:type="dxa"/>
            <w:shd w:val="clear" w:color="auto" w:fill="auto"/>
            <w:tcMar>
              <w:top w:w="15" w:type="dxa"/>
              <w:left w:w="15" w:type="dxa"/>
              <w:bottom w:w="15" w:type="dxa"/>
              <w:right w:w="15" w:type="dxa"/>
            </w:tcMar>
            <w:vAlign w:val="center"/>
          </w:tcPr>
          <w:p w14:paraId="1A7FF004" w14:textId="77777777" w:rsidR="008B1EFF" w:rsidRDefault="0042190C">
            <w:pPr>
              <w:pStyle w:val="a0"/>
              <w:spacing w:line="276" w:lineRule="auto"/>
              <w:jc w:val="center"/>
              <w:rPr>
                <w:sz w:val="22"/>
                <w:szCs w:val="22"/>
              </w:rPr>
            </w:pPr>
            <w:r>
              <w:rPr>
                <w:sz w:val="22"/>
                <w:szCs w:val="22"/>
              </w:rPr>
              <w:t>2 520</w:t>
            </w:r>
          </w:p>
        </w:tc>
      </w:tr>
      <w:tr w:rsidR="008B1EFF" w14:paraId="1689EBBB" w14:textId="77777777" w:rsidTr="00F74A49">
        <w:tc>
          <w:tcPr>
            <w:tcW w:w="4365" w:type="dxa"/>
            <w:shd w:val="clear" w:color="auto" w:fill="auto"/>
            <w:tcMar>
              <w:top w:w="15" w:type="dxa"/>
              <w:left w:w="15" w:type="dxa"/>
              <w:bottom w:w="15" w:type="dxa"/>
              <w:right w:w="15" w:type="dxa"/>
            </w:tcMar>
            <w:vAlign w:val="center"/>
          </w:tcPr>
          <w:p w14:paraId="3D494D1B" w14:textId="77777777" w:rsidR="008B1EFF" w:rsidRDefault="0042190C">
            <w:pPr>
              <w:pStyle w:val="a0"/>
              <w:spacing w:line="276" w:lineRule="auto"/>
              <w:rPr>
                <w:sz w:val="22"/>
                <w:szCs w:val="22"/>
              </w:rPr>
            </w:pPr>
            <w:proofErr w:type="spellStart"/>
            <w:r>
              <w:rPr>
                <w:sz w:val="22"/>
                <w:szCs w:val="22"/>
              </w:rPr>
              <w:t>Невъзобновяеми</w:t>
            </w:r>
            <w:proofErr w:type="spellEnd"/>
            <w:r>
              <w:rPr>
                <w:sz w:val="22"/>
                <w:szCs w:val="22"/>
              </w:rPr>
              <w:t xml:space="preserve"> отпадъци</w:t>
            </w:r>
          </w:p>
        </w:tc>
        <w:tc>
          <w:tcPr>
            <w:tcW w:w="1162" w:type="dxa"/>
            <w:shd w:val="clear" w:color="auto" w:fill="auto"/>
            <w:tcMar>
              <w:top w:w="15" w:type="dxa"/>
              <w:left w:w="15" w:type="dxa"/>
              <w:bottom w:w="15" w:type="dxa"/>
              <w:right w:w="15" w:type="dxa"/>
            </w:tcMar>
            <w:vAlign w:val="center"/>
          </w:tcPr>
          <w:p w14:paraId="401FCCE4" w14:textId="77777777" w:rsidR="008B1EFF" w:rsidRDefault="0042190C">
            <w:pPr>
              <w:pStyle w:val="a0"/>
              <w:spacing w:line="276" w:lineRule="auto"/>
              <w:jc w:val="center"/>
              <w:rPr>
                <w:sz w:val="22"/>
                <w:szCs w:val="22"/>
              </w:rPr>
            </w:pPr>
            <w:r>
              <w:rPr>
                <w:sz w:val="22"/>
                <w:szCs w:val="22"/>
              </w:rPr>
              <w:t>13</w:t>
            </w:r>
          </w:p>
        </w:tc>
        <w:tc>
          <w:tcPr>
            <w:tcW w:w="880" w:type="dxa"/>
            <w:shd w:val="clear" w:color="auto" w:fill="auto"/>
            <w:tcMar>
              <w:top w:w="15" w:type="dxa"/>
              <w:left w:w="15" w:type="dxa"/>
              <w:bottom w:w="15" w:type="dxa"/>
              <w:right w:w="15" w:type="dxa"/>
            </w:tcMar>
            <w:vAlign w:val="center"/>
          </w:tcPr>
          <w:p w14:paraId="1F0416A1" w14:textId="77777777" w:rsidR="008B1EFF" w:rsidRDefault="0042190C">
            <w:pPr>
              <w:pStyle w:val="a0"/>
              <w:spacing w:line="276" w:lineRule="auto"/>
              <w:jc w:val="center"/>
              <w:rPr>
                <w:sz w:val="22"/>
                <w:szCs w:val="22"/>
              </w:rPr>
            </w:pPr>
            <w:r>
              <w:rPr>
                <w:sz w:val="22"/>
                <w:szCs w:val="22"/>
              </w:rPr>
              <w:t>18</w:t>
            </w:r>
          </w:p>
        </w:tc>
        <w:tc>
          <w:tcPr>
            <w:tcW w:w="1014" w:type="dxa"/>
            <w:shd w:val="clear" w:color="auto" w:fill="auto"/>
            <w:tcMar>
              <w:top w:w="15" w:type="dxa"/>
              <w:left w:w="15" w:type="dxa"/>
              <w:bottom w:w="15" w:type="dxa"/>
              <w:right w:w="15" w:type="dxa"/>
            </w:tcMar>
            <w:vAlign w:val="center"/>
          </w:tcPr>
          <w:p w14:paraId="7AE4E31F" w14:textId="77777777" w:rsidR="008B1EFF" w:rsidRDefault="0042190C">
            <w:pPr>
              <w:pStyle w:val="a0"/>
              <w:spacing w:line="276" w:lineRule="auto"/>
              <w:jc w:val="center"/>
              <w:rPr>
                <w:sz w:val="22"/>
                <w:szCs w:val="22"/>
              </w:rPr>
            </w:pPr>
            <w:r>
              <w:rPr>
                <w:sz w:val="22"/>
                <w:szCs w:val="22"/>
              </w:rPr>
              <w:t>32</w:t>
            </w:r>
          </w:p>
        </w:tc>
        <w:tc>
          <w:tcPr>
            <w:tcW w:w="880" w:type="dxa"/>
            <w:shd w:val="clear" w:color="auto" w:fill="auto"/>
            <w:tcMar>
              <w:top w:w="15" w:type="dxa"/>
              <w:left w:w="15" w:type="dxa"/>
              <w:bottom w:w="15" w:type="dxa"/>
              <w:right w:w="15" w:type="dxa"/>
            </w:tcMar>
            <w:vAlign w:val="center"/>
          </w:tcPr>
          <w:p w14:paraId="39EA04CA" w14:textId="77777777" w:rsidR="008B1EFF" w:rsidRDefault="0042190C">
            <w:pPr>
              <w:pStyle w:val="a0"/>
              <w:spacing w:line="276" w:lineRule="auto"/>
              <w:jc w:val="center"/>
              <w:rPr>
                <w:sz w:val="22"/>
                <w:szCs w:val="22"/>
              </w:rPr>
            </w:pPr>
            <w:r>
              <w:rPr>
                <w:sz w:val="22"/>
                <w:szCs w:val="22"/>
              </w:rPr>
              <w:t>39</w:t>
            </w:r>
          </w:p>
        </w:tc>
        <w:tc>
          <w:tcPr>
            <w:tcW w:w="954" w:type="dxa"/>
            <w:shd w:val="clear" w:color="auto" w:fill="auto"/>
            <w:tcMar>
              <w:top w:w="15" w:type="dxa"/>
              <w:left w:w="15" w:type="dxa"/>
              <w:bottom w:w="15" w:type="dxa"/>
              <w:right w:w="15" w:type="dxa"/>
            </w:tcMar>
            <w:vAlign w:val="center"/>
          </w:tcPr>
          <w:p w14:paraId="61C67BD8" w14:textId="77777777" w:rsidR="008B1EFF" w:rsidRDefault="0042190C">
            <w:pPr>
              <w:pStyle w:val="a0"/>
              <w:spacing w:line="276" w:lineRule="auto"/>
              <w:jc w:val="center"/>
              <w:rPr>
                <w:sz w:val="22"/>
                <w:szCs w:val="22"/>
              </w:rPr>
            </w:pPr>
            <w:r>
              <w:rPr>
                <w:sz w:val="22"/>
                <w:szCs w:val="22"/>
              </w:rPr>
              <w:t>71</w:t>
            </w:r>
          </w:p>
        </w:tc>
      </w:tr>
      <w:tr w:rsidR="008B1EFF" w14:paraId="5CBE6259" w14:textId="77777777" w:rsidTr="00F74A49">
        <w:tc>
          <w:tcPr>
            <w:tcW w:w="4365" w:type="dxa"/>
            <w:shd w:val="clear" w:color="auto" w:fill="auto"/>
            <w:tcMar>
              <w:top w:w="15" w:type="dxa"/>
              <w:left w:w="15" w:type="dxa"/>
              <w:bottom w:w="15" w:type="dxa"/>
              <w:right w:w="15" w:type="dxa"/>
            </w:tcMar>
            <w:vAlign w:val="center"/>
          </w:tcPr>
          <w:p w14:paraId="44252BBE" w14:textId="77777777" w:rsidR="008B1EFF" w:rsidRDefault="0042190C">
            <w:pPr>
              <w:pStyle w:val="a0"/>
              <w:spacing w:line="276" w:lineRule="auto"/>
              <w:rPr>
                <w:sz w:val="22"/>
                <w:szCs w:val="22"/>
              </w:rPr>
            </w:pPr>
            <w:r>
              <w:rPr>
                <w:sz w:val="22"/>
                <w:szCs w:val="22"/>
              </w:rPr>
              <w:t>Електрическа енергия</w:t>
            </w:r>
          </w:p>
        </w:tc>
        <w:tc>
          <w:tcPr>
            <w:tcW w:w="1162" w:type="dxa"/>
            <w:shd w:val="clear" w:color="auto" w:fill="auto"/>
            <w:tcMar>
              <w:top w:w="15" w:type="dxa"/>
              <w:left w:w="15" w:type="dxa"/>
              <w:bottom w:w="15" w:type="dxa"/>
              <w:right w:w="15" w:type="dxa"/>
            </w:tcMar>
            <w:vAlign w:val="center"/>
          </w:tcPr>
          <w:p w14:paraId="610BE473" w14:textId="77777777" w:rsidR="008B1EFF" w:rsidRDefault="0042190C">
            <w:pPr>
              <w:pStyle w:val="a0"/>
              <w:spacing w:line="276" w:lineRule="auto"/>
              <w:jc w:val="center"/>
              <w:rPr>
                <w:sz w:val="22"/>
                <w:szCs w:val="22"/>
              </w:rPr>
            </w:pPr>
            <w:r>
              <w:rPr>
                <w:sz w:val="22"/>
                <w:szCs w:val="22"/>
              </w:rPr>
              <w:t>-813</w:t>
            </w:r>
          </w:p>
        </w:tc>
        <w:tc>
          <w:tcPr>
            <w:tcW w:w="880" w:type="dxa"/>
            <w:shd w:val="clear" w:color="auto" w:fill="auto"/>
            <w:tcMar>
              <w:top w:w="15" w:type="dxa"/>
              <w:left w:w="15" w:type="dxa"/>
              <w:bottom w:w="15" w:type="dxa"/>
              <w:right w:w="15" w:type="dxa"/>
            </w:tcMar>
            <w:vAlign w:val="center"/>
          </w:tcPr>
          <w:p w14:paraId="2047F41C" w14:textId="77777777" w:rsidR="008B1EFF" w:rsidRDefault="0042190C">
            <w:pPr>
              <w:pStyle w:val="a0"/>
              <w:spacing w:line="276" w:lineRule="auto"/>
              <w:jc w:val="center"/>
              <w:rPr>
                <w:sz w:val="22"/>
                <w:szCs w:val="22"/>
              </w:rPr>
            </w:pPr>
            <w:r>
              <w:rPr>
                <w:sz w:val="22"/>
                <w:szCs w:val="22"/>
              </w:rPr>
              <w:t>-909</w:t>
            </w:r>
          </w:p>
        </w:tc>
        <w:tc>
          <w:tcPr>
            <w:tcW w:w="1014" w:type="dxa"/>
            <w:shd w:val="clear" w:color="auto" w:fill="auto"/>
            <w:tcMar>
              <w:top w:w="15" w:type="dxa"/>
              <w:left w:w="15" w:type="dxa"/>
              <w:bottom w:w="15" w:type="dxa"/>
              <w:right w:w="15" w:type="dxa"/>
            </w:tcMar>
            <w:vAlign w:val="center"/>
          </w:tcPr>
          <w:p w14:paraId="036C91F8" w14:textId="77777777" w:rsidR="008B1EFF" w:rsidRDefault="0042190C">
            <w:pPr>
              <w:pStyle w:val="a0"/>
              <w:spacing w:line="276" w:lineRule="auto"/>
              <w:jc w:val="center"/>
              <w:rPr>
                <w:sz w:val="22"/>
                <w:szCs w:val="22"/>
              </w:rPr>
            </w:pPr>
            <w:r>
              <w:rPr>
                <w:sz w:val="22"/>
                <w:szCs w:val="22"/>
              </w:rPr>
              <w:t>-548</w:t>
            </w:r>
          </w:p>
        </w:tc>
        <w:tc>
          <w:tcPr>
            <w:tcW w:w="880" w:type="dxa"/>
            <w:shd w:val="clear" w:color="auto" w:fill="auto"/>
            <w:tcMar>
              <w:top w:w="15" w:type="dxa"/>
              <w:left w:w="15" w:type="dxa"/>
              <w:bottom w:w="15" w:type="dxa"/>
              <w:right w:w="15" w:type="dxa"/>
            </w:tcMar>
            <w:vAlign w:val="center"/>
          </w:tcPr>
          <w:p w14:paraId="7728889E" w14:textId="77777777" w:rsidR="008B1EFF" w:rsidRDefault="0042190C">
            <w:pPr>
              <w:pStyle w:val="a0"/>
              <w:spacing w:line="276" w:lineRule="auto"/>
              <w:jc w:val="center"/>
              <w:rPr>
                <w:sz w:val="22"/>
                <w:szCs w:val="22"/>
              </w:rPr>
            </w:pPr>
            <w:r>
              <w:rPr>
                <w:sz w:val="22"/>
                <w:szCs w:val="22"/>
              </w:rPr>
              <w:t>-471</w:t>
            </w:r>
          </w:p>
        </w:tc>
        <w:tc>
          <w:tcPr>
            <w:tcW w:w="954" w:type="dxa"/>
            <w:shd w:val="clear" w:color="auto" w:fill="auto"/>
            <w:tcMar>
              <w:top w:w="15" w:type="dxa"/>
              <w:left w:w="15" w:type="dxa"/>
              <w:bottom w:w="15" w:type="dxa"/>
              <w:right w:w="15" w:type="dxa"/>
            </w:tcMar>
            <w:vAlign w:val="center"/>
          </w:tcPr>
          <w:p w14:paraId="690E1812" w14:textId="77777777" w:rsidR="008B1EFF" w:rsidRDefault="0042190C">
            <w:pPr>
              <w:pStyle w:val="a0"/>
              <w:spacing w:line="276" w:lineRule="auto"/>
              <w:jc w:val="center"/>
              <w:rPr>
                <w:sz w:val="22"/>
                <w:szCs w:val="22"/>
              </w:rPr>
            </w:pPr>
            <w:r>
              <w:rPr>
                <w:sz w:val="22"/>
                <w:szCs w:val="22"/>
              </w:rPr>
              <w:t>-671</w:t>
            </w:r>
          </w:p>
        </w:tc>
      </w:tr>
      <w:tr w:rsidR="008B1EFF" w14:paraId="2EA3E99B" w14:textId="77777777" w:rsidTr="00F74A49">
        <w:tc>
          <w:tcPr>
            <w:tcW w:w="4365" w:type="dxa"/>
            <w:shd w:val="clear" w:color="auto" w:fill="auto"/>
            <w:tcMar>
              <w:top w:w="15" w:type="dxa"/>
              <w:left w:w="15" w:type="dxa"/>
              <w:bottom w:w="15" w:type="dxa"/>
              <w:right w:w="15" w:type="dxa"/>
            </w:tcMar>
            <w:vAlign w:val="center"/>
          </w:tcPr>
          <w:p w14:paraId="0ECFDB2F" w14:textId="77777777" w:rsidR="008B1EFF" w:rsidRDefault="0042190C">
            <w:pPr>
              <w:pStyle w:val="a0"/>
              <w:spacing w:line="276" w:lineRule="auto"/>
            </w:pPr>
            <w:r>
              <w:rPr>
                <w:rStyle w:val="a1"/>
                <w:b/>
                <w:bCs/>
                <w:sz w:val="22"/>
                <w:szCs w:val="22"/>
              </w:rPr>
              <w:t>Брутно вътрешно потребление на енергия</w:t>
            </w:r>
          </w:p>
        </w:tc>
        <w:tc>
          <w:tcPr>
            <w:tcW w:w="1162" w:type="dxa"/>
            <w:shd w:val="clear" w:color="auto" w:fill="auto"/>
            <w:noWrap/>
            <w:tcMar>
              <w:top w:w="15" w:type="dxa"/>
              <w:left w:w="15" w:type="dxa"/>
              <w:bottom w:w="15" w:type="dxa"/>
              <w:right w:w="15" w:type="dxa"/>
            </w:tcMar>
            <w:vAlign w:val="center"/>
          </w:tcPr>
          <w:p w14:paraId="57184E4C" w14:textId="77777777" w:rsidR="008B1EFF" w:rsidRDefault="0042190C">
            <w:pPr>
              <w:pStyle w:val="a0"/>
              <w:spacing w:line="276" w:lineRule="auto"/>
              <w:jc w:val="center"/>
            </w:pPr>
            <w:r>
              <w:rPr>
                <w:rStyle w:val="a1"/>
                <w:b/>
                <w:bCs/>
                <w:sz w:val="22"/>
                <w:szCs w:val="22"/>
              </w:rPr>
              <w:t>17 840</w:t>
            </w:r>
          </w:p>
        </w:tc>
        <w:tc>
          <w:tcPr>
            <w:tcW w:w="880" w:type="dxa"/>
            <w:shd w:val="clear" w:color="auto" w:fill="auto"/>
            <w:noWrap/>
            <w:tcMar>
              <w:top w:w="15" w:type="dxa"/>
              <w:left w:w="15" w:type="dxa"/>
              <w:bottom w:w="15" w:type="dxa"/>
              <w:right w:w="15" w:type="dxa"/>
            </w:tcMar>
            <w:vAlign w:val="center"/>
          </w:tcPr>
          <w:p w14:paraId="5A80AA9A" w14:textId="77777777" w:rsidR="008B1EFF" w:rsidRDefault="0042190C">
            <w:pPr>
              <w:pStyle w:val="a0"/>
              <w:spacing w:line="276" w:lineRule="auto"/>
              <w:jc w:val="center"/>
            </w:pPr>
            <w:r>
              <w:rPr>
                <w:rStyle w:val="a1"/>
                <w:b/>
                <w:bCs/>
                <w:sz w:val="22"/>
                <w:szCs w:val="22"/>
              </w:rPr>
              <w:t>18 643</w:t>
            </w:r>
          </w:p>
        </w:tc>
        <w:tc>
          <w:tcPr>
            <w:tcW w:w="1014" w:type="dxa"/>
            <w:shd w:val="clear" w:color="auto" w:fill="auto"/>
            <w:noWrap/>
            <w:tcMar>
              <w:top w:w="15" w:type="dxa"/>
              <w:left w:w="15" w:type="dxa"/>
              <w:bottom w:w="15" w:type="dxa"/>
              <w:right w:w="15" w:type="dxa"/>
            </w:tcMar>
            <w:vAlign w:val="center"/>
          </w:tcPr>
          <w:p w14:paraId="151DAC7E" w14:textId="77777777" w:rsidR="008B1EFF" w:rsidRDefault="0042190C">
            <w:pPr>
              <w:pStyle w:val="a0"/>
              <w:spacing w:line="276" w:lineRule="auto"/>
              <w:jc w:val="center"/>
            </w:pPr>
            <w:r>
              <w:rPr>
                <w:rStyle w:val="a1"/>
                <w:b/>
                <w:bCs/>
                <w:sz w:val="22"/>
                <w:szCs w:val="22"/>
              </w:rPr>
              <w:t>18 254</w:t>
            </w:r>
          </w:p>
        </w:tc>
        <w:tc>
          <w:tcPr>
            <w:tcW w:w="880" w:type="dxa"/>
            <w:shd w:val="clear" w:color="auto" w:fill="auto"/>
            <w:noWrap/>
            <w:tcMar>
              <w:top w:w="15" w:type="dxa"/>
              <w:left w:w="15" w:type="dxa"/>
              <w:bottom w:w="15" w:type="dxa"/>
              <w:right w:w="15" w:type="dxa"/>
            </w:tcMar>
            <w:vAlign w:val="center"/>
          </w:tcPr>
          <w:p w14:paraId="2E6F0962" w14:textId="77777777" w:rsidR="008B1EFF" w:rsidRDefault="0042190C">
            <w:pPr>
              <w:pStyle w:val="a0"/>
              <w:spacing w:line="276" w:lineRule="auto"/>
              <w:jc w:val="center"/>
            </w:pPr>
            <w:r>
              <w:rPr>
                <w:rStyle w:val="a1"/>
                <w:b/>
                <w:bCs/>
                <w:sz w:val="22"/>
                <w:szCs w:val="22"/>
              </w:rPr>
              <w:t>18 899</w:t>
            </w:r>
          </w:p>
        </w:tc>
        <w:tc>
          <w:tcPr>
            <w:tcW w:w="954" w:type="dxa"/>
            <w:shd w:val="clear" w:color="auto" w:fill="auto"/>
            <w:noWrap/>
            <w:tcMar>
              <w:top w:w="15" w:type="dxa"/>
              <w:left w:w="15" w:type="dxa"/>
              <w:bottom w:w="15" w:type="dxa"/>
              <w:right w:w="15" w:type="dxa"/>
            </w:tcMar>
            <w:vAlign w:val="center"/>
          </w:tcPr>
          <w:p w14:paraId="74C7C380" w14:textId="77777777" w:rsidR="008B1EFF" w:rsidRDefault="0042190C">
            <w:pPr>
              <w:pStyle w:val="a0"/>
              <w:spacing w:line="276" w:lineRule="auto"/>
              <w:jc w:val="center"/>
            </w:pPr>
            <w:r>
              <w:rPr>
                <w:rStyle w:val="a1"/>
                <w:b/>
                <w:bCs/>
                <w:sz w:val="22"/>
                <w:szCs w:val="22"/>
              </w:rPr>
              <w:t>18 945</w:t>
            </w:r>
          </w:p>
        </w:tc>
      </w:tr>
    </w:tbl>
    <w:p w14:paraId="6145AC8F" w14:textId="77777777" w:rsidR="008B1EFF" w:rsidRDefault="0042190C">
      <w:pPr>
        <w:pStyle w:val="a0"/>
        <w:spacing w:before="120" w:line="276" w:lineRule="auto"/>
      </w:pPr>
      <w:r>
        <w:rPr>
          <w:rStyle w:val="a1"/>
          <w:i/>
          <w:iCs/>
        </w:rPr>
        <w:t>Източник на данни: НСИ</w:t>
      </w:r>
    </w:p>
    <w:p w14:paraId="48F9CE34" w14:textId="10EB230B" w:rsidR="008B1EFF" w:rsidRPr="002E54A0" w:rsidRDefault="0042190C">
      <w:pPr>
        <w:pStyle w:val="a0"/>
        <w:spacing w:before="120" w:after="120" w:line="264" w:lineRule="auto"/>
        <w:jc w:val="both"/>
        <w:rPr>
          <w:sz w:val="22"/>
          <w:szCs w:val="22"/>
        </w:rPr>
      </w:pPr>
      <w:r w:rsidRPr="002E54A0">
        <w:rPr>
          <w:sz w:val="22"/>
          <w:szCs w:val="22"/>
        </w:rPr>
        <w:t>През 2018 г. брутното вътрешно потребление на енергия от „въглища и горива от тях“ и „нефт и нефтопродукти“ бележи леко намаление в сравнение с 2017</w:t>
      </w:r>
      <w:r w:rsidR="00D02689">
        <w:rPr>
          <w:sz w:val="22"/>
          <w:szCs w:val="22"/>
        </w:rPr>
        <w:t xml:space="preserve"> </w:t>
      </w:r>
      <w:r w:rsidRPr="002E54A0">
        <w:rPr>
          <w:sz w:val="22"/>
          <w:szCs w:val="22"/>
        </w:rPr>
        <w:t xml:space="preserve">г. и достига 10 245 </w:t>
      </w:r>
      <w:proofErr w:type="spellStart"/>
      <w:r w:rsidRPr="002E54A0">
        <w:rPr>
          <w:rStyle w:val="a1"/>
          <w:bCs/>
          <w:sz w:val="22"/>
          <w:szCs w:val="22"/>
        </w:rPr>
        <w:t>ktoe</w:t>
      </w:r>
      <w:proofErr w:type="spellEnd"/>
      <w:r w:rsidRPr="002E54A0">
        <w:rPr>
          <w:rStyle w:val="a1"/>
          <w:bCs/>
          <w:sz w:val="22"/>
          <w:szCs w:val="22"/>
        </w:rPr>
        <w:t>, но продължава да формира основен дял в брутното вътрешно потребление на енергия в страната</w:t>
      </w:r>
      <w:r w:rsidRPr="002E54A0">
        <w:rPr>
          <w:sz w:val="22"/>
          <w:szCs w:val="22"/>
        </w:rPr>
        <w:t xml:space="preserve"> от 51,7%. </w:t>
      </w:r>
    </w:p>
    <w:p w14:paraId="32687C14" w14:textId="77777777" w:rsidR="008B1EFF" w:rsidRPr="002E54A0" w:rsidRDefault="0042190C">
      <w:pPr>
        <w:pStyle w:val="a0"/>
        <w:spacing w:before="120" w:after="120" w:line="264" w:lineRule="auto"/>
        <w:jc w:val="both"/>
        <w:rPr>
          <w:sz w:val="22"/>
          <w:szCs w:val="22"/>
        </w:rPr>
      </w:pPr>
      <w:r w:rsidRPr="002E54A0">
        <w:rPr>
          <w:rStyle w:val="a1"/>
          <w:bCs/>
          <w:sz w:val="22"/>
          <w:szCs w:val="22"/>
        </w:rPr>
        <w:t xml:space="preserve">През 2018 г. брутното вътрешно потребление на енергия от ВЕИ достигна 2 520.1 </w:t>
      </w:r>
      <w:proofErr w:type="spellStart"/>
      <w:r w:rsidRPr="002E54A0">
        <w:rPr>
          <w:rStyle w:val="a1"/>
          <w:bCs/>
          <w:sz w:val="22"/>
          <w:szCs w:val="22"/>
        </w:rPr>
        <w:t>ktoe</w:t>
      </w:r>
      <w:proofErr w:type="spellEnd"/>
      <w:r w:rsidRPr="002E54A0">
        <w:rPr>
          <w:rStyle w:val="a1"/>
          <w:bCs/>
          <w:sz w:val="22"/>
          <w:szCs w:val="22"/>
        </w:rPr>
        <w:t>, като формира дял от 13,3% в брутното вътрешно потребление на енергия в страната. В сравнение с 2017 г. брутното вътрешно потребление на енергия от ВИ през 2018 г. се е увеличило с 29.1%.</w:t>
      </w:r>
      <w:r w:rsidRPr="002E54A0">
        <w:rPr>
          <w:sz w:val="22"/>
          <w:szCs w:val="22"/>
        </w:rPr>
        <w:t xml:space="preserve"> </w:t>
      </w:r>
    </w:p>
    <w:p w14:paraId="6D6CE746" w14:textId="77777777" w:rsidR="008B1EFF" w:rsidRPr="002E54A0" w:rsidRDefault="0042190C" w:rsidP="00D02689">
      <w:pPr>
        <w:pStyle w:val="a0"/>
        <w:spacing w:before="120" w:after="120" w:line="264" w:lineRule="auto"/>
        <w:jc w:val="both"/>
        <w:rPr>
          <w:sz w:val="22"/>
          <w:szCs w:val="22"/>
        </w:rPr>
      </w:pPr>
      <w:r w:rsidRPr="002E54A0">
        <w:rPr>
          <w:sz w:val="22"/>
          <w:szCs w:val="22"/>
        </w:rPr>
        <w:t xml:space="preserve">По данни на НСИ, брутното вътрешно енергийно потребление на човек от населението в Република България нараства до 2.70 </w:t>
      </w:r>
      <w:proofErr w:type="spellStart"/>
      <w:r w:rsidRPr="002E54A0">
        <w:rPr>
          <w:sz w:val="22"/>
          <w:szCs w:val="22"/>
        </w:rPr>
        <w:t>toe</w:t>
      </w:r>
      <w:proofErr w:type="spellEnd"/>
      <w:r w:rsidRPr="002E54A0">
        <w:rPr>
          <w:sz w:val="22"/>
          <w:szCs w:val="22"/>
        </w:rPr>
        <w:t xml:space="preserve"> през 2018 г., като през 2014 г. е 2.47 </w:t>
      </w:r>
      <w:proofErr w:type="spellStart"/>
      <w:r w:rsidRPr="002E54A0">
        <w:rPr>
          <w:sz w:val="22"/>
          <w:szCs w:val="22"/>
        </w:rPr>
        <w:t>toe</w:t>
      </w:r>
      <w:proofErr w:type="spellEnd"/>
      <w:r w:rsidRPr="002E54A0">
        <w:rPr>
          <w:sz w:val="22"/>
          <w:szCs w:val="22"/>
        </w:rPr>
        <w:t>.</w:t>
      </w:r>
    </w:p>
    <w:p w14:paraId="05F16ABC" w14:textId="77777777" w:rsidR="008B1EFF" w:rsidRPr="002E54A0" w:rsidRDefault="0042190C">
      <w:pPr>
        <w:pStyle w:val="a0"/>
        <w:spacing w:before="120" w:line="276" w:lineRule="auto"/>
        <w:jc w:val="both"/>
        <w:rPr>
          <w:sz w:val="22"/>
          <w:szCs w:val="22"/>
        </w:rPr>
      </w:pPr>
      <w:r w:rsidRPr="002E54A0">
        <w:rPr>
          <w:rStyle w:val="a1"/>
          <w:b/>
          <w:bCs/>
          <w:sz w:val="22"/>
          <w:szCs w:val="22"/>
        </w:rPr>
        <w:t>Енергийно потребление от възобновяеми енергийни източници</w:t>
      </w:r>
    </w:p>
    <w:p w14:paraId="19985CFB" w14:textId="77777777" w:rsidR="008B1EFF" w:rsidRDefault="0042190C">
      <w:pPr>
        <w:pStyle w:val="a0"/>
        <w:spacing w:before="120" w:line="276" w:lineRule="auto"/>
        <w:jc w:val="both"/>
        <w:rPr>
          <w:rStyle w:val="a1"/>
          <w:bCs/>
          <w:sz w:val="22"/>
          <w:szCs w:val="22"/>
        </w:rPr>
      </w:pPr>
      <w:r w:rsidRPr="002E54A0">
        <w:rPr>
          <w:rStyle w:val="a1"/>
          <w:bCs/>
          <w:sz w:val="22"/>
          <w:szCs w:val="22"/>
        </w:rPr>
        <w:t xml:space="preserve">През 2018 г. </w:t>
      </w:r>
      <w:r w:rsidRPr="002E54A0">
        <w:rPr>
          <w:rStyle w:val="a1"/>
          <w:b/>
          <w:bCs/>
          <w:sz w:val="22"/>
          <w:szCs w:val="22"/>
        </w:rPr>
        <w:t>брутното крайно потребление на енергия от ВЕИ</w:t>
      </w:r>
      <w:r w:rsidRPr="002E54A0">
        <w:rPr>
          <w:rStyle w:val="a1"/>
          <w:bCs/>
          <w:sz w:val="22"/>
          <w:szCs w:val="22"/>
        </w:rPr>
        <w:t xml:space="preserve"> достига 2 230,1 </w:t>
      </w:r>
      <w:proofErr w:type="spellStart"/>
      <w:r w:rsidRPr="002E54A0">
        <w:rPr>
          <w:rStyle w:val="a1"/>
          <w:bCs/>
          <w:sz w:val="22"/>
          <w:szCs w:val="22"/>
        </w:rPr>
        <w:t>ktoe</w:t>
      </w:r>
      <w:proofErr w:type="spellEnd"/>
      <w:r w:rsidRPr="002E54A0">
        <w:rPr>
          <w:rStyle w:val="a1"/>
          <w:bCs/>
          <w:sz w:val="22"/>
          <w:szCs w:val="22"/>
        </w:rPr>
        <w:t>, като формира дел на енергията от възобновяеми източници в брутното крайно потребление на енергия в размер на 20,53 %. Постигнатият дял на енергията от ВЕИ в брутното крайно потребление на енергия надхвърля с повече от 4 процентни пункта задължителната национална цел от 16 % за 2020 г.  </w:t>
      </w:r>
    </w:p>
    <w:p w14:paraId="35910CC0" w14:textId="77777777" w:rsidR="008059A7" w:rsidRPr="002E54A0" w:rsidRDefault="008059A7">
      <w:pPr>
        <w:pStyle w:val="a0"/>
        <w:spacing w:before="120" w:line="276" w:lineRule="auto"/>
        <w:jc w:val="both"/>
        <w:rPr>
          <w:sz w:val="22"/>
          <w:szCs w:val="22"/>
        </w:rPr>
      </w:pPr>
    </w:p>
    <w:p w14:paraId="0533C2E2" w14:textId="6449A944" w:rsidR="008B1EFF" w:rsidRPr="008059A7" w:rsidRDefault="008059A7" w:rsidP="008059A7">
      <w:pPr>
        <w:pStyle w:val="Caption"/>
        <w:rPr>
          <w:rFonts w:ascii="Times New Roman" w:eastAsia="Times New Roman" w:hAnsi="Times New Roman"/>
          <w:b w:val="0"/>
          <w:i/>
          <w:noProof/>
          <w:color w:val="auto"/>
          <w:sz w:val="22"/>
          <w:szCs w:val="22"/>
          <w:lang w:val="bg-BG" w:eastAsia="bg-BG"/>
        </w:rPr>
      </w:pPr>
      <w:bookmarkStart w:id="58" w:name="_Toc71527459"/>
      <w:bookmarkStart w:id="59" w:name="_Toc72910352"/>
      <w:r w:rsidRPr="008059A7">
        <w:rPr>
          <w:rFonts w:ascii="Times New Roman" w:eastAsia="Times New Roman" w:hAnsi="Times New Roman"/>
          <w:b w:val="0"/>
          <w:i/>
          <w:noProof/>
          <w:color w:val="auto"/>
          <w:sz w:val="22"/>
          <w:szCs w:val="22"/>
          <w:lang w:val="bg-BG" w:eastAsia="bg-BG"/>
        </w:rPr>
        <w:t xml:space="preserve">Таблица  </w:t>
      </w:r>
      <w:r w:rsidRPr="008059A7">
        <w:rPr>
          <w:rFonts w:ascii="Times New Roman" w:eastAsia="Times New Roman" w:hAnsi="Times New Roman"/>
          <w:b w:val="0"/>
          <w:i/>
          <w:noProof/>
          <w:color w:val="auto"/>
          <w:sz w:val="22"/>
          <w:szCs w:val="22"/>
          <w:lang w:val="bg-BG" w:eastAsia="bg-BG"/>
        </w:rPr>
        <w:fldChar w:fldCharType="begin"/>
      </w:r>
      <w:r w:rsidRPr="008059A7">
        <w:rPr>
          <w:rFonts w:ascii="Times New Roman" w:eastAsia="Times New Roman" w:hAnsi="Times New Roman"/>
          <w:b w:val="0"/>
          <w:i/>
          <w:noProof/>
          <w:color w:val="auto"/>
          <w:sz w:val="22"/>
          <w:szCs w:val="22"/>
          <w:lang w:val="bg-BG" w:eastAsia="bg-BG"/>
        </w:rPr>
        <w:instrText xml:space="preserve"> SEQ Таблица_ \* ARABIC </w:instrText>
      </w:r>
      <w:r w:rsidRPr="008059A7">
        <w:rPr>
          <w:rFonts w:ascii="Times New Roman" w:eastAsia="Times New Roman" w:hAnsi="Times New Roman"/>
          <w:b w:val="0"/>
          <w:i/>
          <w:noProof/>
          <w:color w:val="auto"/>
          <w:sz w:val="22"/>
          <w:szCs w:val="22"/>
          <w:lang w:val="bg-BG" w:eastAsia="bg-BG"/>
        </w:rPr>
        <w:fldChar w:fldCharType="separate"/>
      </w:r>
      <w:r>
        <w:rPr>
          <w:rFonts w:ascii="Times New Roman" w:eastAsia="Times New Roman" w:hAnsi="Times New Roman"/>
          <w:b w:val="0"/>
          <w:i/>
          <w:noProof/>
          <w:color w:val="auto"/>
          <w:sz w:val="22"/>
          <w:szCs w:val="22"/>
          <w:lang w:val="bg-BG" w:eastAsia="bg-BG"/>
        </w:rPr>
        <w:t>4</w:t>
      </w:r>
      <w:r w:rsidRPr="008059A7">
        <w:rPr>
          <w:rFonts w:ascii="Times New Roman" w:eastAsia="Times New Roman" w:hAnsi="Times New Roman"/>
          <w:b w:val="0"/>
          <w:i/>
          <w:noProof/>
          <w:color w:val="auto"/>
          <w:sz w:val="22"/>
          <w:szCs w:val="22"/>
          <w:lang w:val="bg-BG" w:eastAsia="bg-BG"/>
        </w:rPr>
        <w:fldChar w:fldCharType="end"/>
      </w:r>
      <w:r w:rsidR="0042190C" w:rsidRPr="008059A7">
        <w:rPr>
          <w:rFonts w:ascii="Times New Roman" w:eastAsia="Times New Roman" w:hAnsi="Times New Roman"/>
          <w:b w:val="0"/>
          <w:i/>
          <w:noProof/>
          <w:color w:val="auto"/>
          <w:sz w:val="22"/>
          <w:szCs w:val="22"/>
          <w:lang w:val="bg-BG" w:eastAsia="bg-BG"/>
        </w:rPr>
        <w:t> Дял на енергията от възобновяеми източници в брутно крайно потребление на енергия (БКПЕ) през периода 2010 – 2018 г.</w:t>
      </w:r>
      <w:bookmarkEnd w:id="58"/>
      <w:bookmarkEnd w:id="59"/>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935"/>
        <w:gridCol w:w="848"/>
        <w:gridCol w:w="848"/>
        <w:gridCol w:w="848"/>
        <w:gridCol w:w="848"/>
        <w:gridCol w:w="848"/>
        <w:gridCol w:w="966"/>
        <w:gridCol w:w="966"/>
        <w:gridCol w:w="848"/>
        <w:gridCol w:w="968"/>
      </w:tblGrid>
      <w:tr w:rsidR="008B1EFF" w14:paraId="33D946ED" w14:textId="77777777" w:rsidTr="00F74A49">
        <w:tc>
          <w:tcPr>
            <w:tcW w:w="1935" w:type="dxa"/>
            <w:shd w:val="clear" w:color="auto" w:fill="auto"/>
            <w:tcMar>
              <w:top w:w="15" w:type="dxa"/>
              <w:left w:w="15" w:type="dxa"/>
              <w:bottom w:w="15" w:type="dxa"/>
              <w:right w:w="15" w:type="dxa"/>
            </w:tcMar>
            <w:vAlign w:val="center"/>
          </w:tcPr>
          <w:p w14:paraId="2DC80655" w14:textId="77777777" w:rsidR="008B1EFF" w:rsidRPr="008059A7" w:rsidRDefault="008B1EFF">
            <w:pPr>
              <w:pStyle w:val="a0"/>
              <w:spacing w:before="120" w:line="276" w:lineRule="auto"/>
              <w:rPr>
                <w:sz w:val="22"/>
                <w:szCs w:val="22"/>
              </w:rPr>
            </w:pPr>
          </w:p>
        </w:tc>
        <w:tc>
          <w:tcPr>
            <w:tcW w:w="848" w:type="dxa"/>
            <w:shd w:val="clear" w:color="auto" w:fill="auto"/>
            <w:tcMar>
              <w:top w:w="15" w:type="dxa"/>
              <w:left w:w="15" w:type="dxa"/>
              <w:bottom w:w="15" w:type="dxa"/>
              <w:right w:w="15" w:type="dxa"/>
            </w:tcMar>
            <w:vAlign w:val="center"/>
          </w:tcPr>
          <w:p w14:paraId="6DA7C77D" w14:textId="77777777" w:rsidR="008B1EFF" w:rsidRPr="008059A7" w:rsidRDefault="0042190C">
            <w:pPr>
              <w:pStyle w:val="a0"/>
              <w:spacing w:before="120" w:line="276" w:lineRule="auto"/>
              <w:rPr>
                <w:sz w:val="22"/>
                <w:szCs w:val="22"/>
              </w:rPr>
            </w:pPr>
            <w:r w:rsidRPr="008059A7">
              <w:rPr>
                <w:rStyle w:val="a1"/>
                <w:b/>
                <w:bCs/>
                <w:sz w:val="22"/>
                <w:szCs w:val="22"/>
              </w:rPr>
              <w:t>2010</w:t>
            </w:r>
          </w:p>
        </w:tc>
        <w:tc>
          <w:tcPr>
            <w:tcW w:w="848" w:type="dxa"/>
            <w:shd w:val="clear" w:color="auto" w:fill="auto"/>
            <w:tcMar>
              <w:top w:w="15" w:type="dxa"/>
              <w:left w:w="15" w:type="dxa"/>
              <w:bottom w:w="15" w:type="dxa"/>
              <w:right w:w="15" w:type="dxa"/>
            </w:tcMar>
            <w:vAlign w:val="center"/>
          </w:tcPr>
          <w:p w14:paraId="589CF3BB" w14:textId="77777777" w:rsidR="008B1EFF" w:rsidRPr="008059A7" w:rsidRDefault="0042190C">
            <w:pPr>
              <w:pStyle w:val="a0"/>
              <w:spacing w:before="120" w:line="276" w:lineRule="auto"/>
              <w:rPr>
                <w:sz w:val="22"/>
                <w:szCs w:val="22"/>
              </w:rPr>
            </w:pPr>
            <w:r w:rsidRPr="008059A7">
              <w:rPr>
                <w:rStyle w:val="a1"/>
                <w:b/>
                <w:bCs/>
                <w:sz w:val="22"/>
                <w:szCs w:val="22"/>
              </w:rPr>
              <w:t>2011</w:t>
            </w:r>
          </w:p>
        </w:tc>
        <w:tc>
          <w:tcPr>
            <w:tcW w:w="848" w:type="dxa"/>
            <w:shd w:val="clear" w:color="auto" w:fill="auto"/>
            <w:tcMar>
              <w:top w:w="15" w:type="dxa"/>
              <w:left w:w="15" w:type="dxa"/>
              <w:bottom w:w="15" w:type="dxa"/>
              <w:right w:w="15" w:type="dxa"/>
            </w:tcMar>
            <w:vAlign w:val="center"/>
          </w:tcPr>
          <w:p w14:paraId="183F2760" w14:textId="77777777" w:rsidR="008B1EFF" w:rsidRPr="008059A7" w:rsidRDefault="0042190C">
            <w:pPr>
              <w:pStyle w:val="a0"/>
              <w:spacing w:before="120" w:line="276" w:lineRule="auto"/>
              <w:rPr>
                <w:sz w:val="22"/>
                <w:szCs w:val="22"/>
              </w:rPr>
            </w:pPr>
            <w:r w:rsidRPr="008059A7">
              <w:rPr>
                <w:rStyle w:val="a1"/>
                <w:b/>
                <w:bCs/>
                <w:sz w:val="22"/>
                <w:szCs w:val="22"/>
              </w:rPr>
              <w:t>2012</w:t>
            </w:r>
          </w:p>
        </w:tc>
        <w:tc>
          <w:tcPr>
            <w:tcW w:w="848" w:type="dxa"/>
            <w:shd w:val="clear" w:color="auto" w:fill="auto"/>
            <w:tcMar>
              <w:top w:w="15" w:type="dxa"/>
              <w:left w:w="15" w:type="dxa"/>
              <w:bottom w:w="15" w:type="dxa"/>
              <w:right w:w="15" w:type="dxa"/>
            </w:tcMar>
            <w:vAlign w:val="center"/>
          </w:tcPr>
          <w:p w14:paraId="49D64A91" w14:textId="77777777" w:rsidR="008B1EFF" w:rsidRPr="008059A7" w:rsidRDefault="0042190C">
            <w:pPr>
              <w:pStyle w:val="a0"/>
              <w:spacing w:before="120" w:line="276" w:lineRule="auto"/>
              <w:rPr>
                <w:sz w:val="22"/>
                <w:szCs w:val="22"/>
              </w:rPr>
            </w:pPr>
            <w:r w:rsidRPr="008059A7">
              <w:rPr>
                <w:rStyle w:val="a1"/>
                <w:b/>
                <w:bCs/>
                <w:sz w:val="22"/>
                <w:szCs w:val="22"/>
              </w:rPr>
              <w:t>2013</w:t>
            </w:r>
          </w:p>
        </w:tc>
        <w:tc>
          <w:tcPr>
            <w:tcW w:w="848" w:type="dxa"/>
            <w:shd w:val="clear" w:color="auto" w:fill="auto"/>
            <w:tcMar>
              <w:top w:w="15" w:type="dxa"/>
              <w:left w:w="15" w:type="dxa"/>
              <w:bottom w:w="15" w:type="dxa"/>
              <w:right w:w="15" w:type="dxa"/>
            </w:tcMar>
            <w:vAlign w:val="center"/>
          </w:tcPr>
          <w:p w14:paraId="3CF77B76" w14:textId="77777777" w:rsidR="008B1EFF" w:rsidRPr="008059A7" w:rsidRDefault="0042190C">
            <w:pPr>
              <w:pStyle w:val="a0"/>
              <w:spacing w:before="120" w:line="276" w:lineRule="auto"/>
              <w:rPr>
                <w:sz w:val="22"/>
                <w:szCs w:val="22"/>
              </w:rPr>
            </w:pPr>
            <w:r w:rsidRPr="008059A7">
              <w:rPr>
                <w:rStyle w:val="a1"/>
                <w:b/>
                <w:bCs/>
                <w:sz w:val="22"/>
                <w:szCs w:val="22"/>
              </w:rPr>
              <w:t>2014</w:t>
            </w:r>
          </w:p>
        </w:tc>
        <w:tc>
          <w:tcPr>
            <w:tcW w:w="966" w:type="dxa"/>
            <w:shd w:val="clear" w:color="auto" w:fill="auto"/>
            <w:tcMar>
              <w:top w:w="15" w:type="dxa"/>
              <w:left w:w="15" w:type="dxa"/>
              <w:bottom w:w="15" w:type="dxa"/>
              <w:right w:w="15" w:type="dxa"/>
            </w:tcMar>
            <w:vAlign w:val="center"/>
          </w:tcPr>
          <w:p w14:paraId="7D482F16" w14:textId="77777777" w:rsidR="008B1EFF" w:rsidRPr="008059A7" w:rsidRDefault="0042190C">
            <w:pPr>
              <w:pStyle w:val="a0"/>
              <w:spacing w:before="120" w:line="276" w:lineRule="auto"/>
              <w:rPr>
                <w:sz w:val="22"/>
                <w:szCs w:val="22"/>
              </w:rPr>
            </w:pPr>
            <w:r w:rsidRPr="008059A7">
              <w:rPr>
                <w:rStyle w:val="a1"/>
                <w:b/>
                <w:bCs/>
                <w:sz w:val="22"/>
                <w:szCs w:val="22"/>
              </w:rPr>
              <w:t>2015</w:t>
            </w:r>
          </w:p>
        </w:tc>
        <w:tc>
          <w:tcPr>
            <w:tcW w:w="966" w:type="dxa"/>
            <w:shd w:val="clear" w:color="auto" w:fill="auto"/>
            <w:tcMar>
              <w:top w:w="15" w:type="dxa"/>
              <w:left w:w="15" w:type="dxa"/>
              <w:bottom w:w="15" w:type="dxa"/>
              <w:right w:w="15" w:type="dxa"/>
            </w:tcMar>
            <w:vAlign w:val="center"/>
          </w:tcPr>
          <w:p w14:paraId="55435B4C" w14:textId="77777777" w:rsidR="008B1EFF" w:rsidRPr="008059A7" w:rsidRDefault="0042190C">
            <w:pPr>
              <w:pStyle w:val="a0"/>
              <w:spacing w:before="120" w:line="276" w:lineRule="auto"/>
              <w:rPr>
                <w:sz w:val="22"/>
                <w:szCs w:val="22"/>
              </w:rPr>
            </w:pPr>
            <w:r w:rsidRPr="008059A7">
              <w:rPr>
                <w:rStyle w:val="a1"/>
                <w:b/>
                <w:bCs/>
                <w:sz w:val="22"/>
                <w:szCs w:val="22"/>
              </w:rPr>
              <w:t>2016</w:t>
            </w:r>
          </w:p>
        </w:tc>
        <w:tc>
          <w:tcPr>
            <w:tcW w:w="848" w:type="dxa"/>
            <w:shd w:val="clear" w:color="auto" w:fill="auto"/>
            <w:tcMar>
              <w:top w:w="15" w:type="dxa"/>
              <w:left w:w="15" w:type="dxa"/>
              <w:bottom w:w="15" w:type="dxa"/>
              <w:right w:w="15" w:type="dxa"/>
            </w:tcMar>
            <w:vAlign w:val="center"/>
          </w:tcPr>
          <w:p w14:paraId="141259A4" w14:textId="77777777" w:rsidR="008B1EFF" w:rsidRPr="008059A7" w:rsidRDefault="0042190C">
            <w:pPr>
              <w:pStyle w:val="a0"/>
              <w:spacing w:before="120" w:line="276" w:lineRule="auto"/>
              <w:rPr>
                <w:sz w:val="22"/>
                <w:szCs w:val="22"/>
              </w:rPr>
            </w:pPr>
            <w:r w:rsidRPr="008059A7">
              <w:rPr>
                <w:rStyle w:val="a1"/>
                <w:b/>
                <w:bCs/>
                <w:sz w:val="22"/>
                <w:szCs w:val="22"/>
              </w:rPr>
              <w:t>2017</w:t>
            </w:r>
          </w:p>
        </w:tc>
        <w:tc>
          <w:tcPr>
            <w:tcW w:w="968" w:type="dxa"/>
            <w:shd w:val="clear" w:color="auto" w:fill="auto"/>
            <w:tcMar>
              <w:top w:w="15" w:type="dxa"/>
              <w:left w:w="15" w:type="dxa"/>
              <w:bottom w:w="15" w:type="dxa"/>
              <w:right w:w="15" w:type="dxa"/>
            </w:tcMar>
            <w:vAlign w:val="center"/>
          </w:tcPr>
          <w:p w14:paraId="1F0592B1" w14:textId="77777777" w:rsidR="008B1EFF" w:rsidRPr="008059A7" w:rsidRDefault="0042190C">
            <w:pPr>
              <w:pStyle w:val="a0"/>
              <w:spacing w:before="120" w:line="276" w:lineRule="auto"/>
              <w:rPr>
                <w:sz w:val="22"/>
                <w:szCs w:val="22"/>
              </w:rPr>
            </w:pPr>
            <w:r w:rsidRPr="008059A7">
              <w:rPr>
                <w:rStyle w:val="a1"/>
                <w:b/>
                <w:bCs/>
                <w:sz w:val="22"/>
                <w:szCs w:val="22"/>
              </w:rPr>
              <w:t>2018</w:t>
            </w:r>
          </w:p>
        </w:tc>
      </w:tr>
      <w:tr w:rsidR="008B1EFF" w14:paraId="5750AB18" w14:textId="77777777" w:rsidTr="00F74A49">
        <w:tc>
          <w:tcPr>
            <w:tcW w:w="1935" w:type="dxa"/>
            <w:shd w:val="clear" w:color="auto" w:fill="auto"/>
            <w:tcMar>
              <w:top w:w="15" w:type="dxa"/>
              <w:left w:w="15" w:type="dxa"/>
              <w:bottom w:w="15" w:type="dxa"/>
              <w:right w:w="15" w:type="dxa"/>
            </w:tcMar>
            <w:vAlign w:val="center"/>
          </w:tcPr>
          <w:p w14:paraId="3182B589" w14:textId="77777777" w:rsidR="008B1EFF" w:rsidRPr="008059A7" w:rsidRDefault="0042190C">
            <w:pPr>
              <w:pStyle w:val="a0"/>
              <w:spacing w:before="120" w:line="276" w:lineRule="auto"/>
              <w:rPr>
                <w:sz w:val="22"/>
                <w:szCs w:val="22"/>
              </w:rPr>
            </w:pPr>
            <w:r w:rsidRPr="008059A7">
              <w:rPr>
                <w:sz w:val="22"/>
                <w:szCs w:val="22"/>
              </w:rPr>
              <w:t xml:space="preserve">Енергия от ВЕИ, </w:t>
            </w:r>
            <w:proofErr w:type="spellStart"/>
            <w:r w:rsidRPr="008059A7">
              <w:rPr>
                <w:sz w:val="22"/>
                <w:szCs w:val="22"/>
              </w:rPr>
              <w:t>ktoe</w:t>
            </w:r>
            <w:proofErr w:type="spellEnd"/>
          </w:p>
        </w:tc>
        <w:tc>
          <w:tcPr>
            <w:tcW w:w="848" w:type="dxa"/>
            <w:shd w:val="clear" w:color="auto" w:fill="auto"/>
            <w:tcMar>
              <w:top w:w="15" w:type="dxa"/>
              <w:left w:w="15" w:type="dxa"/>
              <w:bottom w:w="15" w:type="dxa"/>
              <w:right w:w="15" w:type="dxa"/>
            </w:tcMar>
            <w:vAlign w:val="center"/>
          </w:tcPr>
          <w:p w14:paraId="7E7B0E86" w14:textId="77777777" w:rsidR="008B1EFF" w:rsidRPr="008059A7" w:rsidRDefault="0042190C">
            <w:pPr>
              <w:pStyle w:val="a0"/>
              <w:spacing w:before="120" w:line="276" w:lineRule="auto"/>
              <w:rPr>
                <w:sz w:val="22"/>
                <w:szCs w:val="22"/>
              </w:rPr>
            </w:pPr>
            <w:r w:rsidRPr="008059A7">
              <w:rPr>
                <w:sz w:val="22"/>
                <w:szCs w:val="22"/>
              </w:rPr>
              <w:t>1 380.9</w:t>
            </w:r>
          </w:p>
        </w:tc>
        <w:tc>
          <w:tcPr>
            <w:tcW w:w="848" w:type="dxa"/>
            <w:shd w:val="clear" w:color="auto" w:fill="auto"/>
            <w:tcMar>
              <w:top w:w="15" w:type="dxa"/>
              <w:left w:w="15" w:type="dxa"/>
              <w:bottom w:w="15" w:type="dxa"/>
              <w:right w:w="15" w:type="dxa"/>
            </w:tcMar>
            <w:vAlign w:val="center"/>
          </w:tcPr>
          <w:p w14:paraId="51E92F01" w14:textId="77777777" w:rsidR="008B1EFF" w:rsidRPr="008059A7" w:rsidRDefault="0042190C">
            <w:pPr>
              <w:pStyle w:val="a0"/>
              <w:spacing w:before="120" w:line="276" w:lineRule="auto"/>
              <w:rPr>
                <w:sz w:val="22"/>
                <w:szCs w:val="22"/>
              </w:rPr>
            </w:pPr>
            <w:r w:rsidRPr="008059A7">
              <w:rPr>
                <w:sz w:val="22"/>
                <w:szCs w:val="22"/>
              </w:rPr>
              <w:t>1 464.1</w:t>
            </w:r>
          </w:p>
        </w:tc>
        <w:tc>
          <w:tcPr>
            <w:tcW w:w="848" w:type="dxa"/>
            <w:shd w:val="clear" w:color="auto" w:fill="auto"/>
            <w:tcMar>
              <w:top w:w="15" w:type="dxa"/>
              <w:left w:w="15" w:type="dxa"/>
              <w:bottom w:w="15" w:type="dxa"/>
              <w:right w:w="15" w:type="dxa"/>
            </w:tcMar>
            <w:vAlign w:val="center"/>
          </w:tcPr>
          <w:p w14:paraId="79BD0ACF" w14:textId="77777777" w:rsidR="008B1EFF" w:rsidRPr="008059A7" w:rsidRDefault="0042190C">
            <w:pPr>
              <w:pStyle w:val="a0"/>
              <w:spacing w:before="120" w:line="276" w:lineRule="auto"/>
              <w:rPr>
                <w:sz w:val="22"/>
                <w:szCs w:val="22"/>
              </w:rPr>
            </w:pPr>
            <w:r w:rsidRPr="008059A7">
              <w:rPr>
                <w:sz w:val="22"/>
                <w:szCs w:val="22"/>
              </w:rPr>
              <w:t>1 626.0</w:t>
            </w:r>
          </w:p>
        </w:tc>
        <w:tc>
          <w:tcPr>
            <w:tcW w:w="848" w:type="dxa"/>
            <w:shd w:val="clear" w:color="auto" w:fill="auto"/>
            <w:tcMar>
              <w:top w:w="15" w:type="dxa"/>
              <w:left w:w="15" w:type="dxa"/>
              <w:bottom w:w="15" w:type="dxa"/>
              <w:right w:w="15" w:type="dxa"/>
            </w:tcMar>
            <w:vAlign w:val="center"/>
          </w:tcPr>
          <w:p w14:paraId="6454920C" w14:textId="77777777" w:rsidR="008B1EFF" w:rsidRPr="008059A7" w:rsidRDefault="0042190C">
            <w:pPr>
              <w:pStyle w:val="a0"/>
              <w:spacing w:before="120" w:line="276" w:lineRule="auto"/>
              <w:rPr>
                <w:sz w:val="22"/>
                <w:szCs w:val="22"/>
              </w:rPr>
            </w:pPr>
            <w:r w:rsidRPr="008059A7">
              <w:rPr>
                <w:sz w:val="22"/>
                <w:szCs w:val="22"/>
              </w:rPr>
              <w:t>1 838.9</w:t>
            </w:r>
          </w:p>
        </w:tc>
        <w:tc>
          <w:tcPr>
            <w:tcW w:w="848" w:type="dxa"/>
            <w:shd w:val="clear" w:color="auto" w:fill="auto"/>
            <w:tcMar>
              <w:top w:w="15" w:type="dxa"/>
              <w:left w:w="15" w:type="dxa"/>
              <w:bottom w:w="15" w:type="dxa"/>
              <w:right w:w="15" w:type="dxa"/>
            </w:tcMar>
            <w:vAlign w:val="center"/>
          </w:tcPr>
          <w:p w14:paraId="1B73B11A" w14:textId="77777777" w:rsidR="008B1EFF" w:rsidRPr="008059A7" w:rsidRDefault="0042190C">
            <w:pPr>
              <w:pStyle w:val="a0"/>
              <w:spacing w:before="120" w:line="276" w:lineRule="auto"/>
              <w:rPr>
                <w:sz w:val="22"/>
                <w:szCs w:val="22"/>
              </w:rPr>
            </w:pPr>
            <w:r w:rsidRPr="008059A7">
              <w:rPr>
                <w:sz w:val="22"/>
                <w:szCs w:val="22"/>
              </w:rPr>
              <w:t>1 804.9</w:t>
            </w:r>
          </w:p>
        </w:tc>
        <w:tc>
          <w:tcPr>
            <w:tcW w:w="966" w:type="dxa"/>
            <w:shd w:val="clear" w:color="auto" w:fill="auto"/>
            <w:tcMar>
              <w:top w:w="15" w:type="dxa"/>
              <w:left w:w="15" w:type="dxa"/>
              <w:bottom w:w="15" w:type="dxa"/>
              <w:right w:w="15" w:type="dxa"/>
            </w:tcMar>
            <w:vAlign w:val="center"/>
          </w:tcPr>
          <w:p w14:paraId="405DE4A6" w14:textId="77777777" w:rsidR="008B1EFF" w:rsidRPr="008059A7" w:rsidRDefault="0042190C">
            <w:pPr>
              <w:pStyle w:val="a0"/>
              <w:spacing w:before="120" w:line="276" w:lineRule="auto"/>
              <w:rPr>
                <w:sz w:val="22"/>
                <w:szCs w:val="22"/>
              </w:rPr>
            </w:pPr>
            <w:r w:rsidRPr="008059A7">
              <w:rPr>
                <w:sz w:val="22"/>
                <w:szCs w:val="22"/>
              </w:rPr>
              <w:t>1 922.0</w:t>
            </w:r>
          </w:p>
        </w:tc>
        <w:tc>
          <w:tcPr>
            <w:tcW w:w="966" w:type="dxa"/>
            <w:shd w:val="clear" w:color="auto" w:fill="auto"/>
            <w:tcMar>
              <w:top w:w="15" w:type="dxa"/>
              <w:left w:w="15" w:type="dxa"/>
              <w:bottom w:w="15" w:type="dxa"/>
              <w:right w:w="15" w:type="dxa"/>
            </w:tcMar>
            <w:vAlign w:val="center"/>
          </w:tcPr>
          <w:p w14:paraId="6D19829A" w14:textId="77777777" w:rsidR="008B1EFF" w:rsidRPr="008059A7" w:rsidRDefault="0042190C">
            <w:pPr>
              <w:pStyle w:val="a0"/>
              <w:spacing w:before="120" w:line="276" w:lineRule="auto"/>
              <w:rPr>
                <w:sz w:val="22"/>
                <w:szCs w:val="22"/>
              </w:rPr>
            </w:pPr>
            <w:r w:rsidRPr="008059A7">
              <w:rPr>
                <w:sz w:val="22"/>
                <w:szCs w:val="22"/>
              </w:rPr>
              <w:t>1 991.8</w:t>
            </w:r>
          </w:p>
        </w:tc>
        <w:tc>
          <w:tcPr>
            <w:tcW w:w="848" w:type="dxa"/>
            <w:shd w:val="clear" w:color="auto" w:fill="auto"/>
            <w:tcMar>
              <w:top w:w="15" w:type="dxa"/>
              <w:left w:w="15" w:type="dxa"/>
              <w:bottom w:w="15" w:type="dxa"/>
              <w:right w:w="15" w:type="dxa"/>
            </w:tcMar>
            <w:vAlign w:val="center"/>
          </w:tcPr>
          <w:p w14:paraId="06B44709" w14:textId="77777777" w:rsidR="008B1EFF" w:rsidRPr="008059A7" w:rsidRDefault="0042190C">
            <w:pPr>
              <w:pStyle w:val="a0"/>
              <w:spacing w:before="120" w:line="276" w:lineRule="auto"/>
              <w:rPr>
                <w:sz w:val="22"/>
                <w:szCs w:val="22"/>
              </w:rPr>
            </w:pPr>
            <w:r w:rsidRPr="008059A7">
              <w:rPr>
                <w:sz w:val="22"/>
                <w:szCs w:val="22"/>
              </w:rPr>
              <w:t>2 038.2</w:t>
            </w:r>
          </w:p>
        </w:tc>
        <w:tc>
          <w:tcPr>
            <w:tcW w:w="968" w:type="dxa"/>
            <w:shd w:val="clear" w:color="auto" w:fill="auto"/>
            <w:tcMar>
              <w:top w:w="15" w:type="dxa"/>
              <w:left w:w="15" w:type="dxa"/>
              <w:bottom w:w="15" w:type="dxa"/>
              <w:right w:w="15" w:type="dxa"/>
            </w:tcMar>
            <w:vAlign w:val="center"/>
          </w:tcPr>
          <w:p w14:paraId="4D15C5C3" w14:textId="77777777" w:rsidR="008B1EFF" w:rsidRPr="008059A7" w:rsidRDefault="0042190C">
            <w:pPr>
              <w:pStyle w:val="a0"/>
              <w:spacing w:before="120" w:line="276" w:lineRule="auto"/>
              <w:rPr>
                <w:sz w:val="22"/>
                <w:szCs w:val="22"/>
              </w:rPr>
            </w:pPr>
            <w:r w:rsidRPr="008059A7">
              <w:rPr>
                <w:sz w:val="22"/>
                <w:szCs w:val="22"/>
              </w:rPr>
              <w:t>2 230.1</w:t>
            </w:r>
          </w:p>
        </w:tc>
      </w:tr>
      <w:tr w:rsidR="008B1EFF" w14:paraId="5B29B457" w14:textId="77777777" w:rsidTr="00F74A49">
        <w:tc>
          <w:tcPr>
            <w:tcW w:w="1935" w:type="dxa"/>
            <w:shd w:val="clear" w:color="auto" w:fill="auto"/>
            <w:tcMar>
              <w:top w:w="15" w:type="dxa"/>
              <w:left w:w="15" w:type="dxa"/>
              <w:bottom w:w="15" w:type="dxa"/>
              <w:right w:w="15" w:type="dxa"/>
            </w:tcMar>
            <w:vAlign w:val="center"/>
          </w:tcPr>
          <w:p w14:paraId="4CC0AF14" w14:textId="77777777" w:rsidR="008B1EFF" w:rsidRPr="008059A7" w:rsidRDefault="0042190C">
            <w:pPr>
              <w:pStyle w:val="a0"/>
              <w:spacing w:before="120" w:line="276" w:lineRule="auto"/>
              <w:rPr>
                <w:sz w:val="22"/>
                <w:szCs w:val="22"/>
              </w:rPr>
            </w:pPr>
            <w:r w:rsidRPr="008059A7">
              <w:rPr>
                <w:sz w:val="22"/>
                <w:szCs w:val="22"/>
              </w:rPr>
              <w:t>Дял на енергията от ВЕИ в БКПЕ, %</w:t>
            </w:r>
          </w:p>
        </w:tc>
        <w:tc>
          <w:tcPr>
            <w:tcW w:w="848" w:type="dxa"/>
            <w:shd w:val="clear" w:color="auto" w:fill="auto"/>
            <w:tcMar>
              <w:top w:w="15" w:type="dxa"/>
              <w:left w:w="15" w:type="dxa"/>
              <w:bottom w:w="15" w:type="dxa"/>
              <w:right w:w="15" w:type="dxa"/>
            </w:tcMar>
            <w:vAlign w:val="center"/>
          </w:tcPr>
          <w:p w14:paraId="170979AB" w14:textId="77777777" w:rsidR="008B1EFF" w:rsidRPr="008059A7" w:rsidRDefault="0042190C">
            <w:pPr>
              <w:pStyle w:val="a0"/>
              <w:spacing w:before="120" w:line="276" w:lineRule="auto"/>
              <w:rPr>
                <w:sz w:val="22"/>
                <w:szCs w:val="22"/>
              </w:rPr>
            </w:pPr>
            <w:r w:rsidRPr="008059A7">
              <w:rPr>
                <w:sz w:val="22"/>
                <w:szCs w:val="22"/>
              </w:rPr>
              <w:t>13.93%</w:t>
            </w:r>
          </w:p>
        </w:tc>
        <w:tc>
          <w:tcPr>
            <w:tcW w:w="848" w:type="dxa"/>
            <w:shd w:val="clear" w:color="auto" w:fill="auto"/>
            <w:tcMar>
              <w:top w:w="15" w:type="dxa"/>
              <w:left w:w="15" w:type="dxa"/>
              <w:bottom w:w="15" w:type="dxa"/>
              <w:right w:w="15" w:type="dxa"/>
            </w:tcMar>
            <w:vAlign w:val="center"/>
          </w:tcPr>
          <w:p w14:paraId="618D6212" w14:textId="77777777" w:rsidR="008B1EFF" w:rsidRPr="008059A7" w:rsidRDefault="0042190C">
            <w:pPr>
              <w:pStyle w:val="a0"/>
              <w:spacing w:before="120" w:line="276" w:lineRule="auto"/>
              <w:rPr>
                <w:sz w:val="22"/>
                <w:szCs w:val="22"/>
              </w:rPr>
            </w:pPr>
            <w:r w:rsidRPr="008059A7">
              <w:rPr>
                <w:sz w:val="22"/>
                <w:szCs w:val="22"/>
              </w:rPr>
              <w:t>14.15%</w:t>
            </w:r>
          </w:p>
        </w:tc>
        <w:tc>
          <w:tcPr>
            <w:tcW w:w="848" w:type="dxa"/>
            <w:shd w:val="clear" w:color="auto" w:fill="auto"/>
            <w:tcMar>
              <w:top w:w="15" w:type="dxa"/>
              <w:left w:w="15" w:type="dxa"/>
              <w:bottom w:w="15" w:type="dxa"/>
              <w:right w:w="15" w:type="dxa"/>
            </w:tcMar>
            <w:vAlign w:val="center"/>
          </w:tcPr>
          <w:p w14:paraId="07F83B49" w14:textId="77777777" w:rsidR="008B1EFF" w:rsidRPr="008059A7" w:rsidRDefault="0042190C">
            <w:pPr>
              <w:pStyle w:val="a0"/>
              <w:spacing w:before="120" w:line="276" w:lineRule="auto"/>
              <w:rPr>
                <w:sz w:val="22"/>
                <w:szCs w:val="22"/>
              </w:rPr>
            </w:pPr>
            <w:r w:rsidRPr="008059A7">
              <w:rPr>
                <w:sz w:val="22"/>
                <w:szCs w:val="22"/>
              </w:rPr>
              <w:t>15.84%</w:t>
            </w:r>
          </w:p>
        </w:tc>
        <w:tc>
          <w:tcPr>
            <w:tcW w:w="848" w:type="dxa"/>
            <w:shd w:val="clear" w:color="auto" w:fill="auto"/>
            <w:tcMar>
              <w:top w:w="15" w:type="dxa"/>
              <w:left w:w="15" w:type="dxa"/>
              <w:bottom w:w="15" w:type="dxa"/>
              <w:right w:w="15" w:type="dxa"/>
            </w:tcMar>
            <w:vAlign w:val="center"/>
          </w:tcPr>
          <w:p w14:paraId="590724D4" w14:textId="77777777" w:rsidR="008B1EFF" w:rsidRPr="008059A7" w:rsidRDefault="0042190C">
            <w:pPr>
              <w:pStyle w:val="a0"/>
              <w:spacing w:before="120" w:line="276" w:lineRule="auto"/>
              <w:rPr>
                <w:sz w:val="22"/>
                <w:szCs w:val="22"/>
              </w:rPr>
            </w:pPr>
            <w:r w:rsidRPr="008059A7">
              <w:rPr>
                <w:sz w:val="22"/>
                <w:szCs w:val="22"/>
              </w:rPr>
              <w:t>18.90%</w:t>
            </w:r>
          </w:p>
        </w:tc>
        <w:tc>
          <w:tcPr>
            <w:tcW w:w="848" w:type="dxa"/>
            <w:shd w:val="clear" w:color="auto" w:fill="auto"/>
            <w:tcMar>
              <w:top w:w="15" w:type="dxa"/>
              <w:left w:w="15" w:type="dxa"/>
              <w:bottom w:w="15" w:type="dxa"/>
              <w:right w:w="15" w:type="dxa"/>
            </w:tcMar>
            <w:vAlign w:val="center"/>
          </w:tcPr>
          <w:p w14:paraId="021CB388" w14:textId="77777777" w:rsidR="008B1EFF" w:rsidRPr="008059A7" w:rsidRDefault="0042190C">
            <w:pPr>
              <w:pStyle w:val="a0"/>
              <w:spacing w:before="120" w:line="276" w:lineRule="auto"/>
              <w:rPr>
                <w:sz w:val="22"/>
                <w:szCs w:val="22"/>
              </w:rPr>
            </w:pPr>
            <w:r w:rsidRPr="008059A7">
              <w:rPr>
                <w:sz w:val="22"/>
                <w:szCs w:val="22"/>
              </w:rPr>
              <w:t>18.05%</w:t>
            </w:r>
          </w:p>
        </w:tc>
        <w:tc>
          <w:tcPr>
            <w:tcW w:w="966" w:type="dxa"/>
            <w:shd w:val="clear" w:color="auto" w:fill="auto"/>
            <w:tcMar>
              <w:top w:w="15" w:type="dxa"/>
              <w:left w:w="15" w:type="dxa"/>
              <w:bottom w:w="15" w:type="dxa"/>
              <w:right w:w="15" w:type="dxa"/>
            </w:tcMar>
            <w:vAlign w:val="center"/>
          </w:tcPr>
          <w:p w14:paraId="22202C12" w14:textId="77777777" w:rsidR="008B1EFF" w:rsidRPr="008059A7" w:rsidRDefault="0042190C">
            <w:pPr>
              <w:pStyle w:val="a0"/>
              <w:spacing w:before="120" w:line="276" w:lineRule="auto"/>
              <w:rPr>
                <w:sz w:val="22"/>
                <w:szCs w:val="22"/>
              </w:rPr>
            </w:pPr>
            <w:r w:rsidRPr="008059A7">
              <w:rPr>
                <w:sz w:val="22"/>
                <w:szCs w:val="22"/>
              </w:rPr>
              <w:t>18.26%</w:t>
            </w:r>
          </w:p>
        </w:tc>
        <w:tc>
          <w:tcPr>
            <w:tcW w:w="966" w:type="dxa"/>
            <w:shd w:val="clear" w:color="auto" w:fill="auto"/>
            <w:tcMar>
              <w:top w:w="15" w:type="dxa"/>
              <w:left w:w="15" w:type="dxa"/>
              <w:bottom w:w="15" w:type="dxa"/>
              <w:right w:w="15" w:type="dxa"/>
            </w:tcMar>
            <w:vAlign w:val="center"/>
          </w:tcPr>
          <w:p w14:paraId="474762D7" w14:textId="77777777" w:rsidR="008B1EFF" w:rsidRPr="008059A7" w:rsidRDefault="0042190C">
            <w:pPr>
              <w:pStyle w:val="a0"/>
              <w:spacing w:before="120" w:line="276" w:lineRule="auto"/>
              <w:rPr>
                <w:sz w:val="22"/>
                <w:szCs w:val="22"/>
              </w:rPr>
            </w:pPr>
            <w:r w:rsidRPr="008059A7">
              <w:rPr>
                <w:sz w:val="22"/>
                <w:szCs w:val="22"/>
              </w:rPr>
              <w:t>18.76%</w:t>
            </w:r>
          </w:p>
        </w:tc>
        <w:tc>
          <w:tcPr>
            <w:tcW w:w="848" w:type="dxa"/>
            <w:shd w:val="clear" w:color="auto" w:fill="auto"/>
            <w:tcMar>
              <w:top w:w="15" w:type="dxa"/>
              <w:left w:w="15" w:type="dxa"/>
              <w:bottom w:w="15" w:type="dxa"/>
              <w:right w:w="15" w:type="dxa"/>
            </w:tcMar>
            <w:vAlign w:val="center"/>
          </w:tcPr>
          <w:p w14:paraId="18A7BAB5" w14:textId="77777777" w:rsidR="008B1EFF" w:rsidRPr="008059A7" w:rsidRDefault="0042190C">
            <w:pPr>
              <w:pStyle w:val="a0"/>
              <w:spacing w:before="120" w:line="276" w:lineRule="auto"/>
              <w:rPr>
                <w:sz w:val="22"/>
                <w:szCs w:val="22"/>
              </w:rPr>
            </w:pPr>
            <w:r w:rsidRPr="008059A7">
              <w:rPr>
                <w:sz w:val="22"/>
                <w:szCs w:val="22"/>
              </w:rPr>
              <w:t>18.70%</w:t>
            </w:r>
          </w:p>
        </w:tc>
        <w:tc>
          <w:tcPr>
            <w:tcW w:w="968" w:type="dxa"/>
            <w:shd w:val="clear" w:color="auto" w:fill="auto"/>
            <w:tcMar>
              <w:top w:w="15" w:type="dxa"/>
              <w:left w:w="15" w:type="dxa"/>
              <w:bottom w:w="15" w:type="dxa"/>
              <w:right w:w="15" w:type="dxa"/>
            </w:tcMar>
            <w:vAlign w:val="center"/>
          </w:tcPr>
          <w:p w14:paraId="75B27B1B" w14:textId="77777777" w:rsidR="008B1EFF" w:rsidRPr="008059A7" w:rsidRDefault="0042190C">
            <w:pPr>
              <w:pStyle w:val="a0"/>
              <w:spacing w:before="120" w:line="276" w:lineRule="auto"/>
              <w:rPr>
                <w:sz w:val="22"/>
                <w:szCs w:val="22"/>
              </w:rPr>
            </w:pPr>
            <w:r w:rsidRPr="008059A7">
              <w:rPr>
                <w:sz w:val="22"/>
                <w:szCs w:val="22"/>
              </w:rPr>
              <w:t>20.53%</w:t>
            </w:r>
          </w:p>
        </w:tc>
      </w:tr>
    </w:tbl>
    <w:p w14:paraId="69F85F6B" w14:textId="77777777" w:rsidR="008B1EFF" w:rsidRPr="002E54A0" w:rsidRDefault="0042190C">
      <w:pPr>
        <w:pStyle w:val="a0"/>
        <w:spacing w:before="120" w:after="120" w:line="264" w:lineRule="auto"/>
        <w:jc w:val="both"/>
        <w:rPr>
          <w:sz w:val="22"/>
          <w:szCs w:val="22"/>
        </w:rPr>
      </w:pPr>
      <w:r w:rsidRPr="002E54A0">
        <w:rPr>
          <w:sz w:val="22"/>
          <w:szCs w:val="22"/>
        </w:rPr>
        <w:t xml:space="preserve">В количествено изражение е отбелязан ръст в брутното крайно потребление на енергия от ВЕИ от 191.9 </w:t>
      </w:r>
      <w:proofErr w:type="spellStart"/>
      <w:r w:rsidRPr="002E54A0">
        <w:rPr>
          <w:sz w:val="22"/>
          <w:szCs w:val="22"/>
        </w:rPr>
        <w:t>ktoe</w:t>
      </w:r>
      <w:proofErr w:type="spellEnd"/>
      <w:r w:rsidRPr="002E54A0">
        <w:rPr>
          <w:sz w:val="22"/>
          <w:szCs w:val="22"/>
        </w:rPr>
        <w:t xml:space="preserve"> в сравнение с предходната 2017 г. Увеличеното потребление на енергия от ВЕИ се дължи на ръст в потреблението на енергия от ВЕИ в сектори: електрическа енергия, топлинна енергия и енергия за охлаждане, и в сектор транспорт. </w:t>
      </w:r>
    </w:p>
    <w:p w14:paraId="787188B3" w14:textId="77777777" w:rsidR="008B1EFF" w:rsidRPr="002E54A0" w:rsidRDefault="0042190C">
      <w:pPr>
        <w:pStyle w:val="a0"/>
        <w:spacing w:before="120" w:after="120" w:line="264" w:lineRule="auto"/>
        <w:jc w:val="both"/>
        <w:rPr>
          <w:sz w:val="22"/>
          <w:szCs w:val="22"/>
        </w:rPr>
      </w:pPr>
      <w:r w:rsidRPr="002E54A0">
        <w:rPr>
          <w:sz w:val="22"/>
          <w:szCs w:val="22"/>
        </w:rPr>
        <w:t xml:space="preserve">През 2018 г. крайното потребление на електрическа енергия от ВЕИ е увеличено и достига 738 </w:t>
      </w:r>
      <w:proofErr w:type="spellStart"/>
      <w:r w:rsidRPr="002E54A0">
        <w:rPr>
          <w:sz w:val="22"/>
          <w:szCs w:val="22"/>
        </w:rPr>
        <w:t>ktoe</w:t>
      </w:r>
      <w:proofErr w:type="spellEnd"/>
      <w:r w:rsidRPr="002E54A0">
        <w:rPr>
          <w:sz w:val="22"/>
          <w:szCs w:val="22"/>
        </w:rPr>
        <w:t xml:space="preserve">, в сравнение с 645,2 </w:t>
      </w:r>
      <w:proofErr w:type="spellStart"/>
      <w:r w:rsidRPr="002E54A0">
        <w:rPr>
          <w:sz w:val="22"/>
          <w:szCs w:val="22"/>
        </w:rPr>
        <w:t>ktoe</w:t>
      </w:r>
      <w:proofErr w:type="spellEnd"/>
      <w:r w:rsidRPr="002E54A0">
        <w:rPr>
          <w:sz w:val="22"/>
          <w:szCs w:val="22"/>
        </w:rPr>
        <w:t xml:space="preserve"> през 2017 г. С най-голям принос е производството на електрическа енергия от водни електрически централи (50,6 %), следвано от централите на биомаса (17,4 %), вятърните (16,4 %) и фотоволтаичните (15,6 %) електрически централи. </w:t>
      </w:r>
    </w:p>
    <w:p w14:paraId="36962C65" w14:textId="77777777" w:rsidR="008B1EFF" w:rsidRPr="002E54A0" w:rsidRDefault="0042190C">
      <w:pPr>
        <w:pStyle w:val="a0"/>
        <w:spacing w:before="120" w:after="120" w:line="264" w:lineRule="auto"/>
        <w:jc w:val="both"/>
        <w:rPr>
          <w:sz w:val="22"/>
          <w:szCs w:val="22"/>
        </w:rPr>
      </w:pPr>
      <w:r w:rsidRPr="002E54A0">
        <w:rPr>
          <w:sz w:val="22"/>
          <w:szCs w:val="22"/>
        </w:rPr>
        <w:t xml:space="preserve">Крайното потребление на енергия за отопление и охлаждане от ВЕИ през 2018 г. е 1 349,2 </w:t>
      </w:r>
      <w:proofErr w:type="spellStart"/>
      <w:r w:rsidRPr="002E54A0">
        <w:rPr>
          <w:sz w:val="22"/>
          <w:szCs w:val="22"/>
        </w:rPr>
        <w:t>ktoe</w:t>
      </w:r>
      <w:proofErr w:type="spellEnd"/>
      <w:r w:rsidRPr="002E54A0">
        <w:rPr>
          <w:sz w:val="22"/>
          <w:szCs w:val="22"/>
        </w:rPr>
        <w:t xml:space="preserve"> и бележи ръст спрямо 2017 г. (1 229,7 </w:t>
      </w:r>
      <w:proofErr w:type="spellStart"/>
      <w:r w:rsidRPr="002E54A0">
        <w:rPr>
          <w:sz w:val="22"/>
          <w:szCs w:val="22"/>
        </w:rPr>
        <w:t>ktoe</w:t>
      </w:r>
      <w:proofErr w:type="spellEnd"/>
      <w:r w:rsidRPr="002E54A0">
        <w:rPr>
          <w:sz w:val="22"/>
          <w:szCs w:val="22"/>
        </w:rPr>
        <w:t>) от 9.7 %. С най-голям принос продължава да е твърдата биомаса. </w:t>
      </w:r>
    </w:p>
    <w:p w14:paraId="3A31F1CA" w14:textId="77777777" w:rsidR="008B1EFF" w:rsidRPr="002E54A0" w:rsidRDefault="0042190C">
      <w:pPr>
        <w:pStyle w:val="a0"/>
        <w:spacing w:before="120" w:after="120" w:line="264" w:lineRule="auto"/>
        <w:jc w:val="both"/>
        <w:rPr>
          <w:sz w:val="22"/>
          <w:szCs w:val="22"/>
        </w:rPr>
      </w:pPr>
      <w:r w:rsidRPr="002E54A0">
        <w:rPr>
          <w:sz w:val="22"/>
          <w:szCs w:val="22"/>
        </w:rPr>
        <w:t xml:space="preserve">Използваната енергия от ВЕИ в транспорта през 2018 г. е 218,6 </w:t>
      </w:r>
      <w:proofErr w:type="spellStart"/>
      <w:r w:rsidRPr="002E54A0">
        <w:rPr>
          <w:sz w:val="22"/>
          <w:szCs w:val="22"/>
        </w:rPr>
        <w:t>ktoe</w:t>
      </w:r>
      <w:proofErr w:type="spellEnd"/>
      <w:r w:rsidRPr="002E54A0">
        <w:rPr>
          <w:sz w:val="22"/>
          <w:szCs w:val="22"/>
        </w:rPr>
        <w:t>. Постигнатият дял на енергията от ВЕИ в сектор транспорт е 8,06 % и се отбелязва ръст от 0,82 процентни пункта в потреблението на енергия от ВИ в сравнение с предходната 2017 г. (7,24 %). В сравнение с 2010 г. използването на енергия от ВЕИ се е увеличило повече от 7 пъти. С най-значим принос за това са биогоривата, чието потребление през 2017 г. и 2018 г. формира 94,6 % от крайно потребление на енергия от ВЕИ в сектор транспорт. </w:t>
      </w:r>
    </w:p>
    <w:p w14:paraId="291596B8" w14:textId="77777777" w:rsidR="008B1EFF" w:rsidRPr="002E54A0" w:rsidRDefault="0042190C">
      <w:pPr>
        <w:pStyle w:val="a0"/>
        <w:spacing w:before="120" w:after="120" w:line="264" w:lineRule="auto"/>
        <w:rPr>
          <w:b/>
          <w:bCs/>
          <w:iCs/>
          <w:sz w:val="22"/>
          <w:szCs w:val="22"/>
          <w:u w:val="single"/>
        </w:rPr>
      </w:pPr>
      <w:r w:rsidRPr="002E54A0">
        <w:rPr>
          <w:b/>
          <w:bCs/>
          <w:iCs/>
          <w:sz w:val="22"/>
          <w:szCs w:val="22"/>
          <w:u w:val="single"/>
        </w:rPr>
        <w:t xml:space="preserve">Потребление на горива от транспорта </w:t>
      </w:r>
    </w:p>
    <w:p w14:paraId="3C43DD7F" w14:textId="77777777" w:rsidR="008B1EFF" w:rsidRPr="002E54A0" w:rsidRDefault="0042190C">
      <w:pPr>
        <w:pStyle w:val="a0"/>
        <w:spacing w:before="120" w:after="120" w:line="264" w:lineRule="auto"/>
        <w:ind w:right="57"/>
        <w:jc w:val="both"/>
        <w:rPr>
          <w:bCs/>
          <w:iCs/>
          <w:sz w:val="22"/>
          <w:szCs w:val="22"/>
        </w:rPr>
      </w:pPr>
      <w:r w:rsidRPr="002E54A0">
        <w:rPr>
          <w:bCs/>
          <w:iCs/>
          <w:sz w:val="22"/>
          <w:szCs w:val="22"/>
        </w:rPr>
        <w:t xml:space="preserve">Повечето сектори са постигнали намаление на емисиите си в последните три десетилетия, с изключение на транспорта, където се регистрира нарастване на емисиите, както на европейско, така и на национално ниво. Общо емисиите ПГ генерирани от пътния транспорт нарастват с 33.2% в сравнение с базовата 1988 година, като от  6 968 </w:t>
      </w:r>
      <w:proofErr w:type="spellStart"/>
      <w:r w:rsidRPr="002E54A0">
        <w:rPr>
          <w:bCs/>
          <w:iCs/>
          <w:sz w:val="22"/>
          <w:szCs w:val="22"/>
        </w:rPr>
        <w:t>Gg</w:t>
      </w:r>
      <w:proofErr w:type="spellEnd"/>
      <w:r w:rsidRPr="002E54A0">
        <w:rPr>
          <w:bCs/>
          <w:iCs/>
          <w:sz w:val="22"/>
          <w:szCs w:val="22"/>
        </w:rPr>
        <w:t xml:space="preserve"> CO2e достигат до 9 283 </w:t>
      </w:r>
      <w:proofErr w:type="spellStart"/>
      <w:r w:rsidRPr="002E54A0">
        <w:rPr>
          <w:bCs/>
          <w:iCs/>
          <w:sz w:val="22"/>
          <w:szCs w:val="22"/>
        </w:rPr>
        <w:t>Gg</w:t>
      </w:r>
      <w:proofErr w:type="spellEnd"/>
      <w:r w:rsidRPr="002E54A0">
        <w:rPr>
          <w:bCs/>
          <w:iCs/>
          <w:sz w:val="22"/>
          <w:szCs w:val="22"/>
        </w:rPr>
        <w:t xml:space="preserve"> CO2e през 2018.</w:t>
      </w:r>
    </w:p>
    <w:p w14:paraId="12952403" w14:textId="77777777" w:rsidR="008B1EFF" w:rsidRPr="002E54A0" w:rsidRDefault="0042190C">
      <w:pPr>
        <w:pStyle w:val="a0"/>
        <w:spacing w:before="120" w:after="120" w:line="264" w:lineRule="auto"/>
        <w:jc w:val="both"/>
        <w:rPr>
          <w:bCs/>
          <w:iCs/>
          <w:sz w:val="22"/>
          <w:szCs w:val="22"/>
        </w:rPr>
      </w:pPr>
      <w:r w:rsidRPr="002E54A0">
        <w:rPr>
          <w:bCs/>
          <w:iCs/>
          <w:sz w:val="22"/>
          <w:szCs w:val="22"/>
        </w:rPr>
        <w:t xml:space="preserve">Потреблението на горива и енергия в транспорта, изчислено като хиляди тона нефтен еквивалент (хил. т н.е., 1000 </w:t>
      </w:r>
      <w:proofErr w:type="spellStart"/>
      <w:r w:rsidRPr="002E54A0">
        <w:rPr>
          <w:bCs/>
          <w:iCs/>
          <w:sz w:val="22"/>
          <w:szCs w:val="22"/>
        </w:rPr>
        <w:t>toe</w:t>
      </w:r>
      <w:proofErr w:type="spellEnd"/>
      <w:r w:rsidRPr="002E54A0">
        <w:rPr>
          <w:bCs/>
          <w:iCs/>
          <w:sz w:val="22"/>
          <w:szCs w:val="22"/>
        </w:rPr>
        <w:t xml:space="preserve">) представя енергийното потребление на транспорта и е основен индикатор за въздействие на транспорта върху околната среда. </w:t>
      </w:r>
    </w:p>
    <w:p w14:paraId="7E933684" w14:textId="77777777" w:rsidR="008B1EFF" w:rsidRDefault="0042190C">
      <w:pPr>
        <w:pStyle w:val="a0"/>
        <w:spacing w:before="120" w:after="120" w:line="264" w:lineRule="auto"/>
        <w:jc w:val="both"/>
        <w:rPr>
          <w:bCs/>
          <w:iCs/>
          <w:sz w:val="22"/>
          <w:szCs w:val="22"/>
        </w:rPr>
      </w:pPr>
      <w:r w:rsidRPr="002E54A0">
        <w:rPr>
          <w:bCs/>
          <w:iCs/>
          <w:sz w:val="22"/>
          <w:szCs w:val="22"/>
        </w:rPr>
        <w:t xml:space="preserve">В периода 2000 – 2018 г. потреблението на енергия в транспорта нараства от 22,5% до 34,6%. Основен консуматор е автомобилният транспорт, който потребява за 2018 г. 94,3% от общо </w:t>
      </w:r>
      <w:proofErr w:type="spellStart"/>
      <w:r w:rsidRPr="002E54A0">
        <w:rPr>
          <w:bCs/>
          <w:iCs/>
          <w:sz w:val="22"/>
          <w:szCs w:val="22"/>
        </w:rPr>
        <w:t>потребеното</w:t>
      </w:r>
      <w:proofErr w:type="spellEnd"/>
      <w:r w:rsidRPr="002E54A0">
        <w:rPr>
          <w:bCs/>
          <w:iCs/>
          <w:sz w:val="22"/>
          <w:szCs w:val="22"/>
        </w:rPr>
        <w:t xml:space="preserve"> количество енергия в сектора. </w:t>
      </w:r>
    </w:p>
    <w:p w14:paraId="630FDEFF" w14:textId="77777777" w:rsidR="008059A7" w:rsidRPr="002E54A0" w:rsidRDefault="008059A7">
      <w:pPr>
        <w:pStyle w:val="a0"/>
        <w:spacing w:before="120" w:after="120" w:line="264" w:lineRule="auto"/>
        <w:jc w:val="both"/>
        <w:rPr>
          <w:bCs/>
          <w:iCs/>
          <w:sz w:val="22"/>
          <w:szCs w:val="22"/>
        </w:rPr>
      </w:pPr>
    </w:p>
    <w:p w14:paraId="709F6554" w14:textId="641B3AC2" w:rsidR="008B1EFF" w:rsidRPr="008059A7" w:rsidRDefault="008059A7" w:rsidP="008059A7">
      <w:pPr>
        <w:pStyle w:val="Caption"/>
        <w:rPr>
          <w:rFonts w:ascii="Times New Roman" w:eastAsia="Times New Roman" w:hAnsi="Times New Roman"/>
          <w:b w:val="0"/>
          <w:i/>
          <w:noProof/>
          <w:color w:val="auto"/>
          <w:sz w:val="22"/>
          <w:szCs w:val="22"/>
          <w:lang w:val="bg-BG" w:eastAsia="bg-BG"/>
        </w:rPr>
      </w:pPr>
      <w:bookmarkStart w:id="60" w:name="_Toc71529791"/>
      <w:bookmarkStart w:id="61" w:name="_Toc72910401"/>
      <w:r w:rsidRPr="008059A7">
        <w:rPr>
          <w:rFonts w:ascii="Times New Roman" w:eastAsia="Times New Roman" w:hAnsi="Times New Roman"/>
          <w:b w:val="0"/>
          <w:i/>
          <w:noProof/>
          <w:color w:val="auto"/>
          <w:sz w:val="22"/>
          <w:szCs w:val="22"/>
          <w:lang w:val="bg-BG" w:eastAsia="bg-BG"/>
        </w:rPr>
        <w:lastRenderedPageBreak/>
        <w:t xml:space="preserve">Фигура </w:t>
      </w:r>
      <w:r w:rsidRPr="008059A7">
        <w:rPr>
          <w:rFonts w:ascii="Times New Roman" w:eastAsia="Times New Roman" w:hAnsi="Times New Roman"/>
          <w:b w:val="0"/>
          <w:i/>
          <w:noProof/>
          <w:color w:val="auto"/>
          <w:sz w:val="22"/>
          <w:szCs w:val="22"/>
          <w:lang w:val="bg-BG" w:eastAsia="bg-BG"/>
        </w:rPr>
        <w:fldChar w:fldCharType="begin"/>
      </w:r>
      <w:r w:rsidRPr="008059A7">
        <w:rPr>
          <w:rFonts w:ascii="Times New Roman" w:eastAsia="Times New Roman" w:hAnsi="Times New Roman"/>
          <w:b w:val="0"/>
          <w:i/>
          <w:noProof/>
          <w:color w:val="auto"/>
          <w:sz w:val="22"/>
          <w:szCs w:val="22"/>
          <w:lang w:val="bg-BG" w:eastAsia="bg-BG"/>
        </w:rPr>
        <w:instrText xml:space="preserve"> SEQ Фигура \* ARABIC </w:instrText>
      </w:r>
      <w:r w:rsidRPr="008059A7">
        <w:rPr>
          <w:rFonts w:ascii="Times New Roman" w:eastAsia="Times New Roman" w:hAnsi="Times New Roman"/>
          <w:b w:val="0"/>
          <w:i/>
          <w:noProof/>
          <w:color w:val="auto"/>
          <w:sz w:val="22"/>
          <w:szCs w:val="22"/>
          <w:lang w:val="bg-BG" w:eastAsia="bg-BG"/>
        </w:rPr>
        <w:fldChar w:fldCharType="separate"/>
      </w:r>
      <w:r>
        <w:rPr>
          <w:rFonts w:ascii="Times New Roman" w:eastAsia="Times New Roman" w:hAnsi="Times New Roman"/>
          <w:b w:val="0"/>
          <w:i/>
          <w:noProof/>
          <w:color w:val="auto"/>
          <w:sz w:val="22"/>
          <w:szCs w:val="22"/>
          <w:lang w:val="bg-BG" w:eastAsia="bg-BG"/>
        </w:rPr>
        <w:t>18</w:t>
      </w:r>
      <w:r w:rsidRPr="008059A7">
        <w:rPr>
          <w:rFonts w:ascii="Times New Roman" w:eastAsia="Times New Roman" w:hAnsi="Times New Roman"/>
          <w:b w:val="0"/>
          <w:i/>
          <w:noProof/>
          <w:color w:val="auto"/>
          <w:sz w:val="22"/>
          <w:szCs w:val="22"/>
          <w:lang w:val="bg-BG" w:eastAsia="bg-BG"/>
        </w:rPr>
        <w:fldChar w:fldCharType="end"/>
      </w:r>
      <w:r w:rsidRPr="008059A7">
        <w:rPr>
          <w:rFonts w:ascii="Times New Roman" w:eastAsia="Times New Roman" w:hAnsi="Times New Roman"/>
          <w:b w:val="0"/>
          <w:i/>
          <w:noProof/>
          <w:color w:val="auto"/>
          <w:sz w:val="22"/>
          <w:szCs w:val="22"/>
          <w:lang w:eastAsia="bg-BG"/>
        </w:rPr>
        <w:t xml:space="preserve"> </w:t>
      </w:r>
      <w:r w:rsidR="0042190C" w:rsidRPr="008059A7">
        <w:rPr>
          <w:rFonts w:ascii="Times New Roman" w:eastAsia="Times New Roman" w:hAnsi="Times New Roman"/>
          <w:b w:val="0"/>
          <w:i/>
          <w:noProof/>
          <w:color w:val="auto"/>
          <w:sz w:val="22"/>
          <w:szCs w:val="22"/>
          <w:lang w:val="bg-BG" w:eastAsia="bg-BG"/>
        </w:rPr>
        <w:t>Крайно енергийно потребление общо* и по видове транспорт** в периода 2000 – 2018 г. (1000 toe)</w:t>
      </w:r>
      <w:bookmarkEnd w:id="60"/>
      <w:bookmarkEnd w:id="61"/>
    </w:p>
    <w:p w14:paraId="2DFF3FA1" w14:textId="77777777" w:rsidR="008B1EFF" w:rsidRDefault="0042190C">
      <w:pPr>
        <w:pStyle w:val="a0"/>
        <w:spacing w:before="120" w:line="276" w:lineRule="auto"/>
      </w:pPr>
      <w:r>
        <w:rPr>
          <w:rStyle w:val="a1"/>
          <w:b/>
          <w:bCs/>
          <w:i/>
          <w:iCs/>
          <w:noProof/>
          <w:lang w:val="en-GB" w:eastAsia="en-GB"/>
        </w:rPr>
        <w:drawing>
          <wp:inline distT="0" distB="0" distL="0" distR="0" wp14:anchorId="556AAD61" wp14:editId="788A3D46">
            <wp:extent cx="5461061" cy="2112940"/>
            <wp:effectExtent l="0" t="0" r="6289" b="1610"/>
            <wp:docPr id="28" name="Picture 180" descr="http://eea.government.bg/bg/soer/2018/transport/transport4.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rcRect/>
                    <a:stretch>
                      <a:fillRect/>
                    </a:stretch>
                  </pic:blipFill>
                  <pic:spPr>
                    <a:xfrm>
                      <a:off x="0" y="0"/>
                      <a:ext cx="5461061" cy="2112940"/>
                    </a:xfrm>
                    <a:prstGeom prst="rect">
                      <a:avLst/>
                    </a:prstGeom>
                    <a:noFill/>
                    <a:ln>
                      <a:noFill/>
                      <a:prstDash/>
                    </a:ln>
                  </pic:spPr>
                </pic:pic>
              </a:graphicData>
            </a:graphic>
          </wp:inline>
        </w:drawing>
      </w:r>
    </w:p>
    <w:p w14:paraId="3438BD8F" w14:textId="77777777" w:rsidR="008B1EFF" w:rsidRDefault="0042190C">
      <w:pPr>
        <w:pStyle w:val="a0"/>
        <w:spacing w:before="120" w:line="276" w:lineRule="auto"/>
        <w:rPr>
          <w:bCs/>
          <w:i/>
          <w:iCs/>
          <w:sz w:val="20"/>
          <w:szCs w:val="20"/>
        </w:rPr>
      </w:pPr>
      <w:r>
        <w:rPr>
          <w:bCs/>
          <w:i/>
          <w:iCs/>
          <w:sz w:val="20"/>
          <w:szCs w:val="20"/>
        </w:rPr>
        <w:t>Източник: НСИ</w:t>
      </w:r>
    </w:p>
    <w:p w14:paraId="7FCCE805" w14:textId="77777777" w:rsidR="008B1EFF" w:rsidRPr="002E54A0" w:rsidRDefault="0042190C" w:rsidP="002E54A0">
      <w:pPr>
        <w:pStyle w:val="a0"/>
        <w:spacing w:before="120" w:after="120" w:line="264" w:lineRule="auto"/>
        <w:jc w:val="both"/>
        <w:rPr>
          <w:bCs/>
          <w:i/>
          <w:iCs/>
          <w:sz w:val="20"/>
          <w:szCs w:val="20"/>
        </w:rPr>
      </w:pPr>
      <w:r w:rsidRPr="002E54A0">
        <w:rPr>
          <w:bCs/>
          <w:i/>
          <w:iCs/>
          <w:sz w:val="20"/>
          <w:szCs w:val="20"/>
        </w:rPr>
        <w:t>* общото крайно потребление в транспорта включва освен нефтените горива и електроенергията за БДЖ/градски транспорт и природния газ за автомобилите</w:t>
      </w:r>
    </w:p>
    <w:p w14:paraId="72EDF62F" w14:textId="77777777" w:rsidR="008B1EFF" w:rsidRPr="002E54A0" w:rsidRDefault="0042190C" w:rsidP="002E54A0">
      <w:pPr>
        <w:pStyle w:val="a0"/>
        <w:spacing w:before="120" w:after="120" w:line="264" w:lineRule="auto"/>
        <w:jc w:val="both"/>
        <w:rPr>
          <w:bCs/>
          <w:i/>
          <w:iCs/>
          <w:sz w:val="20"/>
          <w:szCs w:val="20"/>
        </w:rPr>
      </w:pPr>
      <w:r w:rsidRPr="002E54A0">
        <w:rPr>
          <w:bCs/>
          <w:i/>
          <w:iCs/>
          <w:sz w:val="20"/>
          <w:szCs w:val="20"/>
        </w:rPr>
        <w:t>** с изключение на морския и тръбопроводния транспорт</w:t>
      </w:r>
    </w:p>
    <w:p w14:paraId="2E0A5858" w14:textId="77777777" w:rsidR="008B1EFF" w:rsidRPr="002E54A0" w:rsidRDefault="0042190C" w:rsidP="002E54A0">
      <w:pPr>
        <w:pStyle w:val="a0"/>
        <w:spacing w:before="120" w:after="120" w:line="264" w:lineRule="auto"/>
        <w:jc w:val="both"/>
        <w:rPr>
          <w:bCs/>
          <w:i/>
          <w:iCs/>
          <w:sz w:val="20"/>
          <w:szCs w:val="20"/>
        </w:rPr>
      </w:pPr>
      <w:r w:rsidRPr="002E54A0">
        <w:rPr>
          <w:bCs/>
          <w:i/>
          <w:iCs/>
          <w:sz w:val="20"/>
          <w:szCs w:val="20"/>
        </w:rPr>
        <w:t>*** горивата, заредени в страната за вътрешни полети на български и чужди авиокомпании</w:t>
      </w:r>
    </w:p>
    <w:p w14:paraId="5DEBF7C4" w14:textId="77777777" w:rsidR="008B1EFF" w:rsidRPr="002E54A0" w:rsidRDefault="0042190C">
      <w:pPr>
        <w:pStyle w:val="a0"/>
        <w:spacing w:before="120" w:after="120" w:line="264" w:lineRule="auto"/>
        <w:rPr>
          <w:sz w:val="22"/>
          <w:szCs w:val="22"/>
        </w:rPr>
      </w:pPr>
      <w:r w:rsidRPr="002E54A0">
        <w:rPr>
          <w:rStyle w:val="a1"/>
          <w:b/>
          <w:bCs/>
          <w:iCs/>
          <w:sz w:val="22"/>
          <w:szCs w:val="22"/>
        </w:rPr>
        <w:t>Разпределение на товарните превози по видове транспорт</w:t>
      </w:r>
    </w:p>
    <w:p w14:paraId="408D0533" w14:textId="77777777" w:rsidR="008B1EFF" w:rsidRPr="002E54A0" w:rsidRDefault="0042190C">
      <w:pPr>
        <w:pStyle w:val="a0"/>
        <w:spacing w:before="120" w:after="120" w:line="264" w:lineRule="auto"/>
        <w:jc w:val="both"/>
        <w:rPr>
          <w:sz w:val="22"/>
          <w:szCs w:val="22"/>
        </w:rPr>
      </w:pPr>
      <w:r w:rsidRPr="002E54A0">
        <w:rPr>
          <w:sz w:val="22"/>
          <w:szCs w:val="22"/>
        </w:rPr>
        <w:t>Индикаторът „разпределение на товарните превози по видове транспорт” осигурява информация за относителното участие на отделните видове транспорт в общия наземен товарен транспорт (автомобилен, железопътен и вътрешноводен транспорт), изразено в тонкилометри.</w:t>
      </w:r>
    </w:p>
    <w:p w14:paraId="7D0D5E0D" w14:textId="77777777" w:rsidR="008B1EFF" w:rsidRPr="002E54A0" w:rsidRDefault="0042190C">
      <w:pPr>
        <w:pStyle w:val="a0"/>
        <w:spacing w:before="120" w:after="120" w:line="264" w:lineRule="auto"/>
        <w:jc w:val="both"/>
        <w:rPr>
          <w:sz w:val="22"/>
          <w:szCs w:val="22"/>
        </w:rPr>
      </w:pPr>
      <w:r w:rsidRPr="002E54A0">
        <w:rPr>
          <w:sz w:val="22"/>
          <w:szCs w:val="22"/>
        </w:rPr>
        <w:t>Чрез него се следи дали се реализира преходът към екологосъобразните видове транспорт, и по-специално, преминаването от автомобилен към железопътен и воден транспорт, както и намаляването на интензивността на транспортните потоци чрез промени в производството, логистичните процеси и режима на работа и осигуряването на по-добра връзка между отделните видове транспорт.</w:t>
      </w:r>
    </w:p>
    <w:p w14:paraId="04DE017A" w14:textId="77777777" w:rsidR="008B1EFF" w:rsidRPr="002E54A0" w:rsidRDefault="0042190C">
      <w:pPr>
        <w:pStyle w:val="a0"/>
        <w:spacing w:before="120" w:after="120" w:line="264" w:lineRule="auto"/>
        <w:jc w:val="both"/>
        <w:rPr>
          <w:sz w:val="22"/>
          <w:szCs w:val="22"/>
        </w:rPr>
      </w:pPr>
      <w:r w:rsidRPr="002E54A0">
        <w:rPr>
          <w:sz w:val="22"/>
          <w:szCs w:val="22"/>
        </w:rPr>
        <w:t>Почти 100% от превоза на товари се извършва със сухопътен транспорт.</w:t>
      </w:r>
    </w:p>
    <w:p w14:paraId="53EB5666" w14:textId="77777777" w:rsidR="008B1EFF" w:rsidRPr="002E54A0" w:rsidRDefault="0042190C">
      <w:pPr>
        <w:pStyle w:val="a0"/>
        <w:spacing w:before="120" w:after="120" w:line="264" w:lineRule="auto"/>
        <w:jc w:val="both"/>
        <w:rPr>
          <w:sz w:val="22"/>
          <w:szCs w:val="22"/>
        </w:rPr>
      </w:pPr>
      <w:r w:rsidRPr="002E54A0">
        <w:rPr>
          <w:sz w:val="22"/>
          <w:szCs w:val="22"/>
        </w:rPr>
        <w:t>По данни на НСИ, през последните десет години разпределението на товарните превози по видове транспорт се променя. Относителният дял на автомобилния транспорт нараства (от 51,9% през 2000 г. на 85% през 2018 г.) за сметка на железопътния транспорт, чийто дял в товарните превози значително намалява от 44,9% през 2000 г. до 12% през 2018 г. Въпреки че е с най-висок средногодишен ръст за периода 2000 – 2018 г., вътрешноводният транспорт (речен транспорт) произвежда сравнително малко тонкилометри – неговият относителен дял през 2018 г. е 3,0% към общо извършената работа. Морският транспорт, който извършва основно превоз между чужди пристанища и не оказва въздействие върху околната среда, е изключен при разпределението на товарните превози по видове транспорт, съгласно методологията на НСИ за изчисляване на този показател.</w:t>
      </w:r>
    </w:p>
    <w:p w14:paraId="065E5FEC" w14:textId="3E24F0AD" w:rsidR="008B1EFF" w:rsidRPr="002E54A0" w:rsidRDefault="0042190C">
      <w:pPr>
        <w:pStyle w:val="a0"/>
        <w:spacing w:before="120" w:after="120" w:line="264" w:lineRule="auto"/>
        <w:jc w:val="both"/>
        <w:rPr>
          <w:sz w:val="22"/>
          <w:szCs w:val="22"/>
        </w:rPr>
      </w:pPr>
      <w:r w:rsidRPr="002E54A0">
        <w:rPr>
          <w:rStyle w:val="a1"/>
          <w:bCs/>
          <w:sz w:val="22"/>
          <w:szCs w:val="22"/>
        </w:rPr>
        <w:lastRenderedPageBreak/>
        <w:t>От фиг.</w:t>
      </w:r>
      <w:r w:rsidR="008059A7" w:rsidRPr="008059A7">
        <w:rPr>
          <w:rStyle w:val="a1"/>
          <w:bCs/>
          <w:sz w:val="22"/>
          <w:szCs w:val="22"/>
        </w:rPr>
        <w:t>19</w:t>
      </w:r>
      <w:r w:rsidRPr="002E54A0">
        <w:rPr>
          <w:rStyle w:val="a1"/>
          <w:bCs/>
          <w:sz w:val="22"/>
          <w:szCs w:val="22"/>
        </w:rPr>
        <w:t xml:space="preserve"> е видна особено неблагоприятна тенденция на нарастване на дела на автомобилния транспорт, който е основен източник на замърсяване на околната среда при превоза на товари. </w:t>
      </w:r>
    </w:p>
    <w:p w14:paraId="6D92A48B" w14:textId="79D24343" w:rsidR="008B1EFF" w:rsidRPr="008059A7" w:rsidRDefault="008059A7" w:rsidP="00C4667C">
      <w:pPr>
        <w:pStyle w:val="Caption"/>
        <w:jc w:val="both"/>
        <w:rPr>
          <w:rFonts w:ascii="Times New Roman" w:eastAsia="Times New Roman" w:hAnsi="Times New Roman"/>
          <w:b w:val="0"/>
          <w:i/>
          <w:noProof/>
          <w:color w:val="auto"/>
          <w:sz w:val="22"/>
          <w:szCs w:val="22"/>
          <w:lang w:eastAsia="bg-BG"/>
        </w:rPr>
      </w:pPr>
      <w:bookmarkStart w:id="62" w:name="_Toc71529792"/>
      <w:bookmarkStart w:id="63" w:name="_Toc72910402"/>
      <w:r w:rsidRPr="008059A7">
        <w:rPr>
          <w:rFonts w:ascii="Times New Roman" w:eastAsia="Times New Roman" w:hAnsi="Times New Roman"/>
          <w:b w:val="0"/>
          <w:i/>
          <w:noProof/>
          <w:color w:val="auto"/>
          <w:sz w:val="22"/>
          <w:szCs w:val="22"/>
          <w:lang w:eastAsia="bg-BG"/>
        </w:rPr>
        <w:t xml:space="preserve">Фигура </w:t>
      </w:r>
      <w:r w:rsidRPr="008059A7">
        <w:rPr>
          <w:rFonts w:ascii="Times New Roman" w:eastAsia="Times New Roman" w:hAnsi="Times New Roman"/>
          <w:b w:val="0"/>
          <w:i/>
          <w:noProof/>
          <w:color w:val="auto"/>
          <w:sz w:val="22"/>
          <w:szCs w:val="22"/>
          <w:lang w:eastAsia="bg-BG"/>
        </w:rPr>
        <w:fldChar w:fldCharType="begin"/>
      </w:r>
      <w:r w:rsidRPr="008059A7">
        <w:rPr>
          <w:rFonts w:ascii="Times New Roman" w:eastAsia="Times New Roman" w:hAnsi="Times New Roman"/>
          <w:b w:val="0"/>
          <w:i/>
          <w:noProof/>
          <w:color w:val="auto"/>
          <w:sz w:val="22"/>
          <w:szCs w:val="22"/>
          <w:lang w:eastAsia="bg-BG"/>
        </w:rPr>
        <w:instrText xml:space="preserve"> SEQ Фигура \* ARABIC </w:instrText>
      </w:r>
      <w:r w:rsidRPr="008059A7">
        <w:rPr>
          <w:rFonts w:ascii="Times New Roman" w:eastAsia="Times New Roman" w:hAnsi="Times New Roman"/>
          <w:b w:val="0"/>
          <w:i/>
          <w:noProof/>
          <w:color w:val="auto"/>
          <w:sz w:val="22"/>
          <w:szCs w:val="22"/>
          <w:lang w:eastAsia="bg-BG"/>
        </w:rPr>
        <w:fldChar w:fldCharType="separate"/>
      </w:r>
      <w:r w:rsidRPr="008059A7">
        <w:rPr>
          <w:rFonts w:ascii="Times New Roman" w:eastAsia="Times New Roman" w:hAnsi="Times New Roman"/>
          <w:b w:val="0"/>
          <w:i/>
          <w:noProof/>
          <w:color w:val="auto"/>
          <w:sz w:val="22"/>
          <w:szCs w:val="22"/>
          <w:lang w:eastAsia="bg-BG"/>
        </w:rPr>
        <w:t>19</w:t>
      </w:r>
      <w:r w:rsidRPr="008059A7">
        <w:rPr>
          <w:rFonts w:ascii="Times New Roman" w:eastAsia="Times New Roman" w:hAnsi="Times New Roman"/>
          <w:b w:val="0"/>
          <w:i/>
          <w:noProof/>
          <w:color w:val="auto"/>
          <w:sz w:val="22"/>
          <w:szCs w:val="22"/>
          <w:lang w:eastAsia="bg-BG"/>
        </w:rPr>
        <w:fldChar w:fldCharType="end"/>
      </w:r>
      <w:r w:rsidR="0042190C" w:rsidRPr="008059A7">
        <w:rPr>
          <w:rFonts w:ascii="Times New Roman" w:eastAsia="Times New Roman" w:hAnsi="Times New Roman"/>
          <w:b w:val="0"/>
          <w:i/>
          <w:noProof/>
          <w:color w:val="auto"/>
          <w:sz w:val="22"/>
          <w:szCs w:val="22"/>
          <w:lang w:eastAsia="bg-BG"/>
        </w:rPr>
        <w:t xml:space="preserve"> Разпределение на товарните превози по видове транспорт (% от общо изпълнени тонкилометри)</w:t>
      </w:r>
      <w:bookmarkEnd w:id="62"/>
      <w:bookmarkEnd w:id="63"/>
    </w:p>
    <w:p w14:paraId="2DBF5119" w14:textId="77777777" w:rsidR="008B1EFF" w:rsidRDefault="0042190C">
      <w:pPr>
        <w:pStyle w:val="a0"/>
        <w:spacing w:before="120" w:line="276" w:lineRule="auto"/>
        <w:jc w:val="center"/>
      </w:pPr>
      <w:r>
        <w:t> </w:t>
      </w:r>
      <w:r>
        <w:rPr>
          <w:rStyle w:val="a1"/>
          <w:noProof/>
          <w:lang w:val="en-GB" w:eastAsia="en-GB"/>
        </w:rPr>
        <w:drawing>
          <wp:inline distT="0" distB="0" distL="0" distR="0" wp14:anchorId="6A5D9ADE" wp14:editId="240B1AFB">
            <wp:extent cx="4533896" cy="2344613"/>
            <wp:effectExtent l="0" t="0" r="4" b="0"/>
            <wp:docPr id="29" name="Picture 181" descr="http://eea.government.bg/bg/soer/2018/transport/transport3.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rcRect/>
                    <a:stretch>
                      <a:fillRect/>
                    </a:stretch>
                  </pic:blipFill>
                  <pic:spPr>
                    <a:xfrm>
                      <a:off x="0" y="0"/>
                      <a:ext cx="4533896" cy="2344613"/>
                    </a:xfrm>
                    <a:prstGeom prst="rect">
                      <a:avLst/>
                    </a:prstGeom>
                    <a:noFill/>
                    <a:ln>
                      <a:noFill/>
                      <a:prstDash/>
                    </a:ln>
                  </pic:spPr>
                </pic:pic>
              </a:graphicData>
            </a:graphic>
          </wp:inline>
        </w:drawing>
      </w:r>
    </w:p>
    <w:p w14:paraId="1F96F570" w14:textId="77777777" w:rsidR="008B1EFF" w:rsidRDefault="0042190C">
      <w:pPr>
        <w:pStyle w:val="a0"/>
        <w:spacing w:before="120" w:line="276" w:lineRule="auto"/>
      </w:pPr>
      <w:r>
        <w:rPr>
          <w:rStyle w:val="a1"/>
          <w:i/>
          <w:iCs/>
          <w:sz w:val="20"/>
          <w:szCs w:val="20"/>
        </w:rPr>
        <w:t>Източник: НСИ</w:t>
      </w:r>
    </w:p>
    <w:p w14:paraId="7D529CDB" w14:textId="77777777" w:rsidR="008B1EFF" w:rsidRDefault="0042190C">
      <w:pPr>
        <w:pStyle w:val="a0"/>
        <w:spacing w:before="120" w:after="120" w:line="264" w:lineRule="auto"/>
      </w:pPr>
      <w:r>
        <w:rPr>
          <w:rStyle w:val="a1"/>
          <w:i/>
          <w:iCs/>
          <w:sz w:val="20"/>
          <w:szCs w:val="20"/>
        </w:rPr>
        <w:t>* данните за автомобилния транспорт включват и превозите за собствена сметка</w:t>
      </w:r>
    </w:p>
    <w:p w14:paraId="4F4BE310" w14:textId="77777777" w:rsidR="008B1EFF" w:rsidRPr="002700D9" w:rsidRDefault="0042190C" w:rsidP="002700D9">
      <w:pPr>
        <w:pStyle w:val="Heading2"/>
      </w:pPr>
      <w:bookmarkStart w:id="64" w:name="_Toc72910313"/>
      <w:proofErr w:type="spellStart"/>
      <w:r w:rsidRPr="002700D9">
        <w:t>Перспективи</w:t>
      </w:r>
      <w:proofErr w:type="spellEnd"/>
      <w:r w:rsidRPr="002700D9">
        <w:t xml:space="preserve"> и </w:t>
      </w:r>
      <w:proofErr w:type="spellStart"/>
      <w:r w:rsidRPr="002700D9">
        <w:t>препоръки</w:t>
      </w:r>
      <w:proofErr w:type="spellEnd"/>
      <w:r w:rsidRPr="002700D9">
        <w:t xml:space="preserve"> </w:t>
      </w:r>
      <w:proofErr w:type="spellStart"/>
      <w:r w:rsidRPr="002700D9">
        <w:t>за</w:t>
      </w:r>
      <w:proofErr w:type="spellEnd"/>
      <w:r w:rsidRPr="002700D9">
        <w:t xml:space="preserve"> </w:t>
      </w:r>
      <w:proofErr w:type="spellStart"/>
      <w:r w:rsidRPr="002700D9">
        <w:t>постигане</w:t>
      </w:r>
      <w:proofErr w:type="spellEnd"/>
      <w:r w:rsidRPr="002700D9">
        <w:t xml:space="preserve"> </w:t>
      </w:r>
      <w:proofErr w:type="spellStart"/>
      <w:r w:rsidRPr="002700D9">
        <w:t>на</w:t>
      </w:r>
      <w:proofErr w:type="spellEnd"/>
      <w:r w:rsidRPr="002700D9">
        <w:t xml:space="preserve"> </w:t>
      </w:r>
      <w:proofErr w:type="spellStart"/>
      <w:r w:rsidRPr="002700D9">
        <w:t>целите</w:t>
      </w:r>
      <w:bookmarkEnd w:id="64"/>
      <w:proofErr w:type="spellEnd"/>
    </w:p>
    <w:p w14:paraId="57758A83" w14:textId="77777777" w:rsidR="008B1EFF" w:rsidRPr="002E54A0" w:rsidRDefault="0042190C">
      <w:pPr>
        <w:pStyle w:val="a0"/>
        <w:spacing w:after="120" w:line="20" w:lineRule="atLeast"/>
        <w:jc w:val="both"/>
        <w:rPr>
          <w:sz w:val="22"/>
          <w:szCs w:val="22"/>
        </w:rPr>
      </w:pPr>
      <w:r w:rsidRPr="002E54A0">
        <w:rPr>
          <w:sz w:val="22"/>
          <w:szCs w:val="22"/>
        </w:rPr>
        <w:t>Анализът</w:t>
      </w:r>
      <w:r w:rsidRPr="002E54A0">
        <w:rPr>
          <w:rStyle w:val="a1"/>
          <w:rFonts w:eastAsia="Calibri"/>
          <w:sz w:val="22"/>
          <w:szCs w:val="22"/>
          <w:vertAlign w:val="superscript"/>
        </w:rPr>
        <w:footnoteReference w:id="33"/>
      </w:r>
      <w:r w:rsidRPr="002E54A0">
        <w:rPr>
          <w:sz w:val="22"/>
          <w:szCs w:val="22"/>
        </w:rPr>
        <w:t xml:space="preserve"> на политиките и постигнатите резултати на национално ниво, показва, че независимо от положителните тенденции за последните години</w:t>
      </w:r>
      <w:r w:rsidRPr="002E54A0">
        <w:rPr>
          <w:rStyle w:val="a1"/>
          <w:rFonts w:eastAsia="Calibri"/>
          <w:sz w:val="22"/>
          <w:szCs w:val="22"/>
        </w:rPr>
        <w:t xml:space="preserve"> по отношение на намаляване на емисиите ПГ, енергийната ефективност, използването на ВЕИ, и приспособяване към климатичните изменения, предизвикателствата пред страната ни са големи и изискват нов подход и по-амбициозна политика. В противен случай, за България ще бъде трудно да постигне новите, по-амбициозни цели на политиката по климата с хоризонт 2030г. и 2050г.</w:t>
      </w:r>
    </w:p>
    <w:p w14:paraId="534FBA0D" w14:textId="1973D5B2" w:rsidR="008B1EFF" w:rsidRPr="008059A7" w:rsidRDefault="008059A7" w:rsidP="008059A7">
      <w:pPr>
        <w:pStyle w:val="Caption"/>
        <w:jc w:val="both"/>
        <w:rPr>
          <w:rStyle w:val="a1"/>
          <w:rFonts w:ascii="Times New Roman" w:hAnsi="Times New Roman"/>
          <w:b w:val="0"/>
          <w:bCs w:val="0"/>
          <w:i/>
          <w:iCs/>
          <w:color w:val="auto"/>
          <w:sz w:val="22"/>
          <w:szCs w:val="22"/>
          <w:lang w:eastAsia="ar-SA"/>
        </w:rPr>
      </w:pPr>
      <w:bookmarkStart w:id="65" w:name="_Toc72910353"/>
      <w:proofErr w:type="spellStart"/>
      <w:r w:rsidRPr="008059A7">
        <w:rPr>
          <w:rStyle w:val="a1"/>
          <w:rFonts w:ascii="Times New Roman" w:hAnsi="Times New Roman"/>
          <w:b w:val="0"/>
          <w:bCs w:val="0"/>
          <w:i/>
          <w:iCs/>
          <w:color w:val="auto"/>
          <w:sz w:val="22"/>
          <w:szCs w:val="22"/>
          <w:lang w:eastAsia="ar-SA"/>
        </w:rPr>
        <w:t>Таблица</w:t>
      </w:r>
      <w:proofErr w:type="spellEnd"/>
      <w:r w:rsidRPr="008059A7">
        <w:rPr>
          <w:rStyle w:val="a1"/>
          <w:rFonts w:ascii="Times New Roman" w:hAnsi="Times New Roman"/>
          <w:b w:val="0"/>
          <w:bCs w:val="0"/>
          <w:i/>
          <w:iCs/>
          <w:color w:val="auto"/>
          <w:sz w:val="22"/>
          <w:szCs w:val="22"/>
          <w:lang w:eastAsia="ar-SA"/>
        </w:rPr>
        <w:t xml:space="preserve">  </w:t>
      </w:r>
      <w:r w:rsidRPr="008059A7">
        <w:rPr>
          <w:rStyle w:val="a1"/>
          <w:rFonts w:ascii="Times New Roman" w:hAnsi="Times New Roman"/>
          <w:b w:val="0"/>
          <w:bCs w:val="0"/>
          <w:i/>
          <w:iCs/>
          <w:color w:val="auto"/>
          <w:sz w:val="22"/>
          <w:szCs w:val="22"/>
          <w:lang w:eastAsia="ar-SA"/>
        </w:rPr>
        <w:fldChar w:fldCharType="begin"/>
      </w:r>
      <w:r w:rsidRPr="008059A7">
        <w:rPr>
          <w:rStyle w:val="a1"/>
          <w:rFonts w:ascii="Times New Roman" w:hAnsi="Times New Roman"/>
          <w:b w:val="0"/>
          <w:bCs w:val="0"/>
          <w:i/>
          <w:iCs/>
          <w:color w:val="auto"/>
          <w:sz w:val="22"/>
          <w:szCs w:val="22"/>
          <w:lang w:eastAsia="ar-SA"/>
        </w:rPr>
        <w:instrText xml:space="preserve"> SEQ Таблица_ \* ARABIC </w:instrText>
      </w:r>
      <w:r w:rsidRPr="008059A7">
        <w:rPr>
          <w:rStyle w:val="a1"/>
          <w:rFonts w:ascii="Times New Roman" w:hAnsi="Times New Roman"/>
          <w:b w:val="0"/>
          <w:bCs w:val="0"/>
          <w:i/>
          <w:iCs/>
          <w:color w:val="auto"/>
          <w:sz w:val="22"/>
          <w:szCs w:val="22"/>
          <w:lang w:eastAsia="ar-SA"/>
        </w:rPr>
        <w:fldChar w:fldCharType="separate"/>
      </w:r>
      <w:r w:rsidRPr="008059A7">
        <w:rPr>
          <w:rStyle w:val="a1"/>
          <w:rFonts w:ascii="Times New Roman" w:hAnsi="Times New Roman"/>
          <w:b w:val="0"/>
          <w:bCs w:val="0"/>
          <w:i/>
          <w:iCs/>
          <w:color w:val="auto"/>
          <w:sz w:val="22"/>
          <w:szCs w:val="22"/>
          <w:lang w:eastAsia="ar-SA"/>
        </w:rPr>
        <w:t>5</w:t>
      </w:r>
      <w:r w:rsidRPr="008059A7">
        <w:rPr>
          <w:rStyle w:val="a1"/>
          <w:rFonts w:ascii="Times New Roman" w:hAnsi="Times New Roman"/>
          <w:b w:val="0"/>
          <w:bCs w:val="0"/>
          <w:i/>
          <w:iCs/>
          <w:color w:val="auto"/>
          <w:sz w:val="22"/>
          <w:szCs w:val="22"/>
          <w:lang w:eastAsia="ar-SA"/>
        </w:rPr>
        <w:fldChar w:fldCharType="end"/>
      </w:r>
      <w:r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Обобщение</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на</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тенденции</w:t>
      </w:r>
      <w:proofErr w:type="spellEnd"/>
      <w:r w:rsidR="0042190C" w:rsidRPr="008059A7">
        <w:rPr>
          <w:rStyle w:val="a1"/>
          <w:rFonts w:ascii="Times New Roman" w:hAnsi="Times New Roman"/>
          <w:b w:val="0"/>
          <w:bCs w:val="0"/>
          <w:i/>
          <w:iCs/>
          <w:color w:val="auto"/>
          <w:sz w:val="22"/>
          <w:szCs w:val="22"/>
          <w:lang w:eastAsia="ar-SA"/>
        </w:rPr>
        <w:t xml:space="preserve"> и </w:t>
      </w:r>
      <w:proofErr w:type="spellStart"/>
      <w:r w:rsidR="0042190C" w:rsidRPr="008059A7">
        <w:rPr>
          <w:rStyle w:val="a1"/>
          <w:rFonts w:ascii="Times New Roman" w:hAnsi="Times New Roman"/>
          <w:b w:val="0"/>
          <w:bCs w:val="0"/>
          <w:i/>
          <w:iCs/>
          <w:color w:val="auto"/>
          <w:sz w:val="22"/>
          <w:szCs w:val="22"/>
          <w:lang w:eastAsia="ar-SA"/>
        </w:rPr>
        <w:t>перспективи</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за</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постигане</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на</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целите</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на</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политиката</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по</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климата</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на</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национално</w:t>
      </w:r>
      <w:proofErr w:type="spellEnd"/>
      <w:r w:rsidR="0042190C" w:rsidRPr="008059A7">
        <w:rPr>
          <w:rStyle w:val="a1"/>
          <w:rFonts w:ascii="Times New Roman" w:hAnsi="Times New Roman"/>
          <w:b w:val="0"/>
          <w:bCs w:val="0"/>
          <w:i/>
          <w:iCs/>
          <w:color w:val="auto"/>
          <w:sz w:val="22"/>
          <w:szCs w:val="22"/>
          <w:lang w:eastAsia="ar-SA"/>
        </w:rPr>
        <w:t xml:space="preserve"> </w:t>
      </w:r>
      <w:proofErr w:type="spellStart"/>
      <w:r w:rsidR="0042190C" w:rsidRPr="008059A7">
        <w:rPr>
          <w:rStyle w:val="a1"/>
          <w:rFonts w:ascii="Times New Roman" w:hAnsi="Times New Roman"/>
          <w:b w:val="0"/>
          <w:bCs w:val="0"/>
          <w:i/>
          <w:iCs/>
          <w:color w:val="auto"/>
          <w:sz w:val="22"/>
          <w:szCs w:val="22"/>
          <w:lang w:eastAsia="ar-SA"/>
        </w:rPr>
        <w:t>ниво</w:t>
      </w:r>
      <w:bookmarkEnd w:id="65"/>
      <w:proofErr w:type="spellEnd"/>
    </w:p>
    <w:p w14:paraId="7DF41BA1" w14:textId="77777777" w:rsidR="006D6D46" w:rsidRPr="00945A11" w:rsidRDefault="006D6D46" w:rsidP="006D6D46">
      <w:pPr>
        <w:shd w:val="clear" w:color="auto" w:fill="FFFFFF"/>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b/>
          <w:bCs/>
          <w:color w:val="222222"/>
          <w:sz w:val="20"/>
          <w:szCs w:val="20"/>
          <w:lang w:val="bg-BG"/>
        </w:rPr>
        <w:t>Тема: Ресурсно ефективна, кръгова и нисковъглеродна икономика</w:t>
      </w:r>
    </w:p>
    <w:tbl>
      <w:tblPr>
        <w:tblW w:w="0" w:type="auto"/>
        <w:shd w:val="clear" w:color="auto" w:fill="FFFFFF"/>
        <w:tblCellMar>
          <w:left w:w="0" w:type="dxa"/>
          <w:right w:w="0" w:type="dxa"/>
        </w:tblCellMar>
        <w:tblLook w:val="04A0" w:firstRow="1" w:lastRow="0" w:firstColumn="1" w:lastColumn="0" w:noHBand="0" w:noVBand="1"/>
      </w:tblPr>
      <w:tblGrid>
        <w:gridCol w:w="2334"/>
        <w:gridCol w:w="360"/>
        <w:gridCol w:w="6646"/>
      </w:tblGrid>
      <w:tr w:rsidR="006D6D46" w:rsidRPr="00945A11" w14:paraId="3CA2E38C" w14:textId="77777777" w:rsidTr="004C0DE7">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18D4F40A"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b/>
                <w:bCs/>
                <w:color w:val="222222"/>
                <w:sz w:val="20"/>
                <w:szCs w:val="20"/>
                <w:lang w:val="bg-BG"/>
              </w:rPr>
              <w:t>Емисии ПГ и усилия за смекчаване на последиците</w:t>
            </w:r>
          </w:p>
        </w:tc>
      </w:tr>
      <w:tr w:rsidR="006D6D46" w:rsidRPr="00945A11" w14:paraId="4784437E" w14:textId="77777777" w:rsidTr="004C0DE7">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50004960"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Тенденции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през</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последните</w:t>
            </w:r>
            <w:proofErr w:type="spellEnd"/>
            <w:r w:rsidRPr="00945A11">
              <w:rPr>
                <w:rFonts w:ascii="Times New Roman" w:eastAsia="Times New Roman" w:hAnsi="Times New Roman"/>
                <w:color w:val="222222"/>
                <w:sz w:val="20"/>
                <w:szCs w:val="20"/>
              </w:rPr>
              <w:t> </w:t>
            </w:r>
            <w:r w:rsidRPr="00945A11">
              <w:rPr>
                <w:rFonts w:ascii="Times New Roman" w:eastAsia="Times New Roman" w:hAnsi="Times New Roman"/>
                <w:color w:val="222222"/>
                <w:sz w:val="20"/>
                <w:szCs w:val="20"/>
                <w:lang w:val="bg-BG"/>
              </w:rPr>
              <w:t>30 </w:t>
            </w:r>
            <w:proofErr w:type="spellStart"/>
            <w:r w:rsidRPr="00945A11">
              <w:rPr>
                <w:rFonts w:ascii="Times New Roman" w:eastAsia="Times New Roman" w:hAnsi="Times New Roman"/>
                <w:color w:val="222222"/>
                <w:sz w:val="20"/>
                <w:szCs w:val="20"/>
              </w:rPr>
              <w:t>години</w:t>
            </w:r>
            <w:proofErr w:type="spellEnd"/>
          </w:p>
          <w:p w14:paraId="360BC7B6"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nil"/>
              <w:left w:val="nil"/>
              <w:bottom w:val="single" w:sz="8" w:space="0" w:color="auto"/>
              <w:right w:val="single" w:sz="8" w:space="0" w:color="auto"/>
            </w:tcBorders>
            <w:shd w:val="clear" w:color="auto" w:fill="00B050"/>
            <w:tcMar>
              <w:top w:w="0" w:type="dxa"/>
              <w:left w:w="108" w:type="dxa"/>
              <w:bottom w:w="0" w:type="dxa"/>
              <w:right w:w="108" w:type="dxa"/>
            </w:tcMar>
            <w:hideMark/>
          </w:tcPr>
          <w:p w14:paraId="7CF950CE"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039DD7D1" w14:textId="77777777" w:rsidR="006D6D46" w:rsidRPr="00945A11" w:rsidRDefault="006D6D46" w:rsidP="004C0DE7">
            <w:pPr>
              <w:spacing w:after="0" w:line="224" w:lineRule="atLeast"/>
              <w:jc w:val="both"/>
              <w:rPr>
                <w:rFonts w:ascii="Times New Roman" w:eastAsia="Times New Roman" w:hAnsi="Times New Roman"/>
                <w:b/>
                <w:bCs/>
                <w:color w:val="222222"/>
                <w:sz w:val="20"/>
                <w:szCs w:val="20"/>
              </w:rPr>
            </w:pPr>
            <w:r w:rsidRPr="00945A11">
              <w:rPr>
                <w:rFonts w:ascii="Times New Roman" w:eastAsia="Times New Roman" w:hAnsi="Times New Roman"/>
                <w:b/>
                <w:bCs/>
                <w:color w:val="00B050"/>
                <w:sz w:val="20"/>
                <w:szCs w:val="20"/>
                <w:lang w:val="bg-BG"/>
              </w:rPr>
              <w:t>Тенденциите / промените към подобрение преобладават</w:t>
            </w:r>
          </w:p>
          <w:p w14:paraId="596D0C78" w14:textId="77777777" w:rsidR="006D6D46" w:rsidRPr="00945A11" w:rsidRDefault="006D6D46" w:rsidP="004C0DE7">
            <w:pPr>
              <w:spacing w:after="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България изпълнява поетите международни ангажименти  и емисиите ПГ са значително по-ниски в сравнение с базовата 1988г.</w:t>
            </w:r>
          </w:p>
        </w:tc>
      </w:tr>
    </w:tbl>
    <w:p w14:paraId="381E01D4" w14:textId="77777777" w:rsidR="006D6D46" w:rsidRPr="00945A11" w:rsidRDefault="006D6D46" w:rsidP="006D6D46">
      <w:pPr>
        <w:spacing w:after="0" w:line="240" w:lineRule="auto"/>
        <w:rPr>
          <w:rFonts w:ascii="Times New Roman" w:eastAsia="Times New Roman" w:hAnsi="Times New Roman"/>
          <w:vanish/>
          <w:sz w:val="20"/>
          <w:szCs w:val="20"/>
        </w:rPr>
      </w:pPr>
    </w:p>
    <w:tbl>
      <w:tblPr>
        <w:tblW w:w="0" w:type="auto"/>
        <w:shd w:val="clear" w:color="auto" w:fill="FFFFFF"/>
        <w:tblCellMar>
          <w:left w:w="0" w:type="dxa"/>
          <w:right w:w="0" w:type="dxa"/>
        </w:tblCellMar>
        <w:tblLook w:val="04A0" w:firstRow="1" w:lastRow="0" w:firstColumn="1" w:lastColumn="0" w:noHBand="0" w:noVBand="1"/>
      </w:tblPr>
      <w:tblGrid>
        <w:gridCol w:w="2333"/>
        <w:gridCol w:w="360"/>
        <w:gridCol w:w="6647"/>
      </w:tblGrid>
      <w:tr w:rsidR="006D6D46" w:rsidRPr="00945A11" w14:paraId="2E97972F" w14:textId="77777777" w:rsidTr="004C0DE7">
        <w:tc>
          <w:tcPr>
            <w:tcW w:w="2335"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7238FFAC"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Перспективи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за</w:t>
            </w:r>
            <w:proofErr w:type="spellEnd"/>
            <w:r w:rsidRPr="00945A11">
              <w:rPr>
                <w:rFonts w:ascii="Times New Roman" w:eastAsia="Times New Roman" w:hAnsi="Times New Roman"/>
                <w:color w:val="222222"/>
                <w:sz w:val="20"/>
                <w:szCs w:val="20"/>
              </w:rPr>
              <w:t xml:space="preserve"> 2030 г.</w:t>
            </w:r>
          </w:p>
          <w:p w14:paraId="0FB56BA3"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single" w:sz="8" w:space="0" w:color="auto"/>
              <w:left w:val="nil"/>
              <w:bottom w:val="single" w:sz="8" w:space="0" w:color="auto"/>
              <w:right w:val="single" w:sz="8" w:space="0" w:color="auto"/>
            </w:tcBorders>
            <w:shd w:val="clear" w:color="auto" w:fill="FFC000"/>
            <w:tcMar>
              <w:top w:w="0" w:type="dxa"/>
              <w:left w:w="108" w:type="dxa"/>
              <w:bottom w:w="0" w:type="dxa"/>
              <w:right w:w="108" w:type="dxa"/>
            </w:tcMar>
            <w:hideMark/>
          </w:tcPr>
          <w:p w14:paraId="3DEF1352"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14:paraId="17C51918" w14:textId="77777777" w:rsidR="006D6D46" w:rsidRPr="00945A11" w:rsidRDefault="006D6D46" w:rsidP="004C0DE7">
            <w:pPr>
              <w:spacing w:after="120" w:line="224" w:lineRule="atLeast"/>
              <w:jc w:val="both"/>
              <w:rPr>
                <w:rFonts w:ascii="Times New Roman" w:eastAsia="Times New Roman" w:hAnsi="Times New Roman"/>
                <w:b/>
                <w:bCs/>
                <w:color w:val="222222"/>
                <w:sz w:val="20"/>
                <w:szCs w:val="20"/>
              </w:rPr>
            </w:pPr>
            <w:r w:rsidRPr="00945A11">
              <w:rPr>
                <w:rFonts w:ascii="Times New Roman" w:eastAsia="Times New Roman" w:hAnsi="Times New Roman"/>
                <w:b/>
                <w:bCs/>
                <w:color w:val="FFC000"/>
                <w:sz w:val="20"/>
                <w:szCs w:val="20"/>
                <w:lang w:val="bg-BG"/>
              </w:rPr>
              <w:t>Тенденциите / промените представят нееднородна картина</w:t>
            </w:r>
          </w:p>
          <w:p w14:paraId="7F605B32"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 xml:space="preserve">Прогнозите сочат, че има риск държавата да не успее да постигне целта за ограничаване на емисиите ПГ от секторите извън СТЕ до равнищата им от </w:t>
            </w:r>
            <w:r w:rsidRPr="00945A11">
              <w:rPr>
                <w:rFonts w:ascii="Times New Roman" w:eastAsia="Times New Roman" w:hAnsi="Times New Roman"/>
                <w:color w:val="222222"/>
                <w:sz w:val="20"/>
                <w:szCs w:val="20"/>
                <w:lang w:val="bg-BG"/>
              </w:rPr>
              <w:lastRenderedPageBreak/>
              <w:t>2005 г. Очаква се икономическите разходи за емисиите</w:t>
            </w:r>
            <w:r>
              <w:rPr>
                <w:rFonts w:ascii="Times New Roman" w:eastAsia="Times New Roman" w:hAnsi="Times New Roman"/>
                <w:color w:val="222222"/>
                <w:sz w:val="20"/>
                <w:szCs w:val="20"/>
                <w:lang w:val="bg-BG"/>
              </w:rPr>
              <w:t xml:space="preserve"> (за икономическите оператори в СТЕ) </w:t>
            </w:r>
            <w:r w:rsidRPr="00945A11">
              <w:rPr>
                <w:rFonts w:ascii="Times New Roman" w:eastAsia="Times New Roman" w:hAnsi="Times New Roman"/>
                <w:color w:val="222222"/>
                <w:sz w:val="20"/>
                <w:szCs w:val="20"/>
                <w:lang w:val="bg-BG"/>
              </w:rPr>
              <w:t>да нараснат и да засегнат конкурентоспособността.</w:t>
            </w:r>
            <w:r>
              <w:rPr>
                <w:rFonts w:ascii="Times New Roman" w:eastAsia="Times New Roman" w:hAnsi="Times New Roman"/>
                <w:color w:val="222222"/>
                <w:sz w:val="20"/>
                <w:szCs w:val="20"/>
                <w:lang w:val="bg-BG"/>
              </w:rPr>
              <w:t xml:space="preserve">  </w:t>
            </w:r>
          </w:p>
        </w:tc>
      </w:tr>
      <w:tr w:rsidR="006D6D46" w:rsidRPr="00945A11" w14:paraId="58F4C882" w14:textId="77777777" w:rsidTr="004C0DE7">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088FB008"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lastRenderedPageBreak/>
              <w:t>Перспективи за 2050г.</w:t>
            </w:r>
          </w:p>
        </w:tc>
        <w:tc>
          <w:tcPr>
            <w:tcW w:w="360" w:type="dxa"/>
            <w:tcBorders>
              <w:top w:val="nil"/>
              <w:left w:val="nil"/>
              <w:bottom w:val="single" w:sz="8" w:space="0" w:color="auto"/>
              <w:right w:val="single" w:sz="8" w:space="0" w:color="auto"/>
            </w:tcBorders>
            <w:shd w:val="clear" w:color="auto" w:fill="C00000"/>
            <w:tcMar>
              <w:top w:w="0" w:type="dxa"/>
              <w:left w:w="108" w:type="dxa"/>
              <w:bottom w:w="0" w:type="dxa"/>
              <w:right w:w="108" w:type="dxa"/>
            </w:tcMar>
            <w:hideMark/>
          </w:tcPr>
          <w:p w14:paraId="0B60E11A"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1EA84CC8" w14:textId="77777777" w:rsidR="006D6D46" w:rsidRPr="00945A11" w:rsidRDefault="006D6D46" w:rsidP="004C0DE7">
            <w:pPr>
              <w:spacing w:after="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C0504D"/>
                <w:sz w:val="20"/>
                <w:szCs w:val="20"/>
              </w:rPr>
              <w:t>Тенденциите</w:t>
            </w:r>
            <w:proofErr w:type="spellEnd"/>
            <w:r w:rsidRPr="00945A11">
              <w:rPr>
                <w:rFonts w:ascii="Times New Roman" w:eastAsia="Times New Roman" w:hAnsi="Times New Roman"/>
                <w:color w:val="C0504D"/>
                <w:sz w:val="20"/>
                <w:szCs w:val="20"/>
              </w:rPr>
              <w:t xml:space="preserve"> / </w:t>
            </w:r>
            <w:proofErr w:type="spellStart"/>
            <w:r w:rsidRPr="00945A11">
              <w:rPr>
                <w:rFonts w:ascii="Times New Roman" w:eastAsia="Times New Roman" w:hAnsi="Times New Roman"/>
                <w:color w:val="C0504D"/>
                <w:sz w:val="20"/>
                <w:szCs w:val="20"/>
              </w:rPr>
              <w:t>промените</w:t>
            </w:r>
            <w:proofErr w:type="spellEnd"/>
            <w:r w:rsidRPr="00945A11">
              <w:rPr>
                <w:rFonts w:ascii="Times New Roman" w:eastAsia="Times New Roman" w:hAnsi="Times New Roman"/>
                <w:color w:val="C0504D"/>
                <w:sz w:val="20"/>
                <w:szCs w:val="20"/>
              </w:rPr>
              <w:t xml:space="preserve"> </w:t>
            </w:r>
            <w:proofErr w:type="spellStart"/>
            <w:r w:rsidRPr="00945A11">
              <w:rPr>
                <w:rFonts w:ascii="Times New Roman" w:eastAsia="Times New Roman" w:hAnsi="Times New Roman"/>
                <w:color w:val="C0504D"/>
                <w:sz w:val="20"/>
                <w:szCs w:val="20"/>
              </w:rPr>
              <w:t>към</w:t>
            </w:r>
            <w:proofErr w:type="spellEnd"/>
            <w:r w:rsidRPr="00945A11">
              <w:rPr>
                <w:rFonts w:ascii="Times New Roman" w:eastAsia="Times New Roman" w:hAnsi="Times New Roman"/>
                <w:color w:val="C0504D"/>
                <w:sz w:val="20"/>
                <w:szCs w:val="20"/>
              </w:rPr>
              <w:t xml:space="preserve"> </w:t>
            </w:r>
            <w:proofErr w:type="spellStart"/>
            <w:r w:rsidRPr="00945A11">
              <w:rPr>
                <w:rFonts w:ascii="Times New Roman" w:eastAsia="Times New Roman" w:hAnsi="Times New Roman"/>
                <w:color w:val="C0504D"/>
                <w:sz w:val="20"/>
                <w:szCs w:val="20"/>
              </w:rPr>
              <w:t>влошаване</w:t>
            </w:r>
            <w:proofErr w:type="spellEnd"/>
            <w:r w:rsidRPr="00945A11">
              <w:rPr>
                <w:rFonts w:ascii="Times New Roman" w:eastAsia="Times New Roman" w:hAnsi="Times New Roman"/>
                <w:color w:val="C0504D"/>
                <w:sz w:val="20"/>
                <w:szCs w:val="20"/>
              </w:rPr>
              <w:t xml:space="preserve"> </w:t>
            </w:r>
            <w:proofErr w:type="spellStart"/>
            <w:r w:rsidRPr="00945A11">
              <w:rPr>
                <w:rFonts w:ascii="Times New Roman" w:eastAsia="Times New Roman" w:hAnsi="Times New Roman"/>
                <w:color w:val="C0504D"/>
                <w:sz w:val="20"/>
                <w:szCs w:val="20"/>
              </w:rPr>
              <w:t>преобладават</w:t>
            </w:r>
            <w:proofErr w:type="spellEnd"/>
          </w:p>
          <w:p w14:paraId="3996602F"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Високата въглеродна интензивност на икономиката, силната зависимост от въглища на енергетиката, както и ниския екоиновационен индекс  поставят под риск постигането на целта за въглеродна неутралност.</w:t>
            </w:r>
          </w:p>
        </w:tc>
      </w:tr>
    </w:tbl>
    <w:p w14:paraId="41BD1079" w14:textId="77777777" w:rsidR="006D6D46" w:rsidRPr="00945A11" w:rsidRDefault="006D6D46" w:rsidP="006D6D46">
      <w:pPr>
        <w:shd w:val="clear" w:color="auto" w:fill="FFFFFF"/>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 </w:t>
      </w:r>
    </w:p>
    <w:tbl>
      <w:tblPr>
        <w:tblW w:w="0" w:type="auto"/>
        <w:shd w:val="clear" w:color="auto" w:fill="FFFFFF"/>
        <w:tblCellMar>
          <w:left w:w="0" w:type="dxa"/>
          <w:right w:w="0" w:type="dxa"/>
        </w:tblCellMar>
        <w:tblLook w:val="04A0" w:firstRow="1" w:lastRow="0" w:firstColumn="1" w:lastColumn="0" w:noHBand="0" w:noVBand="1"/>
      </w:tblPr>
      <w:tblGrid>
        <w:gridCol w:w="2333"/>
        <w:gridCol w:w="360"/>
        <w:gridCol w:w="6647"/>
      </w:tblGrid>
      <w:tr w:rsidR="006D6D46" w:rsidRPr="00945A11" w14:paraId="2FF8EDE8" w14:textId="77777777" w:rsidTr="004C0DE7">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0D2DC55B" w14:textId="77777777" w:rsidR="006D6D46" w:rsidRPr="00945A11" w:rsidRDefault="006D6D46" w:rsidP="004C0DE7">
            <w:pPr>
              <w:spacing w:before="120" w:after="120" w:line="215" w:lineRule="atLeast"/>
              <w:jc w:val="both"/>
              <w:rPr>
                <w:rFonts w:ascii="Times New Roman" w:eastAsia="Times New Roman" w:hAnsi="Times New Roman"/>
                <w:color w:val="222222"/>
                <w:sz w:val="20"/>
                <w:szCs w:val="20"/>
              </w:rPr>
            </w:pPr>
            <w:r w:rsidRPr="00945A11">
              <w:rPr>
                <w:rFonts w:ascii="Times New Roman" w:eastAsia="Times New Roman" w:hAnsi="Times New Roman"/>
                <w:b/>
                <w:bCs/>
                <w:color w:val="222222"/>
                <w:sz w:val="20"/>
                <w:szCs w:val="20"/>
                <w:lang w:val="bg-BG"/>
              </w:rPr>
              <w:t>Енергийна ефективност</w:t>
            </w:r>
          </w:p>
        </w:tc>
      </w:tr>
      <w:tr w:rsidR="006D6D46" w:rsidRPr="00945A11" w14:paraId="71EA6228" w14:textId="77777777" w:rsidTr="004C0DE7">
        <w:tc>
          <w:tcPr>
            <w:tcW w:w="2335" w:type="dxa"/>
            <w:tcBorders>
              <w:top w:val="nil"/>
              <w:left w:val="single" w:sz="8" w:space="0" w:color="auto"/>
              <w:bottom w:val="single" w:sz="4" w:space="0" w:color="auto"/>
              <w:right w:val="single" w:sz="8" w:space="0" w:color="auto"/>
            </w:tcBorders>
            <w:shd w:val="clear" w:color="auto" w:fill="auto"/>
            <w:tcMar>
              <w:top w:w="0" w:type="dxa"/>
              <w:left w:w="108" w:type="dxa"/>
              <w:bottom w:w="0" w:type="dxa"/>
              <w:right w:w="108" w:type="dxa"/>
            </w:tcMar>
            <w:hideMark/>
          </w:tcPr>
          <w:p w14:paraId="7BCB9972"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Тенденции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през</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последните</w:t>
            </w:r>
            <w:proofErr w:type="spellEnd"/>
            <w:r w:rsidRPr="00945A11">
              <w:rPr>
                <w:rFonts w:ascii="Times New Roman" w:eastAsia="Times New Roman" w:hAnsi="Times New Roman"/>
                <w:color w:val="222222"/>
                <w:sz w:val="20"/>
                <w:szCs w:val="20"/>
              </w:rPr>
              <w:t xml:space="preserve"> 10 </w:t>
            </w:r>
            <w:proofErr w:type="spellStart"/>
            <w:r w:rsidRPr="00945A11">
              <w:rPr>
                <w:rFonts w:ascii="Times New Roman" w:eastAsia="Times New Roman" w:hAnsi="Times New Roman"/>
                <w:color w:val="222222"/>
                <w:sz w:val="20"/>
                <w:szCs w:val="20"/>
              </w:rPr>
              <w:t>години</w:t>
            </w:r>
            <w:proofErr w:type="spellEnd"/>
          </w:p>
          <w:p w14:paraId="4CCAA525"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nil"/>
              <w:left w:val="nil"/>
              <w:bottom w:val="single" w:sz="4" w:space="0" w:color="auto"/>
              <w:right w:val="single" w:sz="8" w:space="0" w:color="auto"/>
            </w:tcBorders>
            <w:shd w:val="clear" w:color="auto" w:fill="FFC000"/>
            <w:tcMar>
              <w:top w:w="0" w:type="dxa"/>
              <w:left w:w="108" w:type="dxa"/>
              <w:bottom w:w="0" w:type="dxa"/>
              <w:right w:w="108" w:type="dxa"/>
            </w:tcMar>
            <w:hideMark/>
          </w:tcPr>
          <w:p w14:paraId="152E6AAA"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nil"/>
              <w:left w:val="nil"/>
              <w:bottom w:val="single" w:sz="4" w:space="0" w:color="auto"/>
              <w:right w:val="single" w:sz="8" w:space="0" w:color="auto"/>
            </w:tcBorders>
            <w:shd w:val="clear" w:color="auto" w:fill="auto"/>
            <w:tcMar>
              <w:top w:w="0" w:type="dxa"/>
              <w:left w:w="108" w:type="dxa"/>
              <w:bottom w:w="0" w:type="dxa"/>
              <w:right w:w="108" w:type="dxa"/>
            </w:tcMar>
            <w:hideMark/>
          </w:tcPr>
          <w:p w14:paraId="30BEB6A7" w14:textId="77777777" w:rsidR="006D6D46" w:rsidRPr="00945A11" w:rsidRDefault="006D6D46" w:rsidP="004C0DE7">
            <w:pPr>
              <w:spacing w:after="120" w:line="224" w:lineRule="atLeast"/>
              <w:jc w:val="both"/>
              <w:rPr>
                <w:rFonts w:ascii="Times New Roman" w:eastAsia="Times New Roman" w:hAnsi="Times New Roman"/>
                <w:b/>
                <w:bCs/>
                <w:color w:val="222222"/>
                <w:sz w:val="20"/>
                <w:szCs w:val="20"/>
              </w:rPr>
            </w:pPr>
            <w:r w:rsidRPr="00945A11">
              <w:rPr>
                <w:rFonts w:ascii="Times New Roman" w:eastAsia="Times New Roman" w:hAnsi="Times New Roman"/>
                <w:b/>
                <w:bCs/>
                <w:color w:val="FFC000"/>
                <w:sz w:val="20"/>
                <w:szCs w:val="20"/>
                <w:lang w:val="bg-BG"/>
              </w:rPr>
              <w:t>Тенденциите / промените представят нееднородна картина</w:t>
            </w:r>
          </w:p>
          <w:p w14:paraId="1F71F5AB" w14:textId="77777777" w:rsidR="006D6D46" w:rsidRPr="00945A11" w:rsidRDefault="006D6D46" w:rsidP="004C0DE7">
            <w:pPr>
              <w:spacing w:after="120" w:line="240" w:lineRule="auto"/>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Страната успява до постигне 17.4% намаление, но остава с най-енергоемката икономика в ЕС.</w:t>
            </w:r>
          </w:p>
        </w:tc>
      </w:tr>
      <w:tr w:rsidR="006D6D46" w:rsidRPr="00945A11" w14:paraId="1C3B4E84" w14:textId="77777777" w:rsidTr="004C0DE7">
        <w:tc>
          <w:tcPr>
            <w:tcW w:w="2335" w:type="dxa"/>
            <w:tcBorders>
              <w:top w:val="sing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47C48BD9"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Перспективи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за</w:t>
            </w:r>
            <w:proofErr w:type="spellEnd"/>
            <w:r w:rsidRPr="00945A11">
              <w:rPr>
                <w:rFonts w:ascii="Times New Roman" w:eastAsia="Times New Roman" w:hAnsi="Times New Roman"/>
                <w:color w:val="222222"/>
                <w:sz w:val="20"/>
                <w:szCs w:val="20"/>
              </w:rPr>
              <w:t xml:space="preserve"> 2030 г.</w:t>
            </w:r>
          </w:p>
          <w:p w14:paraId="5A35CC49"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single" w:sz="4" w:space="0" w:color="auto"/>
              <w:left w:val="nil"/>
              <w:bottom w:val="single" w:sz="8" w:space="0" w:color="auto"/>
              <w:right w:val="single" w:sz="8" w:space="0" w:color="auto"/>
            </w:tcBorders>
            <w:shd w:val="clear" w:color="auto" w:fill="FFC000"/>
            <w:tcMar>
              <w:top w:w="0" w:type="dxa"/>
              <w:left w:w="108" w:type="dxa"/>
              <w:bottom w:w="0" w:type="dxa"/>
              <w:right w:w="108" w:type="dxa"/>
            </w:tcMar>
            <w:hideMark/>
          </w:tcPr>
          <w:p w14:paraId="5CEAFF29"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14:paraId="3E4B9E4A" w14:textId="77777777" w:rsidR="006D6D46" w:rsidRPr="00945A11" w:rsidRDefault="006D6D46" w:rsidP="004C0DE7">
            <w:pPr>
              <w:spacing w:after="120" w:line="224" w:lineRule="atLeast"/>
              <w:jc w:val="both"/>
              <w:rPr>
                <w:rFonts w:ascii="Times New Roman" w:eastAsia="Times New Roman" w:hAnsi="Times New Roman"/>
                <w:b/>
                <w:bCs/>
                <w:color w:val="222222"/>
                <w:sz w:val="20"/>
                <w:szCs w:val="20"/>
              </w:rPr>
            </w:pPr>
            <w:r w:rsidRPr="00945A11">
              <w:rPr>
                <w:rFonts w:ascii="Times New Roman" w:eastAsia="Times New Roman" w:hAnsi="Times New Roman"/>
                <w:b/>
                <w:bCs/>
                <w:color w:val="FFC000"/>
                <w:sz w:val="20"/>
                <w:szCs w:val="20"/>
                <w:lang w:val="bg-BG"/>
              </w:rPr>
              <w:t>Тенденциите / промените представят нееднородна картина</w:t>
            </w:r>
          </w:p>
          <w:p w14:paraId="760440EA"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Високата енергийна интензивност на икономиката, както и повишаването на амбицията на ЕС, поставят под риск постигането на целта. В същото време, потенциалът на страната за постигане на  енергийната ефективност се оценява като много висок.</w:t>
            </w:r>
          </w:p>
        </w:tc>
      </w:tr>
    </w:tbl>
    <w:p w14:paraId="2A3FDB05" w14:textId="77777777" w:rsidR="006D6D46" w:rsidRPr="00945A11" w:rsidRDefault="006D6D46" w:rsidP="006D6D46">
      <w:pPr>
        <w:shd w:val="clear" w:color="auto" w:fill="FFFFFF"/>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 </w:t>
      </w:r>
    </w:p>
    <w:tbl>
      <w:tblPr>
        <w:tblW w:w="0" w:type="auto"/>
        <w:shd w:val="clear" w:color="auto" w:fill="FFFFFF"/>
        <w:tblCellMar>
          <w:left w:w="0" w:type="dxa"/>
          <w:right w:w="0" w:type="dxa"/>
        </w:tblCellMar>
        <w:tblLook w:val="04A0" w:firstRow="1" w:lastRow="0" w:firstColumn="1" w:lastColumn="0" w:noHBand="0" w:noVBand="1"/>
      </w:tblPr>
      <w:tblGrid>
        <w:gridCol w:w="2333"/>
        <w:gridCol w:w="360"/>
        <w:gridCol w:w="6647"/>
      </w:tblGrid>
      <w:tr w:rsidR="006D6D46" w:rsidRPr="00945A11" w14:paraId="29D5243F" w14:textId="77777777" w:rsidTr="004C0DE7">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EC22A14"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b/>
                <w:bCs/>
                <w:color w:val="222222"/>
                <w:sz w:val="20"/>
                <w:szCs w:val="20"/>
                <w:lang w:val="bg-BG"/>
              </w:rPr>
              <w:t>Възобновяеми енергийни източници</w:t>
            </w:r>
          </w:p>
        </w:tc>
      </w:tr>
      <w:tr w:rsidR="006D6D46" w:rsidRPr="00945A11" w14:paraId="70F973A1" w14:textId="77777777" w:rsidTr="004C0DE7">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70DC5CC6"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Тенденции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през</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последните</w:t>
            </w:r>
            <w:proofErr w:type="spellEnd"/>
            <w:r w:rsidRPr="00945A11">
              <w:rPr>
                <w:rFonts w:ascii="Times New Roman" w:eastAsia="Times New Roman" w:hAnsi="Times New Roman"/>
                <w:color w:val="222222"/>
                <w:sz w:val="20"/>
                <w:szCs w:val="20"/>
              </w:rPr>
              <w:t xml:space="preserve"> 10 </w:t>
            </w:r>
            <w:proofErr w:type="spellStart"/>
            <w:r w:rsidRPr="00945A11">
              <w:rPr>
                <w:rFonts w:ascii="Times New Roman" w:eastAsia="Times New Roman" w:hAnsi="Times New Roman"/>
                <w:color w:val="222222"/>
                <w:sz w:val="20"/>
                <w:szCs w:val="20"/>
              </w:rPr>
              <w:t>години</w:t>
            </w:r>
            <w:proofErr w:type="spellEnd"/>
          </w:p>
          <w:p w14:paraId="50E01A9B"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nil"/>
              <w:left w:val="nil"/>
              <w:bottom w:val="single" w:sz="8" w:space="0" w:color="auto"/>
              <w:right w:val="single" w:sz="8" w:space="0" w:color="auto"/>
            </w:tcBorders>
            <w:shd w:val="clear" w:color="auto" w:fill="70AD47"/>
            <w:tcMar>
              <w:top w:w="0" w:type="dxa"/>
              <w:left w:w="108" w:type="dxa"/>
              <w:bottom w:w="0" w:type="dxa"/>
              <w:right w:w="108" w:type="dxa"/>
            </w:tcMar>
            <w:hideMark/>
          </w:tcPr>
          <w:p w14:paraId="40697DC2"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2A0A3FF6" w14:textId="77777777" w:rsidR="006D6D46" w:rsidRPr="00945A11" w:rsidRDefault="006D6D46" w:rsidP="004C0DE7">
            <w:pPr>
              <w:spacing w:after="120" w:line="224" w:lineRule="atLeast"/>
              <w:jc w:val="both"/>
              <w:rPr>
                <w:rFonts w:ascii="Times New Roman" w:eastAsia="Times New Roman" w:hAnsi="Times New Roman"/>
                <w:b/>
                <w:bCs/>
                <w:color w:val="222222"/>
                <w:sz w:val="20"/>
                <w:szCs w:val="20"/>
              </w:rPr>
            </w:pPr>
            <w:r w:rsidRPr="00945A11">
              <w:rPr>
                <w:rFonts w:ascii="Times New Roman" w:eastAsia="Times New Roman" w:hAnsi="Times New Roman"/>
                <w:b/>
                <w:bCs/>
                <w:color w:val="00B050"/>
                <w:sz w:val="20"/>
                <w:szCs w:val="20"/>
                <w:lang w:val="bg-BG"/>
              </w:rPr>
              <w:t>Тенденциите / промените към подобрение преобладават</w:t>
            </w:r>
          </w:p>
          <w:p w14:paraId="66449AF4" w14:textId="77777777" w:rsidR="006D6D46" w:rsidRPr="00945A11" w:rsidRDefault="006D6D46" w:rsidP="004C0DE7">
            <w:pPr>
              <w:spacing w:after="120" w:line="240" w:lineRule="auto"/>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България вече е превишила целта си за 2020 г. за дела на енергията от възобновяеми източници с 2,7 процентни пункта.</w:t>
            </w:r>
          </w:p>
        </w:tc>
      </w:tr>
      <w:tr w:rsidR="006D6D46" w:rsidRPr="00945A11" w14:paraId="75E4C75A" w14:textId="77777777" w:rsidTr="004C0DE7">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2CD5E465"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Перспективи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за</w:t>
            </w:r>
            <w:proofErr w:type="spellEnd"/>
            <w:r w:rsidRPr="00945A11">
              <w:rPr>
                <w:rFonts w:ascii="Times New Roman" w:eastAsia="Times New Roman" w:hAnsi="Times New Roman"/>
                <w:color w:val="222222"/>
                <w:sz w:val="20"/>
                <w:szCs w:val="20"/>
              </w:rPr>
              <w:t xml:space="preserve"> 2030 г.</w:t>
            </w:r>
          </w:p>
          <w:p w14:paraId="24A7C8BD"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53CCD087"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7368AB06" w14:textId="77777777" w:rsidR="006D6D46" w:rsidRPr="00945A11" w:rsidRDefault="006D6D46" w:rsidP="004C0DE7">
            <w:pPr>
              <w:spacing w:after="120" w:line="224" w:lineRule="atLeast"/>
              <w:jc w:val="both"/>
              <w:rPr>
                <w:rFonts w:ascii="Times New Roman" w:eastAsia="Times New Roman" w:hAnsi="Times New Roman"/>
                <w:b/>
                <w:bCs/>
                <w:color w:val="222222"/>
                <w:sz w:val="20"/>
                <w:szCs w:val="20"/>
              </w:rPr>
            </w:pPr>
            <w:r w:rsidRPr="00945A11">
              <w:rPr>
                <w:rFonts w:ascii="Times New Roman" w:eastAsia="Times New Roman" w:hAnsi="Times New Roman"/>
                <w:b/>
                <w:bCs/>
                <w:color w:val="FFC000"/>
                <w:sz w:val="20"/>
                <w:szCs w:val="20"/>
                <w:lang w:val="bg-BG"/>
              </w:rPr>
              <w:t>Тенденциите / промените представят нееднородна картина</w:t>
            </w:r>
          </w:p>
          <w:p w14:paraId="1175F92C"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Новите амбициозни цели на ЕС изискват разработване на нови технологии и включване на други източници на ВЕ. Ниският индекс на екоиновации и затруднената връзка между наука и бизнес поставят под риск постигането на целта.</w:t>
            </w:r>
          </w:p>
        </w:tc>
      </w:tr>
    </w:tbl>
    <w:p w14:paraId="64C0B4A4" w14:textId="77777777" w:rsidR="006D6D46" w:rsidRPr="00945A11" w:rsidRDefault="006D6D46" w:rsidP="006D6D46">
      <w:pPr>
        <w:shd w:val="clear" w:color="auto" w:fill="FFFFFF"/>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b/>
          <w:bCs/>
          <w:color w:val="222222"/>
          <w:sz w:val="20"/>
          <w:szCs w:val="20"/>
          <w:lang w:val="bg-BG"/>
        </w:rPr>
        <w:t> </w:t>
      </w:r>
    </w:p>
    <w:p w14:paraId="4FDED59D" w14:textId="77777777" w:rsidR="006D6D46" w:rsidRPr="00945A11" w:rsidRDefault="006D6D46" w:rsidP="006D6D46">
      <w:pPr>
        <w:shd w:val="clear" w:color="auto" w:fill="FFFFFF"/>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b/>
          <w:bCs/>
          <w:color w:val="222222"/>
          <w:sz w:val="20"/>
          <w:szCs w:val="20"/>
          <w:lang w:val="bg-BG"/>
        </w:rPr>
        <w:t>Тема: Защита от свързаните с околната среда рискове за здравето и благосъстоянието</w:t>
      </w:r>
    </w:p>
    <w:tbl>
      <w:tblPr>
        <w:tblW w:w="0" w:type="auto"/>
        <w:shd w:val="clear" w:color="auto" w:fill="FFFFFF"/>
        <w:tblCellMar>
          <w:left w:w="0" w:type="dxa"/>
          <w:right w:w="0" w:type="dxa"/>
        </w:tblCellMar>
        <w:tblLook w:val="04A0" w:firstRow="1" w:lastRow="0" w:firstColumn="1" w:lastColumn="0" w:noHBand="0" w:noVBand="1"/>
      </w:tblPr>
      <w:tblGrid>
        <w:gridCol w:w="2333"/>
        <w:gridCol w:w="360"/>
        <w:gridCol w:w="6647"/>
      </w:tblGrid>
      <w:tr w:rsidR="006D6D46" w:rsidRPr="00945A11" w14:paraId="019F22C4" w14:textId="77777777" w:rsidTr="004C0DE7">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32B5C04D"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b/>
                <w:bCs/>
                <w:color w:val="222222"/>
                <w:sz w:val="20"/>
                <w:szCs w:val="20"/>
                <w:lang w:val="bg-BG"/>
              </w:rPr>
              <w:t>Рискове за обществото от изменение на климата</w:t>
            </w:r>
          </w:p>
        </w:tc>
      </w:tr>
      <w:tr w:rsidR="006D6D46" w:rsidRPr="00945A11" w14:paraId="39FFF46C" w14:textId="77777777" w:rsidTr="004C0DE7">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5105760B"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Тенденции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през</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последните</w:t>
            </w:r>
            <w:proofErr w:type="spellEnd"/>
            <w:r w:rsidRPr="00945A11">
              <w:rPr>
                <w:rFonts w:ascii="Times New Roman" w:eastAsia="Times New Roman" w:hAnsi="Times New Roman"/>
                <w:color w:val="222222"/>
                <w:sz w:val="20"/>
                <w:szCs w:val="20"/>
              </w:rPr>
              <w:t> </w:t>
            </w:r>
            <w:r w:rsidRPr="00945A11">
              <w:rPr>
                <w:rFonts w:ascii="Times New Roman" w:eastAsia="Times New Roman" w:hAnsi="Times New Roman"/>
                <w:color w:val="222222"/>
                <w:sz w:val="20"/>
                <w:szCs w:val="20"/>
                <w:lang w:val="bg-BG"/>
              </w:rPr>
              <w:t>3</w:t>
            </w:r>
            <w:r w:rsidRPr="00945A11">
              <w:rPr>
                <w:rFonts w:ascii="Times New Roman" w:eastAsia="Times New Roman" w:hAnsi="Times New Roman"/>
                <w:color w:val="222222"/>
                <w:sz w:val="20"/>
                <w:szCs w:val="20"/>
              </w:rPr>
              <w:t xml:space="preserve">0 </w:t>
            </w:r>
            <w:proofErr w:type="spellStart"/>
            <w:r w:rsidRPr="00945A11">
              <w:rPr>
                <w:rFonts w:ascii="Times New Roman" w:eastAsia="Times New Roman" w:hAnsi="Times New Roman"/>
                <w:color w:val="222222"/>
                <w:sz w:val="20"/>
                <w:szCs w:val="20"/>
              </w:rPr>
              <w:t>години</w:t>
            </w:r>
            <w:proofErr w:type="spellEnd"/>
          </w:p>
          <w:p w14:paraId="598E70B8"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nil"/>
              <w:left w:val="nil"/>
              <w:bottom w:val="single" w:sz="8" w:space="0" w:color="auto"/>
              <w:right w:val="single" w:sz="8" w:space="0" w:color="auto"/>
            </w:tcBorders>
            <w:shd w:val="clear" w:color="auto" w:fill="C00000"/>
            <w:tcMar>
              <w:top w:w="0" w:type="dxa"/>
              <w:left w:w="108" w:type="dxa"/>
              <w:bottom w:w="0" w:type="dxa"/>
              <w:right w:w="108" w:type="dxa"/>
            </w:tcMar>
            <w:hideMark/>
          </w:tcPr>
          <w:p w14:paraId="4887174A"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01954090" w14:textId="77777777" w:rsidR="006D6D46" w:rsidRPr="00945A11" w:rsidRDefault="006D6D46" w:rsidP="004C0DE7">
            <w:pPr>
              <w:spacing w:after="120" w:line="224" w:lineRule="atLeast"/>
              <w:jc w:val="both"/>
              <w:rPr>
                <w:rFonts w:ascii="Times New Roman" w:eastAsia="Times New Roman" w:hAnsi="Times New Roman"/>
                <w:b/>
                <w:bCs/>
                <w:color w:val="222222"/>
                <w:sz w:val="20"/>
                <w:szCs w:val="20"/>
              </w:rPr>
            </w:pPr>
            <w:proofErr w:type="spellStart"/>
            <w:r w:rsidRPr="00945A11">
              <w:rPr>
                <w:rFonts w:ascii="Times New Roman" w:eastAsia="Times New Roman" w:hAnsi="Times New Roman"/>
                <w:b/>
                <w:bCs/>
                <w:color w:val="C0504D"/>
                <w:sz w:val="20"/>
                <w:szCs w:val="20"/>
              </w:rPr>
              <w:t>Тенденциите</w:t>
            </w:r>
            <w:proofErr w:type="spellEnd"/>
            <w:r w:rsidRPr="00945A11">
              <w:rPr>
                <w:rFonts w:ascii="Times New Roman" w:eastAsia="Times New Roman" w:hAnsi="Times New Roman"/>
                <w:b/>
                <w:bCs/>
                <w:color w:val="C0504D"/>
                <w:sz w:val="20"/>
                <w:szCs w:val="20"/>
              </w:rPr>
              <w:t xml:space="preserve"> / </w:t>
            </w:r>
            <w:proofErr w:type="spellStart"/>
            <w:r w:rsidRPr="00945A11">
              <w:rPr>
                <w:rFonts w:ascii="Times New Roman" w:eastAsia="Times New Roman" w:hAnsi="Times New Roman"/>
                <w:b/>
                <w:bCs/>
                <w:color w:val="C0504D"/>
                <w:sz w:val="20"/>
                <w:szCs w:val="20"/>
              </w:rPr>
              <w:t>промените</w:t>
            </w:r>
            <w:proofErr w:type="spellEnd"/>
            <w:r w:rsidRPr="00945A11">
              <w:rPr>
                <w:rFonts w:ascii="Times New Roman" w:eastAsia="Times New Roman" w:hAnsi="Times New Roman"/>
                <w:b/>
                <w:bCs/>
                <w:color w:val="C0504D"/>
                <w:sz w:val="20"/>
                <w:szCs w:val="20"/>
              </w:rPr>
              <w:t xml:space="preserve"> </w:t>
            </w:r>
            <w:proofErr w:type="spellStart"/>
            <w:r w:rsidRPr="00945A11">
              <w:rPr>
                <w:rFonts w:ascii="Times New Roman" w:eastAsia="Times New Roman" w:hAnsi="Times New Roman"/>
                <w:b/>
                <w:bCs/>
                <w:color w:val="C0504D"/>
                <w:sz w:val="20"/>
                <w:szCs w:val="20"/>
              </w:rPr>
              <w:t>към</w:t>
            </w:r>
            <w:proofErr w:type="spellEnd"/>
            <w:r w:rsidRPr="00945A11">
              <w:rPr>
                <w:rFonts w:ascii="Times New Roman" w:eastAsia="Times New Roman" w:hAnsi="Times New Roman"/>
                <w:b/>
                <w:bCs/>
                <w:color w:val="C0504D"/>
                <w:sz w:val="20"/>
                <w:szCs w:val="20"/>
              </w:rPr>
              <w:t xml:space="preserve"> </w:t>
            </w:r>
            <w:proofErr w:type="spellStart"/>
            <w:r w:rsidRPr="00945A11">
              <w:rPr>
                <w:rFonts w:ascii="Times New Roman" w:eastAsia="Times New Roman" w:hAnsi="Times New Roman"/>
                <w:b/>
                <w:bCs/>
                <w:color w:val="C0504D"/>
                <w:sz w:val="20"/>
                <w:szCs w:val="20"/>
              </w:rPr>
              <w:t>влошаване</w:t>
            </w:r>
            <w:proofErr w:type="spellEnd"/>
            <w:r w:rsidRPr="00945A11">
              <w:rPr>
                <w:rFonts w:ascii="Times New Roman" w:eastAsia="Times New Roman" w:hAnsi="Times New Roman"/>
                <w:b/>
                <w:bCs/>
                <w:color w:val="C0504D"/>
                <w:sz w:val="20"/>
                <w:szCs w:val="20"/>
              </w:rPr>
              <w:t xml:space="preserve"> </w:t>
            </w:r>
            <w:proofErr w:type="spellStart"/>
            <w:r w:rsidRPr="00945A11">
              <w:rPr>
                <w:rFonts w:ascii="Times New Roman" w:eastAsia="Times New Roman" w:hAnsi="Times New Roman"/>
                <w:b/>
                <w:bCs/>
                <w:color w:val="C0504D"/>
                <w:sz w:val="20"/>
                <w:szCs w:val="20"/>
              </w:rPr>
              <w:t>преобладават</w:t>
            </w:r>
            <w:proofErr w:type="spellEnd"/>
          </w:p>
          <w:p w14:paraId="55DA7D26"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България е сред държавите от ЕС, които са най-уязвими спрямо последиците от климатичните изменения, които се изострят от високите равнища на бедност и относително слабите мерки за адаптация. Икономическите загуби, причинени от екстремни метеорологични условия и свързани с изменението на климата явления нарастват през периода.</w:t>
            </w:r>
          </w:p>
        </w:tc>
      </w:tr>
      <w:tr w:rsidR="006D6D46" w:rsidRPr="00945A11" w14:paraId="3630B895" w14:textId="77777777" w:rsidTr="004C0DE7">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2B509B78"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Перспективи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за</w:t>
            </w:r>
            <w:proofErr w:type="spellEnd"/>
            <w:r w:rsidRPr="00945A11">
              <w:rPr>
                <w:rFonts w:ascii="Times New Roman" w:eastAsia="Times New Roman" w:hAnsi="Times New Roman"/>
                <w:color w:val="222222"/>
                <w:sz w:val="20"/>
                <w:szCs w:val="20"/>
              </w:rPr>
              <w:t xml:space="preserve"> 2030 г.</w:t>
            </w:r>
          </w:p>
          <w:p w14:paraId="4E6901F7"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2D7D437D"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3992D552" w14:textId="77777777" w:rsidR="006D6D46" w:rsidRPr="00945A11" w:rsidRDefault="006D6D46" w:rsidP="004C0DE7">
            <w:pPr>
              <w:spacing w:after="120" w:line="224" w:lineRule="atLeast"/>
              <w:jc w:val="both"/>
              <w:rPr>
                <w:rFonts w:ascii="Times New Roman" w:eastAsia="Times New Roman" w:hAnsi="Times New Roman"/>
                <w:b/>
                <w:bCs/>
                <w:color w:val="222222"/>
                <w:sz w:val="20"/>
                <w:szCs w:val="20"/>
              </w:rPr>
            </w:pPr>
            <w:r w:rsidRPr="00945A11">
              <w:rPr>
                <w:rFonts w:ascii="Times New Roman" w:eastAsia="Times New Roman" w:hAnsi="Times New Roman"/>
                <w:b/>
                <w:bCs/>
                <w:color w:val="FFC000"/>
                <w:sz w:val="20"/>
                <w:szCs w:val="20"/>
                <w:lang w:val="bg-BG"/>
              </w:rPr>
              <w:t>Тенденциите / промените представят нееднородна картина</w:t>
            </w:r>
          </w:p>
          <w:p w14:paraId="510E8C7F"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Идентифицираните проблеми поставят под риск постигането на поставената в стратегическите документи цел за създаване на устойчиви към изменението на климата икономика и общество.  </w:t>
            </w:r>
          </w:p>
        </w:tc>
      </w:tr>
    </w:tbl>
    <w:p w14:paraId="0625FACF" w14:textId="77777777" w:rsidR="006D6D46" w:rsidRPr="00945A11" w:rsidRDefault="006D6D46" w:rsidP="006D6D46">
      <w:pPr>
        <w:shd w:val="clear" w:color="auto" w:fill="FFFFFF"/>
        <w:spacing w:before="120" w:after="120" w:line="215"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 </w:t>
      </w:r>
    </w:p>
    <w:tbl>
      <w:tblPr>
        <w:tblW w:w="0" w:type="auto"/>
        <w:shd w:val="clear" w:color="auto" w:fill="FFFFFF"/>
        <w:tblCellMar>
          <w:left w:w="0" w:type="dxa"/>
          <w:right w:w="0" w:type="dxa"/>
        </w:tblCellMar>
        <w:tblLook w:val="04A0" w:firstRow="1" w:lastRow="0" w:firstColumn="1" w:lastColumn="0" w:noHBand="0" w:noVBand="1"/>
      </w:tblPr>
      <w:tblGrid>
        <w:gridCol w:w="2333"/>
        <w:gridCol w:w="360"/>
        <w:gridCol w:w="6647"/>
      </w:tblGrid>
      <w:tr w:rsidR="006D6D46" w:rsidRPr="00945A11" w14:paraId="5923B2E2" w14:textId="77777777" w:rsidTr="004C0DE7">
        <w:tc>
          <w:tcPr>
            <w:tcW w:w="9350" w:type="dxa"/>
            <w:gridSpan w:val="3"/>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7A138008"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b/>
                <w:bCs/>
                <w:color w:val="222222"/>
                <w:sz w:val="20"/>
                <w:szCs w:val="20"/>
                <w:lang w:val="bg-BG"/>
              </w:rPr>
              <w:lastRenderedPageBreak/>
              <w:t>Стратегии и планове за приспособяване към изменението на климата</w:t>
            </w:r>
          </w:p>
        </w:tc>
      </w:tr>
      <w:tr w:rsidR="006D6D46" w:rsidRPr="00945A11" w14:paraId="4E240584" w14:textId="77777777" w:rsidTr="004C0DE7">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49926B3B"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Тенденции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през</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последните</w:t>
            </w:r>
            <w:proofErr w:type="spellEnd"/>
            <w:r w:rsidRPr="00945A11">
              <w:rPr>
                <w:rFonts w:ascii="Times New Roman" w:eastAsia="Times New Roman" w:hAnsi="Times New Roman"/>
                <w:color w:val="222222"/>
                <w:sz w:val="20"/>
                <w:szCs w:val="20"/>
              </w:rPr>
              <w:t xml:space="preserve"> 10 </w:t>
            </w:r>
            <w:proofErr w:type="spellStart"/>
            <w:r w:rsidRPr="00945A11">
              <w:rPr>
                <w:rFonts w:ascii="Times New Roman" w:eastAsia="Times New Roman" w:hAnsi="Times New Roman"/>
                <w:color w:val="222222"/>
                <w:sz w:val="20"/>
                <w:szCs w:val="20"/>
              </w:rPr>
              <w:t>години</w:t>
            </w:r>
            <w:proofErr w:type="spellEnd"/>
          </w:p>
          <w:p w14:paraId="11289C30"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nil"/>
              <w:left w:val="nil"/>
              <w:bottom w:val="single" w:sz="8" w:space="0" w:color="auto"/>
              <w:right w:val="single" w:sz="8" w:space="0" w:color="auto"/>
            </w:tcBorders>
            <w:shd w:val="clear" w:color="auto" w:fill="70AD47"/>
            <w:tcMar>
              <w:top w:w="0" w:type="dxa"/>
              <w:left w:w="108" w:type="dxa"/>
              <w:bottom w:w="0" w:type="dxa"/>
              <w:right w:w="108" w:type="dxa"/>
            </w:tcMar>
            <w:hideMark/>
          </w:tcPr>
          <w:p w14:paraId="5DFCAA8A"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41274673" w14:textId="77777777" w:rsidR="006D6D46" w:rsidRPr="00945A11" w:rsidRDefault="006D6D46" w:rsidP="004C0DE7">
            <w:pPr>
              <w:spacing w:after="120" w:line="224" w:lineRule="atLeast"/>
              <w:jc w:val="both"/>
              <w:rPr>
                <w:rFonts w:ascii="Times New Roman" w:eastAsia="Times New Roman" w:hAnsi="Times New Roman"/>
                <w:b/>
                <w:bCs/>
                <w:color w:val="222222"/>
                <w:sz w:val="20"/>
                <w:szCs w:val="20"/>
              </w:rPr>
            </w:pPr>
            <w:r w:rsidRPr="00945A11">
              <w:rPr>
                <w:rFonts w:ascii="Times New Roman" w:eastAsia="Times New Roman" w:hAnsi="Times New Roman"/>
                <w:b/>
                <w:bCs/>
                <w:color w:val="00B050"/>
                <w:sz w:val="20"/>
                <w:szCs w:val="20"/>
                <w:lang w:val="bg-BG"/>
              </w:rPr>
              <w:t>Тенденциите / промените към подобрение преобладават</w:t>
            </w:r>
          </w:p>
          <w:p w14:paraId="1AC68D36"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Важността на темата за адаптиране към изменението на климата е разпозната както на национално, така и на местно ниво, и са разработени и се изпълняват съответните стратегически документи.</w:t>
            </w:r>
          </w:p>
        </w:tc>
      </w:tr>
      <w:tr w:rsidR="006D6D46" w:rsidRPr="00945A11" w14:paraId="61F39B6A" w14:textId="77777777" w:rsidTr="004C0DE7">
        <w:tc>
          <w:tcPr>
            <w:tcW w:w="233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56F47BEF"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proofErr w:type="spellStart"/>
            <w:r w:rsidRPr="00945A11">
              <w:rPr>
                <w:rFonts w:ascii="Times New Roman" w:eastAsia="Times New Roman" w:hAnsi="Times New Roman"/>
                <w:color w:val="222222"/>
                <w:sz w:val="20"/>
                <w:szCs w:val="20"/>
              </w:rPr>
              <w:t>Перспективи</w:t>
            </w:r>
            <w:proofErr w:type="spellEnd"/>
            <w:r w:rsidRPr="00945A11">
              <w:rPr>
                <w:rFonts w:ascii="Times New Roman" w:eastAsia="Times New Roman" w:hAnsi="Times New Roman"/>
                <w:color w:val="222222"/>
                <w:sz w:val="20"/>
                <w:szCs w:val="20"/>
              </w:rPr>
              <w:t xml:space="preserve"> </w:t>
            </w:r>
            <w:proofErr w:type="spellStart"/>
            <w:r w:rsidRPr="00945A11">
              <w:rPr>
                <w:rFonts w:ascii="Times New Roman" w:eastAsia="Times New Roman" w:hAnsi="Times New Roman"/>
                <w:color w:val="222222"/>
                <w:sz w:val="20"/>
                <w:szCs w:val="20"/>
              </w:rPr>
              <w:t>за</w:t>
            </w:r>
            <w:proofErr w:type="spellEnd"/>
            <w:r w:rsidRPr="00945A11">
              <w:rPr>
                <w:rFonts w:ascii="Times New Roman" w:eastAsia="Times New Roman" w:hAnsi="Times New Roman"/>
                <w:color w:val="222222"/>
                <w:sz w:val="20"/>
                <w:szCs w:val="20"/>
              </w:rPr>
              <w:t xml:space="preserve"> 2030 г.</w:t>
            </w:r>
          </w:p>
          <w:p w14:paraId="7C4357A3"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360" w:type="dxa"/>
            <w:tcBorders>
              <w:top w:val="nil"/>
              <w:left w:val="nil"/>
              <w:bottom w:val="single" w:sz="8" w:space="0" w:color="auto"/>
              <w:right w:val="single" w:sz="8" w:space="0" w:color="auto"/>
            </w:tcBorders>
            <w:shd w:val="clear" w:color="auto" w:fill="FFC000"/>
            <w:tcMar>
              <w:top w:w="0" w:type="dxa"/>
              <w:left w:w="108" w:type="dxa"/>
              <w:bottom w:w="0" w:type="dxa"/>
              <w:right w:w="108" w:type="dxa"/>
            </w:tcMar>
            <w:hideMark/>
          </w:tcPr>
          <w:p w14:paraId="3E8603EC"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rPr>
              <w:t> </w:t>
            </w:r>
          </w:p>
        </w:tc>
        <w:tc>
          <w:tcPr>
            <w:tcW w:w="6655"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36514A61" w14:textId="77777777" w:rsidR="006D6D46" w:rsidRPr="00945A11" w:rsidRDefault="006D6D46" w:rsidP="004C0DE7">
            <w:pPr>
              <w:spacing w:after="120" w:line="224" w:lineRule="atLeast"/>
              <w:jc w:val="both"/>
              <w:rPr>
                <w:rFonts w:ascii="Times New Roman" w:eastAsia="Times New Roman" w:hAnsi="Times New Roman"/>
                <w:b/>
                <w:bCs/>
                <w:color w:val="222222"/>
                <w:sz w:val="20"/>
                <w:szCs w:val="20"/>
              </w:rPr>
            </w:pPr>
            <w:r w:rsidRPr="00945A11">
              <w:rPr>
                <w:rFonts w:ascii="Times New Roman" w:eastAsia="Times New Roman" w:hAnsi="Times New Roman"/>
                <w:b/>
                <w:bCs/>
                <w:color w:val="FFC000"/>
                <w:sz w:val="20"/>
                <w:szCs w:val="20"/>
                <w:lang w:val="bg-BG"/>
              </w:rPr>
              <w:t>Тенденциите / промените представят нееднородна картина</w:t>
            </w:r>
          </w:p>
          <w:p w14:paraId="679F3650" w14:textId="77777777" w:rsidR="006D6D46" w:rsidRPr="00945A11" w:rsidRDefault="006D6D46" w:rsidP="004C0DE7">
            <w:pPr>
              <w:spacing w:after="120" w:line="224" w:lineRule="atLeast"/>
              <w:jc w:val="both"/>
              <w:rPr>
                <w:rFonts w:ascii="Times New Roman" w:eastAsia="Times New Roman" w:hAnsi="Times New Roman"/>
                <w:color w:val="222222"/>
                <w:sz w:val="20"/>
                <w:szCs w:val="20"/>
              </w:rPr>
            </w:pPr>
            <w:r w:rsidRPr="00945A11">
              <w:rPr>
                <w:rFonts w:ascii="Times New Roman" w:eastAsia="Times New Roman" w:hAnsi="Times New Roman"/>
                <w:color w:val="222222"/>
                <w:sz w:val="20"/>
                <w:szCs w:val="20"/>
                <w:lang w:val="bg-BG"/>
              </w:rPr>
              <w:t>Предизвикателство е постигане на целта, поставена в стратегическите документи – изграждане на устойчиви към изменението на климата общество и икономика.  </w:t>
            </w:r>
          </w:p>
        </w:tc>
      </w:tr>
    </w:tbl>
    <w:p w14:paraId="7C6863A9" w14:textId="77777777" w:rsidR="008B1EFF" w:rsidRDefault="008B1EFF">
      <w:pPr>
        <w:pStyle w:val="a0"/>
        <w:spacing w:before="120" w:after="120" w:line="264" w:lineRule="auto"/>
        <w:ind w:left="720"/>
        <w:jc w:val="both"/>
        <w:rPr>
          <w:rFonts w:eastAsia="Calibri"/>
          <w:sz w:val="17"/>
          <w:szCs w:val="17"/>
        </w:rPr>
      </w:pPr>
    </w:p>
    <w:p w14:paraId="7CB358EC" w14:textId="77777777" w:rsidR="008B1EFF" w:rsidRPr="002E54A0" w:rsidRDefault="0042190C">
      <w:pPr>
        <w:pStyle w:val="a2"/>
        <w:shd w:val="clear" w:color="auto" w:fill="FFFFFF"/>
        <w:jc w:val="both"/>
        <w:rPr>
          <w:sz w:val="22"/>
          <w:szCs w:val="22"/>
        </w:rPr>
      </w:pPr>
      <w:r w:rsidRPr="002E54A0">
        <w:rPr>
          <w:sz w:val="22"/>
          <w:szCs w:val="22"/>
        </w:rPr>
        <w:t xml:space="preserve">Постигането на целите, свързани с ограничаване изменението на климата и с постигане на устойчивост към настъпилите и бъдещи климатични изменения, изисква прилагане на комплексен подход. </w:t>
      </w:r>
    </w:p>
    <w:p w14:paraId="076743CF" w14:textId="77777777" w:rsidR="008B1EFF" w:rsidRPr="002E54A0" w:rsidRDefault="0042190C">
      <w:pPr>
        <w:pStyle w:val="a2"/>
        <w:shd w:val="clear" w:color="auto" w:fill="FFFFFF"/>
        <w:jc w:val="both"/>
        <w:rPr>
          <w:sz w:val="22"/>
          <w:szCs w:val="22"/>
        </w:rPr>
      </w:pPr>
      <w:r w:rsidRPr="002E54A0">
        <w:rPr>
          <w:sz w:val="22"/>
          <w:szCs w:val="22"/>
        </w:rPr>
        <w:t xml:space="preserve">Интегрирането на целите по климата в секторните политики, както и актуализиране на законодателството, включително и финансовото, с цел налагане и / или насърчаване на трансформацията към ниско въглеродна икономика и общество, са част от  мерките, които трябва да бъдат приложени. </w:t>
      </w:r>
    </w:p>
    <w:p w14:paraId="1FA1093C" w14:textId="77777777" w:rsidR="008B1EFF" w:rsidRPr="002E54A0" w:rsidRDefault="0042190C">
      <w:pPr>
        <w:pStyle w:val="a2"/>
        <w:shd w:val="clear" w:color="auto" w:fill="FFFFFF"/>
        <w:jc w:val="both"/>
        <w:rPr>
          <w:sz w:val="22"/>
          <w:szCs w:val="22"/>
        </w:rPr>
      </w:pPr>
      <w:r w:rsidRPr="002E54A0">
        <w:rPr>
          <w:sz w:val="22"/>
          <w:szCs w:val="22"/>
        </w:rPr>
        <w:t xml:space="preserve">За да се случи тази мащабна трансформация, усилия трябва да бъдат насочени към компенсиране на идентифицираните в рамките на анализа дефицити, които могат да бъдат разпределени в няколко групи: слабости в политиките и законодателството; недостиг на ресурси – финансови, човешки, технологични; дефицити в осведомеността, данните и информацията, научните изследвания и връзката с бизнеса, както и затруднения при прилагането на модерни, цифрови технологии. </w:t>
      </w:r>
    </w:p>
    <w:p w14:paraId="7FEBFCA3" w14:textId="77777777" w:rsidR="008B1EFF" w:rsidRPr="002E54A0" w:rsidRDefault="0042190C" w:rsidP="00C4667C">
      <w:pPr>
        <w:pStyle w:val="a2"/>
        <w:shd w:val="clear" w:color="auto" w:fill="FFFFFF"/>
        <w:jc w:val="both"/>
        <w:rPr>
          <w:sz w:val="22"/>
          <w:szCs w:val="22"/>
        </w:rPr>
      </w:pPr>
      <w:r w:rsidRPr="002E54A0">
        <w:rPr>
          <w:sz w:val="22"/>
          <w:szCs w:val="22"/>
        </w:rPr>
        <w:t>За постигането на желаната промяна ще са необходими действия във всички сектори на нашата икономика и обществен живот, като например:</w:t>
      </w:r>
    </w:p>
    <w:p w14:paraId="1B48021D" w14:textId="2420B2E3" w:rsidR="008B1EFF" w:rsidRPr="002E54A0" w:rsidRDefault="0042190C" w:rsidP="00C4667C">
      <w:pPr>
        <w:pStyle w:val="a2"/>
        <w:numPr>
          <w:ilvl w:val="0"/>
          <w:numId w:val="23"/>
        </w:numPr>
        <w:shd w:val="clear" w:color="auto" w:fill="FFFFFF"/>
        <w:jc w:val="both"/>
        <w:rPr>
          <w:sz w:val="22"/>
          <w:szCs w:val="22"/>
        </w:rPr>
      </w:pPr>
      <w:r w:rsidRPr="002E54A0">
        <w:rPr>
          <w:sz w:val="22"/>
          <w:szCs w:val="22"/>
        </w:rPr>
        <w:t xml:space="preserve">Разработване на адекватни стратегически </w:t>
      </w:r>
      <w:r w:rsidR="00D91FDC">
        <w:rPr>
          <w:sz w:val="22"/>
          <w:szCs w:val="22"/>
        </w:rPr>
        <w:t xml:space="preserve">и нормативни </w:t>
      </w:r>
      <w:r w:rsidRPr="002E54A0">
        <w:rPr>
          <w:sz w:val="22"/>
          <w:szCs w:val="22"/>
        </w:rPr>
        <w:t>документи в различните сектори, както и на различните нива на управление;</w:t>
      </w:r>
    </w:p>
    <w:p w14:paraId="3485C09E" w14:textId="77777777" w:rsidR="008B1EFF" w:rsidRPr="002E54A0" w:rsidRDefault="0042190C" w:rsidP="00C4667C">
      <w:pPr>
        <w:pStyle w:val="a2"/>
        <w:numPr>
          <w:ilvl w:val="0"/>
          <w:numId w:val="23"/>
        </w:numPr>
        <w:shd w:val="clear" w:color="auto" w:fill="FFFFFF"/>
        <w:jc w:val="both"/>
        <w:rPr>
          <w:sz w:val="22"/>
          <w:szCs w:val="22"/>
        </w:rPr>
      </w:pPr>
      <w:r w:rsidRPr="002E54A0">
        <w:rPr>
          <w:sz w:val="22"/>
          <w:szCs w:val="22"/>
        </w:rPr>
        <w:t>Осигуряване на финансови ресурси за прилагане на екологосъобразни технологии и за подкрепа на иновациите в промишлеността;</w:t>
      </w:r>
    </w:p>
    <w:p w14:paraId="0A3B3C14" w14:textId="77777777" w:rsidR="008B1EFF" w:rsidRPr="002E54A0" w:rsidRDefault="0042190C" w:rsidP="00C4667C">
      <w:pPr>
        <w:pStyle w:val="a2"/>
        <w:numPr>
          <w:ilvl w:val="0"/>
          <w:numId w:val="23"/>
        </w:numPr>
        <w:shd w:val="clear" w:color="auto" w:fill="FFFFFF"/>
        <w:jc w:val="both"/>
        <w:rPr>
          <w:sz w:val="22"/>
          <w:szCs w:val="22"/>
        </w:rPr>
      </w:pPr>
      <w:r w:rsidRPr="002E54A0">
        <w:rPr>
          <w:sz w:val="22"/>
          <w:szCs w:val="22"/>
        </w:rPr>
        <w:t>Подкрепа на по-чисти, по-евтини и по-здравословни форми на частен и обществен транспорт;</w:t>
      </w:r>
    </w:p>
    <w:p w14:paraId="1D7C741B" w14:textId="7A3EDB23" w:rsidR="008B1EFF" w:rsidRPr="002E54A0" w:rsidRDefault="0042190C" w:rsidP="00C4667C">
      <w:pPr>
        <w:pStyle w:val="a2"/>
        <w:numPr>
          <w:ilvl w:val="0"/>
          <w:numId w:val="23"/>
        </w:numPr>
        <w:shd w:val="clear" w:color="auto" w:fill="FFFFFF"/>
        <w:jc w:val="both"/>
        <w:rPr>
          <w:sz w:val="22"/>
          <w:szCs w:val="22"/>
        </w:rPr>
      </w:pPr>
      <w:r w:rsidRPr="002E54A0">
        <w:rPr>
          <w:sz w:val="22"/>
          <w:szCs w:val="22"/>
        </w:rPr>
        <w:t xml:space="preserve">Подкрепа на </w:t>
      </w:r>
      <w:proofErr w:type="spellStart"/>
      <w:r w:rsidRPr="002E54A0">
        <w:rPr>
          <w:sz w:val="22"/>
          <w:szCs w:val="22"/>
        </w:rPr>
        <w:t>декарбонизацията</w:t>
      </w:r>
      <w:proofErr w:type="spellEnd"/>
      <w:r w:rsidRPr="002E54A0">
        <w:rPr>
          <w:sz w:val="22"/>
          <w:szCs w:val="22"/>
        </w:rPr>
        <w:t xml:space="preserve"> на енергийния сектор;</w:t>
      </w:r>
    </w:p>
    <w:p w14:paraId="4A7EE30F" w14:textId="77777777" w:rsidR="008B1EFF" w:rsidRPr="002E54A0" w:rsidRDefault="0042190C" w:rsidP="00C4667C">
      <w:pPr>
        <w:pStyle w:val="a2"/>
        <w:numPr>
          <w:ilvl w:val="0"/>
          <w:numId w:val="23"/>
        </w:numPr>
        <w:shd w:val="clear" w:color="auto" w:fill="FFFFFF"/>
        <w:jc w:val="both"/>
        <w:rPr>
          <w:sz w:val="22"/>
          <w:szCs w:val="22"/>
        </w:rPr>
      </w:pPr>
      <w:r w:rsidRPr="002E54A0">
        <w:rPr>
          <w:sz w:val="22"/>
          <w:szCs w:val="22"/>
        </w:rPr>
        <w:t>Програма подобряване на енергийната ефективност на сградите и др.</w:t>
      </w:r>
    </w:p>
    <w:p w14:paraId="00D99995" w14:textId="77777777" w:rsidR="008B1EFF" w:rsidRDefault="008B1EFF">
      <w:pPr>
        <w:pStyle w:val="a2"/>
        <w:shd w:val="clear" w:color="auto" w:fill="FFFFFF"/>
      </w:pPr>
    </w:p>
    <w:p w14:paraId="36E5A885" w14:textId="77777777" w:rsidR="008B1EFF" w:rsidRPr="008059A7" w:rsidRDefault="0042190C" w:rsidP="008059A7">
      <w:pPr>
        <w:pStyle w:val="a2"/>
        <w:shd w:val="clear" w:color="auto" w:fill="FFFFFF"/>
        <w:jc w:val="both"/>
        <w:rPr>
          <w:sz w:val="22"/>
          <w:szCs w:val="22"/>
        </w:rPr>
      </w:pPr>
      <w:r w:rsidRPr="008059A7">
        <w:rPr>
          <w:sz w:val="22"/>
          <w:szCs w:val="22"/>
        </w:rPr>
        <w:t>В таблицата са обобщени резултатите от анализа, под формата на „предизвикателства“ и „отговор“:</w:t>
      </w:r>
    </w:p>
    <w:tbl>
      <w:tblPr>
        <w:tblW w:w="9576" w:type="dxa"/>
        <w:tblCellMar>
          <w:left w:w="10" w:type="dxa"/>
          <w:right w:w="10" w:type="dxa"/>
        </w:tblCellMar>
        <w:tblLook w:val="0000" w:firstRow="0" w:lastRow="0" w:firstColumn="0" w:lastColumn="0" w:noHBand="0" w:noVBand="0"/>
      </w:tblPr>
      <w:tblGrid>
        <w:gridCol w:w="4788"/>
        <w:gridCol w:w="4788"/>
      </w:tblGrid>
      <w:tr w:rsidR="008B1EFF" w:rsidRPr="006D6D46" w14:paraId="511BC1A7" w14:textId="77777777">
        <w:tc>
          <w:tcPr>
            <w:tcW w:w="9576" w:type="dxa"/>
            <w:gridSpan w:val="2"/>
            <w:tcBorders>
              <w:top w:val="double" w:sz="4" w:space="0" w:color="000000"/>
              <w:left w:val="single" w:sz="4" w:space="0" w:color="000000"/>
              <w:bottom w:val="single" w:sz="4" w:space="0" w:color="000000"/>
              <w:right w:val="single" w:sz="4" w:space="0" w:color="000000"/>
            </w:tcBorders>
            <w:shd w:val="clear" w:color="auto" w:fill="C6D9F1"/>
            <w:tcMar>
              <w:top w:w="0" w:type="dxa"/>
              <w:left w:w="108" w:type="dxa"/>
              <w:bottom w:w="0" w:type="dxa"/>
              <w:right w:w="108" w:type="dxa"/>
            </w:tcMar>
          </w:tcPr>
          <w:p w14:paraId="237EC36C" w14:textId="77777777" w:rsidR="008B1EFF" w:rsidRPr="006D6D46" w:rsidRDefault="0042190C">
            <w:pPr>
              <w:pStyle w:val="a"/>
              <w:numPr>
                <w:ilvl w:val="0"/>
                <w:numId w:val="0"/>
              </w:numPr>
              <w:spacing w:after="0"/>
              <w:ind w:left="360" w:hanging="360"/>
              <w:textAlignment w:val="auto"/>
              <w:rPr>
                <w:sz w:val="20"/>
                <w:szCs w:val="20"/>
                <w:lang w:val="bg-BG"/>
              </w:rPr>
            </w:pPr>
            <w:r w:rsidRPr="006D6D46">
              <w:rPr>
                <w:rStyle w:val="a1"/>
                <w:rFonts w:eastAsia="Calibri"/>
                <w:b/>
                <w:sz w:val="20"/>
                <w:szCs w:val="20"/>
                <w:lang w:val="bg-BG"/>
              </w:rPr>
              <w:t>Ресурсно ефективна, кръгова и нисковъглеродна икономика</w:t>
            </w:r>
          </w:p>
        </w:tc>
      </w:tr>
      <w:tr w:rsidR="008B1EFF" w:rsidRPr="006D6D46" w14:paraId="60085365" w14:textId="77777777">
        <w:tc>
          <w:tcPr>
            <w:tcW w:w="4788" w:type="dxa"/>
            <w:tcBorders>
              <w:top w:val="single" w:sz="4" w:space="0" w:color="000000"/>
              <w:left w:val="single" w:sz="4" w:space="0" w:color="000000"/>
              <w:bottom w:val="single" w:sz="4" w:space="0" w:color="000000"/>
              <w:right w:val="single" w:sz="4" w:space="0" w:color="000000"/>
            </w:tcBorders>
            <w:shd w:val="clear" w:color="auto" w:fill="C6D9F1"/>
            <w:tcMar>
              <w:top w:w="0" w:type="dxa"/>
              <w:left w:w="108" w:type="dxa"/>
              <w:bottom w:w="0" w:type="dxa"/>
              <w:right w:w="108" w:type="dxa"/>
            </w:tcMar>
          </w:tcPr>
          <w:p w14:paraId="30E0FF15" w14:textId="7DB5188B" w:rsidR="008B1EFF" w:rsidRPr="006D6D46" w:rsidRDefault="0042190C">
            <w:pPr>
              <w:pStyle w:val="a"/>
              <w:numPr>
                <w:ilvl w:val="0"/>
                <w:numId w:val="0"/>
              </w:numPr>
              <w:spacing w:after="0"/>
              <w:ind w:left="360" w:hanging="360"/>
              <w:textAlignment w:val="auto"/>
              <w:rPr>
                <w:b/>
                <w:sz w:val="20"/>
                <w:szCs w:val="20"/>
                <w:lang w:val="bg-BG"/>
              </w:rPr>
            </w:pPr>
            <w:r w:rsidRPr="006D6D46">
              <w:rPr>
                <w:b/>
                <w:sz w:val="20"/>
                <w:szCs w:val="20"/>
                <w:lang w:val="bg-BG"/>
              </w:rPr>
              <w:t>Предизвикателства</w:t>
            </w:r>
          </w:p>
          <w:p w14:paraId="42A6932F" w14:textId="77777777" w:rsidR="008B1EFF" w:rsidRPr="006D6D46" w:rsidRDefault="008B1EFF">
            <w:pPr>
              <w:pStyle w:val="a"/>
              <w:numPr>
                <w:ilvl w:val="0"/>
                <w:numId w:val="0"/>
              </w:numPr>
              <w:spacing w:after="0"/>
              <w:ind w:left="360" w:hanging="360"/>
              <w:textAlignment w:val="auto"/>
              <w:rPr>
                <w:sz w:val="20"/>
                <w:szCs w:val="20"/>
                <w:lang w:val="bg-BG"/>
              </w:rPr>
            </w:pPr>
          </w:p>
        </w:tc>
        <w:tc>
          <w:tcPr>
            <w:tcW w:w="4788" w:type="dxa"/>
            <w:tcBorders>
              <w:top w:val="single" w:sz="4" w:space="0" w:color="000000"/>
              <w:left w:val="single" w:sz="4" w:space="0" w:color="000000"/>
              <w:bottom w:val="single" w:sz="4" w:space="0" w:color="000000"/>
              <w:right w:val="single" w:sz="4" w:space="0" w:color="000000"/>
            </w:tcBorders>
            <w:shd w:val="clear" w:color="auto" w:fill="C6D9F1"/>
            <w:tcMar>
              <w:top w:w="0" w:type="dxa"/>
              <w:left w:w="108" w:type="dxa"/>
              <w:bottom w:w="0" w:type="dxa"/>
              <w:right w:w="108" w:type="dxa"/>
            </w:tcMar>
          </w:tcPr>
          <w:p w14:paraId="0B6941A7" w14:textId="77777777" w:rsidR="008B1EFF" w:rsidRPr="006D6D46" w:rsidRDefault="0042190C">
            <w:pPr>
              <w:pStyle w:val="a"/>
              <w:numPr>
                <w:ilvl w:val="0"/>
                <w:numId w:val="0"/>
              </w:numPr>
              <w:spacing w:after="0"/>
              <w:ind w:left="360" w:hanging="360"/>
              <w:textAlignment w:val="auto"/>
              <w:rPr>
                <w:b/>
                <w:sz w:val="20"/>
                <w:szCs w:val="20"/>
                <w:lang w:val="bg-BG"/>
              </w:rPr>
            </w:pPr>
            <w:r w:rsidRPr="006D6D46">
              <w:rPr>
                <w:b/>
                <w:sz w:val="20"/>
                <w:szCs w:val="20"/>
                <w:lang w:val="bg-BG"/>
              </w:rPr>
              <w:t>Отговор</w:t>
            </w:r>
          </w:p>
        </w:tc>
      </w:tr>
      <w:tr w:rsidR="008B1EFF" w:rsidRPr="006D6D46" w14:paraId="22855D1A" w14:textId="77777777">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19B65" w14:textId="47E2282B" w:rsidR="008B1EFF" w:rsidRPr="006D6D46" w:rsidRDefault="0042190C" w:rsidP="00757026">
            <w:pPr>
              <w:pStyle w:val="a"/>
              <w:numPr>
                <w:ilvl w:val="0"/>
                <w:numId w:val="0"/>
              </w:numPr>
              <w:spacing w:after="0" w:line="264" w:lineRule="auto"/>
              <w:textAlignment w:val="auto"/>
              <w:rPr>
                <w:sz w:val="20"/>
                <w:szCs w:val="20"/>
                <w:lang w:val="bg-BG"/>
              </w:rPr>
            </w:pPr>
            <w:r w:rsidRPr="006D6D46">
              <w:rPr>
                <w:rStyle w:val="a1"/>
                <w:sz w:val="20"/>
                <w:szCs w:val="20"/>
                <w:lang w:val="bg-BG"/>
              </w:rPr>
              <w:t xml:space="preserve">Високата въглеродна и енергийна интензивност на българската икономика; голямата зависимост от енергия от въглища; технологичната изостаналост в някои сектори  и слабото прилагане на екоиновации </w:t>
            </w:r>
            <w:r w:rsidRPr="006D6D46">
              <w:rPr>
                <w:rStyle w:val="a1"/>
                <w:sz w:val="20"/>
                <w:szCs w:val="20"/>
                <w:lang w:val="bg-BG"/>
              </w:rPr>
              <w:lastRenderedPageBreak/>
              <w:t>оказват отрицателно въздействие върху производителността и конкурентоспособността и  изискват значителни усилия за осъществяването на зелен и дигитален преход с оглед на целите на ЕС .</w:t>
            </w:r>
          </w:p>
          <w:p w14:paraId="25032D30" w14:textId="77777777" w:rsidR="008B1EFF" w:rsidRPr="006D6D46" w:rsidRDefault="008B1EFF" w:rsidP="00757026">
            <w:pPr>
              <w:pStyle w:val="a"/>
              <w:numPr>
                <w:ilvl w:val="0"/>
                <w:numId w:val="0"/>
              </w:numPr>
              <w:spacing w:after="0" w:line="264" w:lineRule="auto"/>
              <w:ind w:left="360" w:hanging="360"/>
              <w:textAlignment w:val="auto"/>
              <w:rPr>
                <w:sz w:val="20"/>
                <w:szCs w:val="20"/>
                <w:lang w:val="bg-BG"/>
              </w:rPr>
            </w:pPr>
          </w:p>
          <w:p w14:paraId="05E94675" w14:textId="77777777" w:rsidR="008B1EFF" w:rsidRPr="006D6D46" w:rsidRDefault="0042190C" w:rsidP="00757026">
            <w:pPr>
              <w:pStyle w:val="a"/>
              <w:numPr>
                <w:ilvl w:val="0"/>
                <w:numId w:val="0"/>
              </w:numPr>
              <w:spacing w:after="0" w:line="264" w:lineRule="auto"/>
              <w:ind w:left="34"/>
              <w:textAlignment w:val="auto"/>
              <w:rPr>
                <w:sz w:val="20"/>
                <w:szCs w:val="20"/>
                <w:lang w:val="bg-BG"/>
              </w:rPr>
            </w:pPr>
            <w:r w:rsidRPr="006D6D46">
              <w:rPr>
                <w:rStyle w:val="a1"/>
                <w:sz w:val="20"/>
                <w:szCs w:val="20"/>
                <w:lang w:val="bg-BG"/>
              </w:rPr>
              <w:t>Икономическият натиск се увеличава в енергийния сектор поради по-високите цени на въглеродните емисии, особено при производството на електроенергия от твърди изкопаеми горива, което води до намаляване на конкурентоспособността на България, както и повишаване на цената на електроенергия / социални ефекти/.</w:t>
            </w:r>
          </w:p>
          <w:p w14:paraId="6140BCEF" w14:textId="77777777" w:rsidR="008B1EFF" w:rsidRPr="006D6D46" w:rsidRDefault="008B1EFF" w:rsidP="00757026">
            <w:pPr>
              <w:pStyle w:val="a"/>
              <w:numPr>
                <w:ilvl w:val="0"/>
                <w:numId w:val="0"/>
              </w:numPr>
              <w:spacing w:after="0" w:line="264" w:lineRule="auto"/>
              <w:ind w:left="360" w:hanging="360"/>
              <w:textAlignment w:val="auto"/>
              <w:rPr>
                <w:sz w:val="20"/>
                <w:szCs w:val="20"/>
                <w:lang w:val="bg-BG"/>
              </w:rPr>
            </w:pPr>
          </w:p>
          <w:p w14:paraId="0B9D1324" w14:textId="77777777" w:rsidR="008B1EFF" w:rsidRPr="006D6D46" w:rsidRDefault="008B1EFF" w:rsidP="00757026">
            <w:pPr>
              <w:pStyle w:val="a0"/>
              <w:spacing w:line="264" w:lineRule="auto"/>
              <w:textAlignment w:val="auto"/>
              <w:rPr>
                <w:color w:val="FF0000"/>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F3F84A" w14:textId="77777777" w:rsidR="008B1EFF" w:rsidRPr="006D6D46" w:rsidRDefault="0042190C" w:rsidP="0042190C">
            <w:pPr>
              <w:pStyle w:val="a"/>
              <w:numPr>
                <w:ilvl w:val="0"/>
                <w:numId w:val="0"/>
              </w:numPr>
              <w:spacing w:after="0" w:line="264" w:lineRule="auto"/>
              <w:ind w:left="66"/>
              <w:textAlignment w:val="auto"/>
              <w:rPr>
                <w:sz w:val="20"/>
                <w:szCs w:val="20"/>
                <w:lang w:val="bg-BG"/>
              </w:rPr>
            </w:pPr>
            <w:r w:rsidRPr="006D6D46">
              <w:rPr>
                <w:sz w:val="20"/>
                <w:szCs w:val="20"/>
                <w:lang w:val="bg-BG"/>
              </w:rPr>
              <w:lastRenderedPageBreak/>
              <w:t>Разработване и гарантиране на прилагането на политики насочени към:</w:t>
            </w:r>
          </w:p>
          <w:p w14:paraId="6188E8CD" w14:textId="77777777" w:rsidR="008B1EFF" w:rsidRPr="006D6D46" w:rsidRDefault="0042190C" w:rsidP="00757026">
            <w:pPr>
              <w:pStyle w:val="a"/>
              <w:numPr>
                <w:ilvl w:val="0"/>
                <w:numId w:val="24"/>
              </w:numPr>
              <w:spacing w:after="0" w:line="264" w:lineRule="auto"/>
              <w:ind w:left="342" w:hanging="180"/>
              <w:textAlignment w:val="auto"/>
              <w:rPr>
                <w:sz w:val="20"/>
                <w:szCs w:val="20"/>
                <w:lang w:val="bg-BG"/>
              </w:rPr>
            </w:pPr>
            <w:proofErr w:type="spellStart"/>
            <w:r w:rsidRPr="006D6D46">
              <w:rPr>
                <w:sz w:val="20"/>
                <w:szCs w:val="20"/>
                <w:lang w:val="bg-BG"/>
              </w:rPr>
              <w:t>декарбонизация</w:t>
            </w:r>
            <w:proofErr w:type="spellEnd"/>
            <w:r w:rsidRPr="006D6D46">
              <w:rPr>
                <w:sz w:val="20"/>
                <w:szCs w:val="20"/>
                <w:lang w:val="bg-BG"/>
              </w:rPr>
              <w:t xml:space="preserve"> на енергетиката и икономиката</w:t>
            </w:r>
          </w:p>
          <w:p w14:paraId="5C57E9F8" w14:textId="77777777" w:rsidR="008B1EFF" w:rsidRPr="006D6D46" w:rsidRDefault="0042190C" w:rsidP="00757026">
            <w:pPr>
              <w:pStyle w:val="a"/>
              <w:numPr>
                <w:ilvl w:val="0"/>
                <w:numId w:val="24"/>
              </w:numPr>
              <w:spacing w:after="0" w:line="264" w:lineRule="auto"/>
              <w:ind w:left="342" w:hanging="180"/>
              <w:textAlignment w:val="auto"/>
              <w:rPr>
                <w:sz w:val="20"/>
                <w:szCs w:val="20"/>
                <w:lang w:val="bg-BG"/>
              </w:rPr>
            </w:pPr>
            <w:r w:rsidRPr="006D6D46">
              <w:rPr>
                <w:rStyle w:val="a1"/>
                <w:sz w:val="20"/>
                <w:szCs w:val="20"/>
                <w:lang w:val="bg-BG"/>
              </w:rPr>
              <w:lastRenderedPageBreak/>
              <w:t xml:space="preserve">насърчаване на ефективното използване на ресурсите; </w:t>
            </w:r>
          </w:p>
          <w:p w14:paraId="33B7C5B5" w14:textId="77777777" w:rsidR="008B1EFF" w:rsidRPr="006D6D46" w:rsidRDefault="0042190C" w:rsidP="00757026">
            <w:pPr>
              <w:pStyle w:val="a"/>
              <w:numPr>
                <w:ilvl w:val="0"/>
                <w:numId w:val="24"/>
              </w:numPr>
              <w:spacing w:after="0" w:line="264" w:lineRule="auto"/>
              <w:ind w:left="342" w:hanging="180"/>
              <w:textAlignment w:val="auto"/>
              <w:rPr>
                <w:sz w:val="20"/>
                <w:szCs w:val="20"/>
                <w:lang w:val="bg-BG"/>
              </w:rPr>
            </w:pPr>
            <w:r w:rsidRPr="006D6D46">
              <w:rPr>
                <w:rStyle w:val="a1"/>
                <w:sz w:val="20"/>
                <w:szCs w:val="20"/>
                <w:lang w:val="bg-BG"/>
              </w:rPr>
              <w:t xml:space="preserve">увеличаване на енергийната ефективност; </w:t>
            </w:r>
          </w:p>
          <w:p w14:paraId="2C2878D6" w14:textId="77777777" w:rsidR="008B1EFF" w:rsidRPr="006D6D46" w:rsidRDefault="0042190C" w:rsidP="00757026">
            <w:pPr>
              <w:pStyle w:val="a"/>
              <w:numPr>
                <w:ilvl w:val="0"/>
                <w:numId w:val="24"/>
              </w:numPr>
              <w:spacing w:after="0" w:line="264" w:lineRule="auto"/>
              <w:ind w:left="342" w:hanging="180"/>
              <w:textAlignment w:val="auto"/>
              <w:rPr>
                <w:sz w:val="20"/>
                <w:szCs w:val="20"/>
                <w:lang w:val="bg-BG"/>
              </w:rPr>
            </w:pPr>
            <w:r w:rsidRPr="006D6D46">
              <w:rPr>
                <w:sz w:val="20"/>
                <w:szCs w:val="20"/>
                <w:lang w:val="bg-BG"/>
              </w:rPr>
              <w:t>по-нататъшно разработване на възобновяеми енергийни източници, вкл. иновативни (зелен водород  и др.)</w:t>
            </w:r>
          </w:p>
          <w:p w14:paraId="27B0798B" w14:textId="77777777" w:rsidR="008B1EFF" w:rsidRPr="006D6D46" w:rsidRDefault="0042190C" w:rsidP="00757026">
            <w:pPr>
              <w:pStyle w:val="a"/>
              <w:numPr>
                <w:ilvl w:val="0"/>
                <w:numId w:val="24"/>
              </w:numPr>
              <w:spacing w:after="0" w:line="264" w:lineRule="auto"/>
              <w:ind w:left="342" w:hanging="180"/>
              <w:textAlignment w:val="auto"/>
              <w:rPr>
                <w:sz w:val="20"/>
                <w:szCs w:val="20"/>
                <w:lang w:val="bg-BG"/>
              </w:rPr>
            </w:pPr>
            <w:r w:rsidRPr="006D6D46">
              <w:rPr>
                <w:rStyle w:val="a1"/>
                <w:sz w:val="20"/>
                <w:szCs w:val="20"/>
                <w:lang w:val="bg-BG"/>
              </w:rPr>
              <w:t>подобряване на практиките за устойчивост в транспортния сектор;</w:t>
            </w:r>
          </w:p>
          <w:p w14:paraId="38338E22" w14:textId="66CDECD4" w:rsidR="008B1EFF" w:rsidRPr="006D6D46" w:rsidRDefault="0042190C" w:rsidP="00757026">
            <w:pPr>
              <w:pStyle w:val="a7"/>
              <w:numPr>
                <w:ilvl w:val="0"/>
                <w:numId w:val="24"/>
              </w:numPr>
              <w:spacing w:line="264" w:lineRule="auto"/>
              <w:ind w:left="342" w:hanging="180"/>
              <w:textAlignment w:val="auto"/>
              <w:rPr>
                <w:sz w:val="20"/>
                <w:szCs w:val="20"/>
              </w:rPr>
            </w:pPr>
            <w:r w:rsidRPr="006D6D46">
              <w:rPr>
                <w:sz w:val="20"/>
                <w:szCs w:val="20"/>
              </w:rPr>
              <w:t xml:space="preserve">насърчаване разработване, трансфер и прилагане на еко-иновации </w:t>
            </w:r>
          </w:p>
          <w:p w14:paraId="2CE07084" w14:textId="704ACC7D" w:rsidR="008B1EFF" w:rsidRPr="006D6D46" w:rsidRDefault="0042190C" w:rsidP="00757026">
            <w:pPr>
              <w:pStyle w:val="a"/>
              <w:numPr>
                <w:ilvl w:val="0"/>
                <w:numId w:val="0"/>
              </w:numPr>
              <w:spacing w:after="0" w:line="264" w:lineRule="auto"/>
              <w:ind w:left="360" w:hanging="360"/>
              <w:textAlignment w:val="auto"/>
              <w:rPr>
                <w:sz w:val="20"/>
                <w:szCs w:val="20"/>
                <w:lang w:val="bg-BG"/>
              </w:rPr>
            </w:pPr>
            <w:r w:rsidRPr="006D6D46">
              <w:rPr>
                <w:rStyle w:val="a1"/>
                <w:sz w:val="20"/>
                <w:szCs w:val="20"/>
                <w:lang w:val="bg-BG"/>
              </w:rPr>
              <w:t>Оптимално използване европейско и национално финансиране, с акцент:</w:t>
            </w:r>
          </w:p>
          <w:p w14:paraId="39493A57" w14:textId="77777777" w:rsidR="008B1EFF" w:rsidRPr="006D6D46" w:rsidRDefault="0042190C" w:rsidP="00757026">
            <w:pPr>
              <w:pStyle w:val="a"/>
              <w:numPr>
                <w:ilvl w:val="0"/>
                <w:numId w:val="25"/>
              </w:numPr>
              <w:spacing w:after="0" w:line="264" w:lineRule="auto"/>
              <w:ind w:left="342" w:hanging="180"/>
              <w:textAlignment w:val="auto"/>
              <w:rPr>
                <w:sz w:val="20"/>
                <w:szCs w:val="20"/>
                <w:lang w:val="bg-BG"/>
              </w:rPr>
            </w:pPr>
            <w:r w:rsidRPr="006D6D46">
              <w:rPr>
                <w:rStyle w:val="a1"/>
                <w:sz w:val="20"/>
                <w:szCs w:val="20"/>
                <w:lang w:val="bg-BG"/>
              </w:rPr>
              <w:t>Многогодишната финансова рамка 2021-2027, Механизма за възстановяване и устойчивост, Механизъм за справедлив преход;</w:t>
            </w:r>
          </w:p>
          <w:p w14:paraId="494FF2E6" w14:textId="77777777" w:rsidR="008B1EFF" w:rsidRPr="006D6D46" w:rsidRDefault="0042190C" w:rsidP="00757026">
            <w:pPr>
              <w:pStyle w:val="a"/>
              <w:numPr>
                <w:ilvl w:val="0"/>
                <w:numId w:val="25"/>
              </w:numPr>
              <w:spacing w:after="0" w:line="264" w:lineRule="auto"/>
              <w:ind w:left="342" w:hanging="180"/>
              <w:textAlignment w:val="auto"/>
              <w:rPr>
                <w:sz w:val="20"/>
                <w:szCs w:val="20"/>
                <w:lang w:val="bg-BG"/>
              </w:rPr>
            </w:pPr>
            <w:proofErr w:type="spellStart"/>
            <w:r w:rsidRPr="006D6D46">
              <w:rPr>
                <w:sz w:val="20"/>
                <w:szCs w:val="20"/>
                <w:lang w:val="bg-BG"/>
              </w:rPr>
              <w:t>Модернизационен</w:t>
            </w:r>
            <w:proofErr w:type="spellEnd"/>
            <w:r w:rsidRPr="006D6D46">
              <w:rPr>
                <w:sz w:val="20"/>
                <w:szCs w:val="20"/>
                <w:lang w:val="bg-BG"/>
              </w:rPr>
              <w:t xml:space="preserve"> фонд; </w:t>
            </w:r>
          </w:p>
          <w:p w14:paraId="1B262C7C" w14:textId="77777777" w:rsidR="008B1EFF" w:rsidRPr="006D6D46" w:rsidRDefault="0042190C" w:rsidP="00757026">
            <w:pPr>
              <w:pStyle w:val="a"/>
              <w:numPr>
                <w:ilvl w:val="0"/>
                <w:numId w:val="25"/>
              </w:numPr>
              <w:spacing w:after="0" w:line="264" w:lineRule="auto"/>
              <w:ind w:left="342" w:hanging="180"/>
              <w:textAlignment w:val="auto"/>
              <w:rPr>
                <w:sz w:val="20"/>
                <w:szCs w:val="20"/>
                <w:lang w:val="bg-BG"/>
              </w:rPr>
            </w:pPr>
            <w:r w:rsidRPr="006D6D46">
              <w:rPr>
                <w:sz w:val="20"/>
                <w:szCs w:val="20"/>
                <w:lang w:val="bg-BG"/>
              </w:rPr>
              <w:t>Иновационен фонд и др.</w:t>
            </w:r>
          </w:p>
        </w:tc>
      </w:tr>
      <w:tr w:rsidR="008B1EFF" w:rsidRPr="006D6D46" w14:paraId="7B6EF042" w14:textId="77777777">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516FEE" w14:textId="77777777" w:rsidR="008B1EFF" w:rsidRPr="006D6D46" w:rsidRDefault="0042190C" w:rsidP="00757026">
            <w:pPr>
              <w:pStyle w:val="a0"/>
              <w:spacing w:line="264" w:lineRule="auto"/>
              <w:textAlignment w:val="auto"/>
              <w:rPr>
                <w:sz w:val="20"/>
                <w:szCs w:val="20"/>
              </w:rPr>
            </w:pPr>
            <w:r w:rsidRPr="006D6D46">
              <w:rPr>
                <w:sz w:val="20"/>
                <w:szCs w:val="20"/>
              </w:rPr>
              <w:lastRenderedPageBreak/>
              <w:t>Социални предизвикателства, свързани с процеса на ефективна енергийна трансформация, като например загуба на работни места и понижаване на стандартите на качество на живот.</w:t>
            </w:r>
          </w:p>
          <w:p w14:paraId="5C3FF439" w14:textId="77777777" w:rsidR="008B1EFF" w:rsidRPr="006D6D46" w:rsidRDefault="008B1EFF" w:rsidP="00757026">
            <w:pPr>
              <w:pStyle w:val="a"/>
              <w:numPr>
                <w:ilvl w:val="0"/>
                <w:numId w:val="0"/>
              </w:numPr>
              <w:spacing w:after="0" w:line="264" w:lineRule="auto"/>
              <w:ind w:left="360" w:hanging="360"/>
              <w:textAlignment w:val="auto"/>
              <w:rPr>
                <w:b/>
                <w:sz w:val="20"/>
                <w:szCs w:val="20"/>
              </w:rPr>
            </w:pP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8904CD" w14:textId="43A0C9C0" w:rsidR="008B1EFF" w:rsidRPr="006D6D46" w:rsidRDefault="0042190C" w:rsidP="00757026">
            <w:pPr>
              <w:pStyle w:val="a"/>
              <w:numPr>
                <w:ilvl w:val="0"/>
                <w:numId w:val="0"/>
              </w:numPr>
              <w:spacing w:after="0" w:line="264" w:lineRule="auto"/>
              <w:ind w:left="66"/>
              <w:textAlignment w:val="auto"/>
              <w:rPr>
                <w:sz w:val="20"/>
                <w:szCs w:val="20"/>
                <w:lang w:val="bg-BG"/>
              </w:rPr>
            </w:pPr>
            <w:r w:rsidRPr="006D6D46">
              <w:rPr>
                <w:rStyle w:val="a1"/>
                <w:sz w:val="20"/>
                <w:szCs w:val="20"/>
                <w:lang w:val="bg-BG"/>
              </w:rPr>
              <w:t xml:space="preserve">Прилагане на фокусирани политики и мерки за въглищните райони в преход - като областите Стара Загора, Перник и Кюстендил, както и районите с </w:t>
            </w:r>
            <w:proofErr w:type="spellStart"/>
            <w:r w:rsidRPr="006D6D46">
              <w:rPr>
                <w:rStyle w:val="a1"/>
                <w:sz w:val="20"/>
                <w:szCs w:val="20"/>
                <w:lang w:val="bg-BG"/>
              </w:rPr>
              <w:t>въглеродо</w:t>
            </w:r>
            <w:proofErr w:type="spellEnd"/>
            <w:r w:rsidRPr="006D6D46">
              <w:rPr>
                <w:rStyle w:val="a1"/>
                <w:sz w:val="20"/>
                <w:szCs w:val="20"/>
                <w:lang w:val="bg-BG"/>
              </w:rPr>
              <w:t xml:space="preserve">-интензивна индустрия, които ще бъдат засегнати от прехода; </w:t>
            </w:r>
          </w:p>
          <w:p w14:paraId="4F89FAFF" w14:textId="77777777" w:rsidR="008B1EFF" w:rsidRPr="006D6D46" w:rsidRDefault="0042190C" w:rsidP="00757026">
            <w:pPr>
              <w:pStyle w:val="a"/>
              <w:numPr>
                <w:ilvl w:val="0"/>
                <w:numId w:val="0"/>
              </w:numPr>
              <w:spacing w:after="0" w:line="264" w:lineRule="auto"/>
              <w:ind w:left="66" w:hanging="66"/>
              <w:textAlignment w:val="auto"/>
              <w:rPr>
                <w:sz w:val="20"/>
                <w:szCs w:val="20"/>
              </w:rPr>
            </w:pPr>
            <w:r w:rsidRPr="006D6D46">
              <w:rPr>
                <w:rStyle w:val="a1"/>
                <w:sz w:val="20"/>
                <w:szCs w:val="20"/>
                <w:lang w:val="bg-BG"/>
              </w:rPr>
              <w:t>Прилагане на политика и мерки за преквалификация,  създаване на нови работни места, подкрепа на секторна и географска мобилност</w:t>
            </w:r>
          </w:p>
        </w:tc>
      </w:tr>
      <w:tr w:rsidR="008B1EFF" w:rsidRPr="006D6D46" w14:paraId="5C990729" w14:textId="77777777">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041C32" w14:textId="1B4CC373" w:rsidR="008B1EFF" w:rsidRPr="006D6D46" w:rsidRDefault="0042190C" w:rsidP="00757026">
            <w:pPr>
              <w:pStyle w:val="a"/>
              <w:numPr>
                <w:ilvl w:val="0"/>
                <w:numId w:val="0"/>
              </w:numPr>
              <w:spacing w:after="0" w:line="264" w:lineRule="auto"/>
              <w:ind w:left="34"/>
              <w:textAlignment w:val="auto"/>
              <w:rPr>
                <w:sz w:val="20"/>
                <w:szCs w:val="20"/>
                <w:lang w:val="bg-BG"/>
              </w:rPr>
            </w:pPr>
            <w:r w:rsidRPr="006D6D46">
              <w:rPr>
                <w:sz w:val="20"/>
                <w:szCs w:val="20"/>
                <w:lang w:val="bg-BG"/>
              </w:rPr>
              <w:t>Изоставането в технологичната модернизация</w:t>
            </w:r>
            <w:r w:rsidR="00D54145">
              <w:rPr>
                <w:sz w:val="20"/>
                <w:szCs w:val="20"/>
                <w:lang w:val="bg-BG"/>
              </w:rPr>
              <w:t xml:space="preserve"> (особено на МСП</w:t>
            </w:r>
            <w:r w:rsidR="0096448F">
              <w:rPr>
                <w:sz w:val="20"/>
                <w:szCs w:val="20"/>
                <w:lang w:val="bg-BG"/>
              </w:rPr>
              <w:t xml:space="preserve"> и микро-предприятия)</w:t>
            </w:r>
            <w:r w:rsidRPr="006D6D46">
              <w:rPr>
                <w:sz w:val="20"/>
                <w:szCs w:val="20"/>
                <w:lang w:val="bg-BG"/>
              </w:rPr>
              <w:t xml:space="preserve"> и ниското ниво на използване на иновации затрудняват прехода към нисковъглеродна икономика.</w:t>
            </w:r>
          </w:p>
          <w:p w14:paraId="3ABA8CB2" w14:textId="4389332D" w:rsidR="008B1EFF" w:rsidRPr="006D6D46" w:rsidRDefault="0042190C" w:rsidP="00757026">
            <w:pPr>
              <w:pStyle w:val="a"/>
              <w:numPr>
                <w:ilvl w:val="0"/>
                <w:numId w:val="0"/>
              </w:numPr>
              <w:spacing w:after="0" w:line="264" w:lineRule="auto"/>
              <w:textAlignment w:val="auto"/>
              <w:rPr>
                <w:sz w:val="20"/>
                <w:szCs w:val="20"/>
                <w:lang w:val="bg-BG"/>
              </w:rPr>
            </w:pPr>
            <w:r w:rsidRPr="006D6D46">
              <w:rPr>
                <w:rStyle w:val="a1"/>
                <w:sz w:val="20"/>
                <w:szCs w:val="20"/>
                <w:lang w:val="bg-BG"/>
              </w:rPr>
              <w:t xml:space="preserve">В българската система за научни </w:t>
            </w:r>
            <w:proofErr w:type="spellStart"/>
            <w:r w:rsidRPr="006D6D46">
              <w:rPr>
                <w:rStyle w:val="a1"/>
                <w:sz w:val="20"/>
                <w:szCs w:val="20"/>
                <w:lang w:val="bg-BG"/>
              </w:rPr>
              <w:t>изследв</w:t>
            </w:r>
            <w:proofErr w:type="spellEnd"/>
            <w:r w:rsidR="00E54A5E">
              <w:rPr>
                <w:rStyle w:val="a1"/>
                <w:sz w:val="20"/>
                <w:szCs w:val="20"/>
                <w:lang w:val="bg-BG"/>
              </w:rPr>
              <w:t xml:space="preserve"> </w:t>
            </w:r>
            <w:proofErr w:type="spellStart"/>
            <w:r w:rsidRPr="006D6D46">
              <w:rPr>
                <w:rStyle w:val="a1"/>
                <w:sz w:val="20"/>
                <w:szCs w:val="20"/>
                <w:lang w:val="bg-BG"/>
              </w:rPr>
              <w:t>ания</w:t>
            </w:r>
            <w:proofErr w:type="spellEnd"/>
            <w:r w:rsidRPr="006D6D46">
              <w:rPr>
                <w:rStyle w:val="a1"/>
                <w:sz w:val="20"/>
                <w:szCs w:val="20"/>
                <w:lang w:val="bg-BG"/>
              </w:rPr>
              <w:t xml:space="preserve"> и иновации се наблюдават редица структурни недостатъци:</w:t>
            </w:r>
          </w:p>
          <w:p w14:paraId="21B45D09" w14:textId="77777777" w:rsidR="008B1EFF" w:rsidRPr="006D6D46" w:rsidRDefault="0042190C" w:rsidP="00757026">
            <w:pPr>
              <w:pStyle w:val="a"/>
              <w:numPr>
                <w:ilvl w:val="0"/>
                <w:numId w:val="26"/>
              </w:numPr>
              <w:spacing w:after="0" w:line="264" w:lineRule="auto"/>
              <w:ind w:left="360" w:hanging="180"/>
              <w:textAlignment w:val="auto"/>
              <w:rPr>
                <w:sz w:val="20"/>
                <w:szCs w:val="20"/>
                <w:lang w:val="bg-BG"/>
              </w:rPr>
            </w:pPr>
            <w:r w:rsidRPr="006D6D46">
              <w:rPr>
                <w:rStyle w:val="a1"/>
                <w:sz w:val="20"/>
                <w:szCs w:val="20"/>
                <w:lang w:val="bg-BG"/>
              </w:rPr>
              <w:t xml:space="preserve">ниските равнища на публични и частни инвестиции в научни изследвания и иновации, </w:t>
            </w:r>
          </w:p>
          <w:p w14:paraId="1F61E9FA" w14:textId="77777777" w:rsidR="008B1EFF" w:rsidRPr="006D6D46" w:rsidRDefault="0042190C" w:rsidP="00757026">
            <w:pPr>
              <w:pStyle w:val="a"/>
              <w:numPr>
                <w:ilvl w:val="0"/>
                <w:numId w:val="26"/>
              </w:numPr>
              <w:spacing w:after="0" w:line="264" w:lineRule="auto"/>
              <w:ind w:left="360" w:hanging="180"/>
              <w:textAlignment w:val="auto"/>
              <w:rPr>
                <w:sz w:val="20"/>
                <w:szCs w:val="20"/>
                <w:lang w:val="bg-BG"/>
              </w:rPr>
            </w:pPr>
            <w:r w:rsidRPr="006D6D46">
              <w:rPr>
                <w:rStyle w:val="a1"/>
                <w:sz w:val="20"/>
                <w:szCs w:val="20"/>
                <w:lang w:val="bg-BG"/>
              </w:rPr>
              <w:t>разпокъсаността на публичната научна база,</w:t>
            </w:r>
          </w:p>
          <w:p w14:paraId="0A59EF25" w14:textId="77777777" w:rsidR="008B1EFF" w:rsidRPr="006D6D46" w:rsidRDefault="0042190C" w:rsidP="00757026">
            <w:pPr>
              <w:pStyle w:val="a"/>
              <w:numPr>
                <w:ilvl w:val="0"/>
                <w:numId w:val="26"/>
              </w:numPr>
              <w:spacing w:after="0" w:line="264" w:lineRule="auto"/>
              <w:ind w:left="360" w:hanging="180"/>
              <w:textAlignment w:val="auto"/>
              <w:rPr>
                <w:sz w:val="20"/>
                <w:szCs w:val="20"/>
                <w:lang w:val="bg-BG"/>
              </w:rPr>
            </w:pPr>
            <w:r w:rsidRPr="006D6D46">
              <w:rPr>
                <w:rStyle w:val="a1"/>
                <w:sz w:val="20"/>
                <w:szCs w:val="20"/>
                <w:lang w:val="bg-BG"/>
              </w:rPr>
              <w:t>липсата и застаряването на квалифицираните човешки ресурси,</w:t>
            </w:r>
          </w:p>
          <w:p w14:paraId="37381152" w14:textId="77777777" w:rsidR="008B1EFF" w:rsidRPr="006D6D46" w:rsidRDefault="0042190C" w:rsidP="00757026">
            <w:pPr>
              <w:pStyle w:val="a"/>
              <w:numPr>
                <w:ilvl w:val="0"/>
                <w:numId w:val="26"/>
              </w:numPr>
              <w:spacing w:after="0" w:line="264" w:lineRule="auto"/>
              <w:ind w:left="360" w:hanging="180"/>
              <w:textAlignment w:val="auto"/>
              <w:rPr>
                <w:sz w:val="20"/>
                <w:szCs w:val="20"/>
              </w:rPr>
            </w:pPr>
            <w:r w:rsidRPr="006D6D46">
              <w:rPr>
                <w:sz w:val="20"/>
                <w:szCs w:val="20"/>
                <w:lang w:val="bg-BG"/>
              </w:rPr>
              <w:t>слабите връзки между науката и бизнеса и неефективното управление.</w:t>
            </w:r>
            <w:r w:rsidRPr="006D6D46">
              <w:rPr>
                <w:sz w:val="20"/>
                <w:szCs w:val="20"/>
              </w:rPr>
              <w:t xml:space="preserve">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FD3713" w14:textId="6DB8C056" w:rsidR="008B1EFF" w:rsidRPr="006D6D46" w:rsidRDefault="0042190C" w:rsidP="00757026">
            <w:pPr>
              <w:pStyle w:val="a0"/>
              <w:spacing w:line="264" w:lineRule="auto"/>
              <w:textAlignment w:val="auto"/>
              <w:rPr>
                <w:sz w:val="20"/>
                <w:szCs w:val="20"/>
              </w:rPr>
            </w:pPr>
            <w:r w:rsidRPr="006D6D46">
              <w:rPr>
                <w:sz w:val="20"/>
                <w:szCs w:val="20"/>
              </w:rPr>
              <w:t>Разработване и прилагане на фокусирани програми за технологична модернизация</w:t>
            </w:r>
            <w:r w:rsidR="00D54145">
              <w:rPr>
                <w:sz w:val="20"/>
                <w:szCs w:val="20"/>
              </w:rPr>
              <w:t>, с фокус сектор „енергетика“</w:t>
            </w:r>
            <w:r w:rsidRPr="006D6D46">
              <w:rPr>
                <w:sz w:val="20"/>
                <w:szCs w:val="20"/>
              </w:rPr>
              <w:t>;</w:t>
            </w:r>
          </w:p>
          <w:p w14:paraId="1936CE43" w14:textId="77777777" w:rsidR="008B1EFF" w:rsidRPr="006D6D46" w:rsidRDefault="0042190C" w:rsidP="00757026">
            <w:pPr>
              <w:pStyle w:val="a0"/>
              <w:spacing w:line="264" w:lineRule="auto"/>
              <w:textAlignment w:val="auto"/>
              <w:rPr>
                <w:sz w:val="20"/>
                <w:szCs w:val="20"/>
              </w:rPr>
            </w:pPr>
            <w:r w:rsidRPr="006D6D46">
              <w:rPr>
                <w:sz w:val="20"/>
                <w:szCs w:val="20"/>
              </w:rPr>
              <w:t>Провеждане на последователна политика за подпомагане симбиозата между научни звена и бизнес;</w:t>
            </w:r>
          </w:p>
          <w:p w14:paraId="6693ABA4" w14:textId="77777777" w:rsidR="008B1EFF" w:rsidRPr="006D6D46" w:rsidRDefault="0042190C" w:rsidP="00757026">
            <w:pPr>
              <w:pStyle w:val="a0"/>
              <w:spacing w:line="264" w:lineRule="auto"/>
              <w:textAlignment w:val="auto"/>
              <w:rPr>
                <w:sz w:val="20"/>
                <w:szCs w:val="20"/>
              </w:rPr>
            </w:pPr>
            <w:r w:rsidRPr="006D6D46">
              <w:rPr>
                <w:sz w:val="20"/>
                <w:szCs w:val="20"/>
              </w:rPr>
              <w:t>Изграждане на платформи за трансфер на знания и технологии.</w:t>
            </w:r>
          </w:p>
          <w:p w14:paraId="4A2CA179" w14:textId="77777777" w:rsidR="008B1EFF" w:rsidRPr="006D6D46" w:rsidRDefault="008B1EFF" w:rsidP="00757026">
            <w:pPr>
              <w:pStyle w:val="a0"/>
              <w:spacing w:line="264" w:lineRule="auto"/>
              <w:textAlignment w:val="auto"/>
              <w:rPr>
                <w:sz w:val="20"/>
                <w:szCs w:val="20"/>
              </w:rPr>
            </w:pPr>
          </w:p>
          <w:p w14:paraId="2D3B7234" w14:textId="0F001481" w:rsidR="008B1EFF" w:rsidRPr="006D6D46" w:rsidRDefault="0042190C" w:rsidP="00757026">
            <w:pPr>
              <w:pStyle w:val="a"/>
              <w:numPr>
                <w:ilvl w:val="0"/>
                <w:numId w:val="0"/>
              </w:numPr>
              <w:spacing w:after="0" w:line="264" w:lineRule="auto"/>
              <w:textAlignment w:val="auto"/>
              <w:rPr>
                <w:sz w:val="20"/>
                <w:szCs w:val="20"/>
              </w:rPr>
            </w:pPr>
            <w:r w:rsidRPr="006D6D46">
              <w:rPr>
                <w:rStyle w:val="None"/>
                <w:sz w:val="20"/>
                <w:szCs w:val="20"/>
                <w:lang w:val="bg-BG"/>
              </w:rPr>
              <w:t xml:space="preserve">Ефективно използване на възможностите на фондовете и програмите на ЕС, с акцент </w:t>
            </w:r>
            <w:r w:rsidRPr="006D6D46">
              <w:rPr>
                <w:rStyle w:val="None"/>
                <w:sz w:val="20"/>
                <w:szCs w:val="20"/>
              </w:rPr>
              <w:t xml:space="preserve"> </w:t>
            </w:r>
            <w:r w:rsidRPr="006D6D46">
              <w:rPr>
                <w:rStyle w:val="None"/>
                <w:sz w:val="20"/>
                <w:szCs w:val="20"/>
                <w:lang w:val="bg-BG"/>
              </w:rPr>
              <w:t>„Хоризонт Европа“,</w:t>
            </w:r>
            <w:r w:rsidRPr="006D6D46">
              <w:rPr>
                <w:rStyle w:val="None"/>
                <w:sz w:val="20"/>
                <w:szCs w:val="20"/>
                <w:lang w:val="en-US"/>
              </w:rPr>
              <w:t xml:space="preserve"> </w:t>
            </w:r>
            <w:r w:rsidRPr="006D6D46">
              <w:rPr>
                <w:rStyle w:val="None"/>
                <w:sz w:val="20"/>
                <w:szCs w:val="20"/>
                <w:lang w:val="bg-BG"/>
              </w:rPr>
              <w:t xml:space="preserve">Механизма за справедлив преход, </w:t>
            </w:r>
            <w:proofErr w:type="spellStart"/>
            <w:r w:rsidRPr="006D6D46">
              <w:rPr>
                <w:rStyle w:val="None"/>
                <w:sz w:val="20"/>
                <w:szCs w:val="20"/>
              </w:rPr>
              <w:t>Механизма</w:t>
            </w:r>
            <w:proofErr w:type="spellEnd"/>
            <w:r w:rsidRPr="006D6D46">
              <w:rPr>
                <w:rStyle w:val="None"/>
                <w:sz w:val="20"/>
                <w:szCs w:val="20"/>
              </w:rPr>
              <w:t xml:space="preserve"> </w:t>
            </w:r>
            <w:proofErr w:type="spellStart"/>
            <w:r w:rsidRPr="006D6D46">
              <w:rPr>
                <w:rStyle w:val="None"/>
                <w:sz w:val="20"/>
                <w:szCs w:val="20"/>
              </w:rPr>
              <w:t>за</w:t>
            </w:r>
            <w:proofErr w:type="spellEnd"/>
            <w:r w:rsidRPr="006D6D46">
              <w:rPr>
                <w:rStyle w:val="None"/>
                <w:sz w:val="20"/>
                <w:szCs w:val="20"/>
              </w:rPr>
              <w:t xml:space="preserve"> </w:t>
            </w:r>
            <w:proofErr w:type="spellStart"/>
            <w:r w:rsidRPr="006D6D46">
              <w:rPr>
                <w:rStyle w:val="None"/>
                <w:sz w:val="20"/>
                <w:szCs w:val="20"/>
              </w:rPr>
              <w:t>възстановяване</w:t>
            </w:r>
            <w:proofErr w:type="spellEnd"/>
            <w:r w:rsidRPr="006D6D46">
              <w:rPr>
                <w:rStyle w:val="None"/>
                <w:sz w:val="20"/>
                <w:szCs w:val="20"/>
              </w:rPr>
              <w:t xml:space="preserve"> и </w:t>
            </w:r>
            <w:proofErr w:type="spellStart"/>
            <w:r w:rsidRPr="006D6D46">
              <w:rPr>
                <w:rStyle w:val="None"/>
                <w:sz w:val="20"/>
                <w:szCs w:val="20"/>
              </w:rPr>
              <w:t>устойчивост</w:t>
            </w:r>
            <w:proofErr w:type="spellEnd"/>
            <w:r w:rsidRPr="006D6D46">
              <w:rPr>
                <w:rStyle w:val="None"/>
                <w:sz w:val="20"/>
                <w:szCs w:val="20"/>
                <w:lang w:val="bg-BG"/>
              </w:rPr>
              <w:t xml:space="preserve">, </w:t>
            </w:r>
            <w:proofErr w:type="spellStart"/>
            <w:r w:rsidRPr="006D6D46">
              <w:rPr>
                <w:rStyle w:val="None"/>
                <w:sz w:val="20"/>
                <w:szCs w:val="20"/>
                <w:lang w:val="en-US"/>
              </w:rPr>
              <w:t>InvestEU</w:t>
            </w:r>
            <w:proofErr w:type="spellEnd"/>
            <w:r w:rsidRPr="006D6D46">
              <w:rPr>
                <w:rStyle w:val="None"/>
                <w:sz w:val="20"/>
                <w:szCs w:val="20"/>
                <w:lang w:val="en-US"/>
              </w:rPr>
              <w:t>,</w:t>
            </w:r>
            <w:r w:rsidRPr="006D6D46">
              <w:rPr>
                <w:rStyle w:val="None"/>
                <w:sz w:val="20"/>
                <w:szCs w:val="20"/>
                <w:lang w:val="bg-BG"/>
              </w:rPr>
              <w:t xml:space="preserve"> ПКИП и др.</w:t>
            </w:r>
          </w:p>
        </w:tc>
      </w:tr>
      <w:tr w:rsidR="008B1EFF" w:rsidRPr="006D6D46" w14:paraId="53B1F8C6" w14:textId="77777777">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75B49AAA" w14:textId="77777777" w:rsidR="008B1EFF" w:rsidRPr="006D6D46" w:rsidRDefault="008B1EFF" w:rsidP="00757026">
            <w:pPr>
              <w:pStyle w:val="a"/>
              <w:numPr>
                <w:ilvl w:val="0"/>
                <w:numId w:val="0"/>
              </w:numPr>
              <w:spacing w:after="0" w:line="264" w:lineRule="auto"/>
              <w:ind w:left="360" w:hanging="360"/>
              <w:textAlignment w:val="auto"/>
              <w:rPr>
                <w:rFonts w:eastAsia="Calibri"/>
                <w:b/>
                <w:sz w:val="20"/>
                <w:szCs w:val="20"/>
                <w:lang w:val="bg-BG"/>
              </w:rPr>
            </w:pPr>
          </w:p>
          <w:p w14:paraId="2C9E65BE" w14:textId="77777777" w:rsidR="008B1EFF" w:rsidRPr="006D6D46" w:rsidRDefault="0042190C" w:rsidP="00757026">
            <w:pPr>
              <w:pStyle w:val="a"/>
              <w:numPr>
                <w:ilvl w:val="0"/>
                <w:numId w:val="0"/>
              </w:numPr>
              <w:spacing w:after="0" w:line="264" w:lineRule="auto"/>
              <w:ind w:left="360" w:hanging="360"/>
              <w:textAlignment w:val="auto"/>
              <w:rPr>
                <w:sz w:val="20"/>
                <w:szCs w:val="20"/>
              </w:rPr>
            </w:pPr>
            <w:proofErr w:type="spellStart"/>
            <w:r w:rsidRPr="006D6D46">
              <w:rPr>
                <w:rStyle w:val="a1"/>
                <w:rFonts w:eastAsia="Calibri"/>
                <w:b/>
                <w:sz w:val="20"/>
                <w:szCs w:val="20"/>
              </w:rPr>
              <w:t>Защита</w:t>
            </w:r>
            <w:proofErr w:type="spellEnd"/>
            <w:r w:rsidRPr="006D6D46">
              <w:rPr>
                <w:rStyle w:val="a1"/>
                <w:rFonts w:eastAsia="Calibri"/>
                <w:b/>
                <w:sz w:val="20"/>
                <w:szCs w:val="20"/>
              </w:rPr>
              <w:t xml:space="preserve"> </w:t>
            </w:r>
            <w:proofErr w:type="spellStart"/>
            <w:r w:rsidRPr="006D6D46">
              <w:rPr>
                <w:rStyle w:val="a1"/>
                <w:rFonts w:eastAsia="Calibri"/>
                <w:b/>
                <w:sz w:val="20"/>
                <w:szCs w:val="20"/>
              </w:rPr>
              <w:t>от</w:t>
            </w:r>
            <w:proofErr w:type="spellEnd"/>
            <w:r w:rsidRPr="006D6D46">
              <w:rPr>
                <w:rStyle w:val="a1"/>
                <w:rFonts w:eastAsia="Calibri"/>
                <w:b/>
                <w:sz w:val="20"/>
                <w:szCs w:val="20"/>
              </w:rPr>
              <w:t xml:space="preserve"> </w:t>
            </w:r>
            <w:proofErr w:type="spellStart"/>
            <w:r w:rsidRPr="006D6D46">
              <w:rPr>
                <w:rStyle w:val="a1"/>
                <w:rFonts w:eastAsia="Calibri"/>
                <w:b/>
                <w:sz w:val="20"/>
                <w:szCs w:val="20"/>
              </w:rPr>
              <w:t>свързаните</w:t>
            </w:r>
            <w:proofErr w:type="spellEnd"/>
            <w:r w:rsidRPr="006D6D46">
              <w:rPr>
                <w:rStyle w:val="a1"/>
                <w:rFonts w:eastAsia="Calibri"/>
                <w:b/>
                <w:sz w:val="20"/>
                <w:szCs w:val="20"/>
              </w:rPr>
              <w:t xml:space="preserve"> с </w:t>
            </w:r>
            <w:proofErr w:type="spellStart"/>
            <w:r w:rsidRPr="006D6D46">
              <w:rPr>
                <w:rStyle w:val="a1"/>
                <w:rFonts w:eastAsia="Calibri"/>
                <w:b/>
                <w:sz w:val="20"/>
                <w:szCs w:val="20"/>
              </w:rPr>
              <w:t>околната</w:t>
            </w:r>
            <w:proofErr w:type="spellEnd"/>
            <w:r w:rsidRPr="006D6D46">
              <w:rPr>
                <w:rStyle w:val="a1"/>
                <w:rFonts w:eastAsia="Calibri"/>
                <w:b/>
                <w:sz w:val="20"/>
                <w:szCs w:val="20"/>
              </w:rPr>
              <w:t xml:space="preserve"> </w:t>
            </w:r>
            <w:proofErr w:type="spellStart"/>
            <w:r w:rsidRPr="006D6D46">
              <w:rPr>
                <w:rStyle w:val="a1"/>
                <w:rFonts w:eastAsia="Calibri"/>
                <w:b/>
                <w:sz w:val="20"/>
                <w:szCs w:val="20"/>
              </w:rPr>
              <w:t>среда</w:t>
            </w:r>
            <w:proofErr w:type="spellEnd"/>
            <w:r w:rsidRPr="006D6D46">
              <w:rPr>
                <w:rStyle w:val="a1"/>
                <w:rFonts w:eastAsia="Calibri"/>
                <w:b/>
                <w:sz w:val="20"/>
                <w:szCs w:val="20"/>
              </w:rPr>
              <w:t xml:space="preserve"> </w:t>
            </w:r>
            <w:proofErr w:type="spellStart"/>
            <w:r w:rsidRPr="006D6D46">
              <w:rPr>
                <w:rStyle w:val="a1"/>
                <w:rFonts w:eastAsia="Calibri"/>
                <w:b/>
                <w:sz w:val="20"/>
                <w:szCs w:val="20"/>
              </w:rPr>
              <w:t>рискове</w:t>
            </w:r>
            <w:proofErr w:type="spellEnd"/>
            <w:r w:rsidRPr="006D6D46">
              <w:rPr>
                <w:rStyle w:val="a1"/>
                <w:rFonts w:eastAsia="Calibri"/>
                <w:b/>
                <w:sz w:val="20"/>
                <w:szCs w:val="20"/>
              </w:rPr>
              <w:t xml:space="preserve"> </w:t>
            </w:r>
            <w:proofErr w:type="spellStart"/>
            <w:r w:rsidRPr="006D6D46">
              <w:rPr>
                <w:rStyle w:val="a1"/>
                <w:rFonts w:eastAsia="Calibri"/>
                <w:b/>
                <w:sz w:val="20"/>
                <w:szCs w:val="20"/>
              </w:rPr>
              <w:t>за</w:t>
            </w:r>
            <w:proofErr w:type="spellEnd"/>
            <w:r w:rsidRPr="006D6D46">
              <w:rPr>
                <w:rStyle w:val="a1"/>
                <w:rFonts w:eastAsia="Calibri"/>
                <w:b/>
                <w:sz w:val="20"/>
                <w:szCs w:val="20"/>
              </w:rPr>
              <w:t xml:space="preserve"> </w:t>
            </w:r>
            <w:proofErr w:type="spellStart"/>
            <w:r w:rsidRPr="006D6D46">
              <w:rPr>
                <w:rStyle w:val="a1"/>
                <w:rFonts w:eastAsia="Calibri"/>
                <w:b/>
                <w:sz w:val="20"/>
                <w:szCs w:val="20"/>
              </w:rPr>
              <w:t>здравето</w:t>
            </w:r>
            <w:proofErr w:type="spellEnd"/>
            <w:r w:rsidRPr="006D6D46">
              <w:rPr>
                <w:rStyle w:val="a1"/>
                <w:rFonts w:eastAsia="Calibri"/>
                <w:b/>
                <w:sz w:val="20"/>
                <w:szCs w:val="20"/>
              </w:rPr>
              <w:t xml:space="preserve"> и </w:t>
            </w:r>
            <w:proofErr w:type="spellStart"/>
            <w:r w:rsidRPr="006D6D46">
              <w:rPr>
                <w:rStyle w:val="a1"/>
                <w:rFonts w:eastAsia="Calibri"/>
                <w:b/>
                <w:sz w:val="20"/>
                <w:szCs w:val="20"/>
              </w:rPr>
              <w:t>благосъстоянието</w:t>
            </w:r>
            <w:proofErr w:type="spellEnd"/>
          </w:p>
        </w:tc>
      </w:tr>
      <w:tr w:rsidR="008B1EFF" w:rsidRPr="006D6D46" w14:paraId="2EB498FC" w14:textId="77777777">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DA19A18" w14:textId="77777777" w:rsidR="008B1EFF" w:rsidRPr="006D6D46" w:rsidRDefault="0042190C" w:rsidP="00757026">
            <w:pPr>
              <w:pStyle w:val="a0"/>
              <w:spacing w:line="264" w:lineRule="auto"/>
              <w:textAlignment w:val="auto"/>
              <w:rPr>
                <w:b/>
                <w:sz w:val="20"/>
                <w:szCs w:val="20"/>
              </w:rPr>
            </w:pPr>
            <w:r w:rsidRPr="006D6D46">
              <w:rPr>
                <w:b/>
                <w:sz w:val="20"/>
                <w:szCs w:val="20"/>
              </w:rPr>
              <w:t>Предизвикателства</w:t>
            </w:r>
          </w:p>
        </w:tc>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BA18693" w14:textId="77777777" w:rsidR="008B1EFF" w:rsidRPr="006D6D46" w:rsidRDefault="0042190C" w:rsidP="00757026">
            <w:pPr>
              <w:pStyle w:val="a"/>
              <w:numPr>
                <w:ilvl w:val="0"/>
                <w:numId w:val="0"/>
              </w:numPr>
              <w:spacing w:after="0" w:line="264" w:lineRule="auto"/>
              <w:ind w:left="360" w:hanging="360"/>
              <w:textAlignment w:val="auto"/>
              <w:rPr>
                <w:b/>
                <w:sz w:val="20"/>
                <w:szCs w:val="20"/>
                <w:lang w:val="bg-BG"/>
              </w:rPr>
            </w:pPr>
            <w:r w:rsidRPr="006D6D46">
              <w:rPr>
                <w:b/>
                <w:sz w:val="20"/>
                <w:szCs w:val="20"/>
                <w:lang w:val="bg-BG"/>
              </w:rPr>
              <w:t>Отговор</w:t>
            </w:r>
          </w:p>
        </w:tc>
      </w:tr>
      <w:tr w:rsidR="008B1EFF" w:rsidRPr="006D6D46" w14:paraId="0BFD3C4A" w14:textId="77777777">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DBE75" w14:textId="77777777" w:rsidR="008B1EFF" w:rsidRPr="006D6D46" w:rsidRDefault="0042190C" w:rsidP="00757026">
            <w:pPr>
              <w:pStyle w:val="a0"/>
              <w:spacing w:line="264" w:lineRule="auto"/>
              <w:jc w:val="both"/>
              <w:textAlignment w:val="auto"/>
              <w:rPr>
                <w:sz w:val="20"/>
                <w:szCs w:val="20"/>
              </w:rPr>
            </w:pPr>
            <w:r w:rsidRPr="006D6D46">
              <w:rPr>
                <w:sz w:val="20"/>
                <w:szCs w:val="20"/>
              </w:rPr>
              <w:t xml:space="preserve">България е сред държавите от ЕС, които са най-уязвими спрямо последиците от климатичните изменения; </w:t>
            </w:r>
          </w:p>
          <w:p w14:paraId="64607035" w14:textId="77777777" w:rsidR="008B1EFF" w:rsidRPr="006D6D46" w:rsidRDefault="0042190C" w:rsidP="00757026">
            <w:pPr>
              <w:pStyle w:val="a0"/>
              <w:spacing w:line="264" w:lineRule="auto"/>
              <w:jc w:val="both"/>
              <w:textAlignment w:val="auto"/>
              <w:rPr>
                <w:sz w:val="20"/>
                <w:szCs w:val="20"/>
              </w:rPr>
            </w:pPr>
            <w:r w:rsidRPr="006D6D46">
              <w:rPr>
                <w:sz w:val="20"/>
                <w:szCs w:val="20"/>
              </w:rPr>
              <w:t xml:space="preserve">България не е достатъчно подготвена да реагира на последиците от изменението на климата;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BD9C0F" w14:textId="77777777" w:rsidR="008B1EFF" w:rsidRPr="006D6D46" w:rsidRDefault="0042190C" w:rsidP="00757026">
            <w:pPr>
              <w:pStyle w:val="a0"/>
              <w:spacing w:line="264" w:lineRule="auto"/>
              <w:jc w:val="both"/>
              <w:textAlignment w:val="auto"/>
              <w:rPr>
                <w:sz w:val="20"/>
                <w:szCs w:val="20"/>
              </w:rPr>
            </w:pPr>
            <w:r w:rsidRPr="006D6D46">
              <w:rPr>
                <w:rStyle w:val="None"/>
                <w:bCs/>
                <w:sz w:val="20"/>
                <w:szCs w:val="20"/>
              </w:rPr>
              <w:t xml:space="preserve">Изготвяне и гарантиране на изпълнението на Стратегии за адаптиране на всички нива – национално, местно, както и по сектори; </w:t>
            </w:r>
          </w:p>
          <w:p w14:paraId="1F18E07D" w14:textId="77777777" w:rsidR="008B1EFF" w:rsidRPr="006D6D46" w:rsidRDefault="0042190C" w:rsidP="00757026">
            <w:pPr>
              <w:pStyle w:val="a0"/>
              <w:spacing w:line="264" w:lineRule="auto"/>
              <w:jc w:val="both"/>
              <w:textAlignment w:val="auto"/>
              <w:rPr>
                <w:sz w:val="20"/>
                <w:szCs w:val="20"/>
              </w:rPr>
            </w:pPr>
            <w:r w:rsidRPr="006D6D46">
              <w:rPr>
                <w:rStyle w:val="None"/>
                <w:bCs/>
                <w:sz w:val="20"/>
                <w:szCs w:val="20"/>
              </w:rPr>
              <w:t>Стратегическите документи  да се основават на най-новите научни постижения.</w:t>
            </w:r>
            <w:r w:rsidRPr="006D6D46">
              <w:rPr>
                <w:rStyle w:val="None"/>
                <w:sz w:val="20"/>
                <w:szCs w:val="20"/>
              </w:rPr>
              <w:t xml:space="preserve"> </w:t>
            </w:r>
          </w:p>
          <w:p w14:paraId="1868EA9D" w14:textId="77777777" w:rsidR="008B1EFF" w:rsidRPr="006D6D46" w:rsidRDefault="0042190C" w:rsidP="00757026">
            <w:pPr>
              <w:pStyle w:val="a7"/>
              <w:spacing w:line="264" w:lineRule="auto"/>
              <w:ind w:left="0"/>
              <w:jc w:val="both"/>
              <w:textAlignment w:val="auto"/>
              <w:rPr>
                <w:sz w:val="20"/>
                <w:szCs w:val="20"/>
              </w:rPr>
            </w:pPr>
            <w:r w:rsidRPr="006D6D46">
              <w:rPr>
                <w:sz w:val="20"/>
                <w:szCs w:val="20"/>
              </w:rPr>
              <w:lastRenderedPageBreak/>
              <w:t xml:space="preserve">Осигуряване на адекватно финансиране на мерките по адаптация, с приоритет към природосъобразните решения </w:t>
            </w:r>
          </w:p>
        </w:tc>
      </w:tr>
      <w:tr w:rsidR="008B1EFF" w:rsidRPr="006D6D46" w14:paraId="40D6693C" w14:textId="77777777">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FE9FA7" w14:textId="77777777" w:rsidR="008B1EFF" w:rsidRPr="006D6D46" w:rsidRDefault="0042190C" w:rsidP="00757026">
            <w:pPr>
              <w:pStyle w:val="a7"/>
              <w:widowControl w:val="0"/>
              <w:tabs>
                <w:tab w:val="left" w:pos="1619"/>
              </w:tabs>
              <w:overflowPunct w:val="0"/>
              <w:spacing w:after="40" w:line="264" w:lineRule="auto"/>
              <w:ind w:left="0" w:right="4"/>
              <w:jc w:val="both"/>
              <w:textAlignment w:val="auto"/>
              <w:rPr>
                <w:sz w:val="20"/>
                <w:szCs w:val="20"/>
              </w:rPr>
            </w:pPr>
            <w:r w:rsidRPr="006D6D46">
              <w:rPr>
                <w:sz w:val="20"/>
                <w:szCs w:val="20"/>
              </w:rPr>
              <w:lastRenderedPageBreak/>
              <w:t xml:space="preserve">Секторните политики и законодателство не отразяват предизвикателствата от изменението на климата </w:t>
            </w:r>
          </w:p>
          <w:p w14:paraId="1F3F890F" w14:textId="77777777" w:rsidR="008B1EFF" w:rsidRPr="006D6D46" w:rsidRDefault="0042190C" w:rsidP="00757026">
            <w:pPr>
              <w:pStyle w:val="a7"/>
              <w:widowControl w:val="0"/>
              <w:tabs>
                <w:tab w:val="left" w:pos="1619"/>
              </w:tabs>
              <w:overflowPunct w:val="0"/>
              <w:spacing w:after="40" w:line="264" w:lineRule="auto"/>
              <w:ind w:left="0" w:right="4"/>
              <w:jc w:val="both"/>
              <w:textAlignment w:val="auto"/>
              <w:rPr>
                <w:sz w:val="20"/>
                <w:szCs w:val="20"/>
              </w:rPr>
            </w:pPr>
            <w:r w:rsidRPr="006D6D46">
              <w:rPr>
                <w:rStyle w:val="a1"/>
                <w:iCs/>
                <w:spacing w:val="-1"/>
                <w:sz w:val="20"/>
                <w:szCs w:val="20"/>
              </w:rPr>
              <w:t xml:space="preserve">Проблеми в координацията между институциите, свързани с </w:t>
            </w:r>
            <w:r w:rsidRPr="006D6D46">
              <w:rPr>
                <w:rStyle w:val="a1"/>
                <w:sz w:val="20"/>
                <w:szCs w:val="20"/>
              </w:rPr>
              <w:t>АИК</w:t>
            </w:r>
            <w:r w:rsidRPr="006D6D46">
              <w:rPr>
                <w:rStyle w:val="a1"/>
                <w:iCs/>
                <w:spacing w:val="-1"/>
                <w:sz w:val="20"/>
                <w:szCs w:val="20"/>
              </w:rPr>
              <w:t xml:space="preserve"> (министерства, държавни агенции и т.н.).</w:t>
            </w:r>
          </w:p>
          <w:p w14:paraId="6379D18C" w14:textId="77777777" w:rsidR="008B1EFF" w:rsidRPr="006D6D46" w:rsidRDefault="0042190C" w:rsidP="00757026">
            <w:pPr>
              <w:pStyle w:val="a0"/>
              <w:spacing w:line="264" w:lineRule="auto"/>
              <w:jc w:val="both"/>
              <w:textAlignment w:val="auto"/>
              <w:rPr>
                <w:sz w:val="20"/>
                <w:szCs w:val="20"/>
              </w:rPr>
            </w:pPr>
            <w:r w:rsidRPr="006D6D46">
              <w:rPr>
                <w:sz w:val="20"/>
                <w:szCs w:val="20"/>
              </w:rPr>
              <w:t>Ограничени финансови и човешки ресурси. Липсата на финансови ресурси за дейностите за АИК</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8E48A" w14:textId="77777777" w:rsidR="008B1EFF" w:rsidRPr="006D6D46" w:rsidRDefault="0042190C" w:rsidP="00757026">
            <w:pPr>
              <w:pStyle w:val="a7"/>
              <w:spacing w:line="264" w:lineRule="auto"/>
              <w:ind w:left="0"/>
              <w:jc w:val="both"/>
              <w:textAlignment w:val="auto"/>
              <w:rPr>
                <w:sz w:val="20"/>
                <w:szCs w:val="20"/>
              </w:rPr>
            </w:pPr>
            <w:r w:rsidRPr="006D6D46">
              <w:rPr>
                <w:sz w:val="20"/>
                <w:szCs w:val="20"/>
              </w:rPr>
              <w:t xml:space="preserve">Актуализиране на стандарти, нормативи, планове, политики или програми с цел интегриране рискове, свързани с изменението на климата, както и включване на реакциите за АИК </w:t>
            </w:r>
          </w:p>
          <w:p w14:paraId="7A14658F" w14:textId="0DE932E6" w:rsidR="008B1EFF" w:rsidRPr="006D6D46" w:rsidRDefault="0042190C" w:rsidP="00757026">
            <w:pPr>
              <w:pStyle w:val="a7"/>
              <w:spacing w:line="264" w:lineRule="auto"/>
              <w:ind w:left="0"/>
              <w:jc w:val="both"/>
              <w:textAlignment w:val="auto"/>
              <w:rPr>
                <w:sz w:val="20"/>
                <w:szCs w:val="20"/>
              </w:rPr>
            </w:pPr>
            <w:r w:rsidRPr="006D6D46">
              <w:rPr>
                <w:sz w:val="20"/>
                <w:szCs w:val="20"/>
              </w:rPr>
              <w:t>Интегриране на съображенията  по климата в секторните законодателство и политики;</w:t>
            </w:r>
          </w:p>
          <w:p w14:paraId="7B892092" w14:textId="77777777" w:rsidR="008B1EFF" w:rsidRPr="006D6D46" w:rsidRDefault="0042190C" w:rsidP="00757026">
            <w:pPr>
              <w:pStyle w:val="a7"/>
              <w:spacing w:line="264" w:lineRule="auto"/>
              <w:ind w:left="0"/>
              <w:jc w:val="both"/>
              <w:textAlignment w:val="auto"/>
              <w:rPr>
                <w:sz w:val="20"/>
                <w:szCs w:val="20"/>
              </w:rPr>
            </w:pPr>
            <w:r w:rsidRPr="006D6D46">
              <w:rPr>
                <w:sz w:val="20"/>
                <w:szCs w:val="20"/>
              </w:rPr>
              <w:t xml:space="preserve">Подобряване на съгласуваността на политиките и координацията на инициативите на АИК в различните сектори. </w:t>
            </w:r>
          </w:p>
          <w:p w14:paraId="56B38A88" w14:textId="77777777" w:rsidR="008B1EFF" w:rsidRPr="006D6D46" w:rsidRDefault="0042190C" w:rsidP="00757026">
            <w:pPr>
              <w:pStyle w:val="a0"/>
              <w:spacing w:line="264" w:lineRule="auto"/>
              <w:jc w:val="both"/>
              <w:textAlignment w:val="auto"/>
              <w:rPr>
                <w:sz w:val="20"/>
                <w:szCs w:val="20"/>
              </w:rPr>
            </w:pPr>
            <w:r w:rsidRPr="006D6D46">
              <w:rPr>
                <w:rStyle w:val="a1"/>
                <w:sz w:val="20"/>
                <w:szCs w:val="20"/>
              </w:rPr>
              <w:t>Ясно разграничение на отговорностите и мандатите на различните субекти</w:t>
            </w:r>
          </w:p>
        </w:tc>
      </w:tr>
      <w:tr w:rsidR="008B1EFF" w:rsidRPr="006D6D46" w14:paraId="22C4430B" w14:textId="77777777">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FF6DD" w14:textId="77777777" w:rsidR="008B1EFF" w:rsidRPr="006D6D46" w:rsidRDefault="0042190C" w:rsidP="00757026">
            <w:pPr>
              <w:pStyle w:val="a0"/>
              <w:spacing w:line="264" w:lineRule="auto"/>
              <w:jc w:val="both"/>
              <w:textAlignment w:val="auto"/>
              <w:rPr>
                <w:sz w:val="20"/>
                <w:szCs w:val="20"/>
              </w:rPr>
            </w:pPr>
            <w:r w:rsidRPr="006D6D46">
              <w:rPr>
                <w:rStyle w:val="None"/>
                <w:sz w:val="20"/>
                <w:szCs w:val="20"/>
              </w:rPr>
              <w:t xml:space="preserve">Последиците от изменението на климата не са неутрални. </w:t>
            </w:r>
            <w:r w:rsidRPr="006D6D46">
              <w:rPr>
                <w:rStyle w:val="None"/>
                <w:bCs/>
                <w:sz w:val="20"/>
                <w:szCs w:val="20"/>
              </w:rPr>
              <w:t xml:space="preserve"> Постигането на справедлива устойчивост е от решаващо значение, за да може ползите от адаптирането към изменението на климата да бъдат широко и справедливо споделени</w:t>
            </w:r>
            <w:r w:rsidRPr="006D6D46">
              <w:rPr>
                <w:rStyle w:val="None"/>
                <w:sz w:val="20"/>
                <w:szCs w:val="20"/>
              </w:rPr>
              <w:t>. Неравномерната</w:t>
            </w:r>
            <w:r w:rsidRPr="006D6D46">
              <w:rPr>
                <w:rStyle w:val="a1"/>
                <w:sz w:val="20"/>
                <w:szCs w:val="20"/>
              </w:rPr>
              <w:t xml:space="preserve"> експозиция и уязвимостта спрямо последиците от изменението на климата на различни региони и социално-икономически групи влошава съществуващите неравенства </w:t>
            </w:r>
            <w:r w:rsidRPr="006D6D46">
              <w:rPr>
                <w:rStyle w:val="None"/>
                <w:sz w:val="20"/>
                <w:szCs w:val="20"/>
              </w:rPr>
              <w:t>и уязвимост</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E74D8" w14:textId="4D7C13D1" w:rsidR="008B1EFF" w:rsidRPr="006D6D46" w:rsidRDefault="0042190C" w:rsidP="00757026">
            <w:pPr>
              <w:pStyle w:val="a"/>
              <w:numPr>
                <w:ilvl w:val="0"/>
                <w:numId w:val="0"/>
              </w:numPr>
              <w:spacing w:after="0" w:line="264" w:lineRule="auto"/>
              <w:textAlignment w:val="auto"/>
              <w:rPr>
                <w:sz w:val="20"/>
                <w:szCs w:val="20"/>
                <w:lang w:val="bg-BG"/>
              </w:rPr>
            </w:pPr>
            <w:r w:rsidRPr="006D6D46">
              <w:rPr>
                <w:rStyle w:val="None"/>
                <w:sz w:val="20"/>
                <w:szCs w:val="20"/>
                <w:lang w:val="bg-BG"/>
              </w:rPr>
              <w:t>Насърчаване на дългосрочните стратегии и</w:t>
            </w:r>
            <w:r w:rsidR="006C5FD5" w:rsidRPr="006D6D46">
              <w:rPr>
                <w:rStyle w:val="None"/>
                <w:sz w:val="20"/>
                <w:szCs w:val="20"/>
                <w:lang w:val="bg-BG"/>
              </w:rPr>
              <w:t xml:space="preserve"> </w:t>
            </w:r>
            <w:r w:rsidRPr="006D6D46">
              <w:rPr>
                <w:rStyle w:val="None"/>
                <w:sz w:val="20"/>
                <w:szCs w:val="20"/>
                <w:lang w:val="bg-BG"/>
              </w:rPr>
              <w:t>политиките за икономическа диверсификация, които дават възможност на работниците да се преквалифицират и да преминават към сектори със „зелен“ растеж,</w:t>
            </w:r>
          </w:p>
          <w:p w14:paraId="71D56658" w14:textId="77777777" w:rsidR="008B1EFF" w:rsidRPr="006D6D46" w:rsidRDefault="0042190C" w:rsidP="00757026">
            <w:pPr>
              <w:pStyle w:val="a0"/>
              <w:spacing w:line="264" w:lineRule="auto"/>
              <w:jc w:val="both"/>
              <w:textAlignment w:val="auto"/>
              <w:rPr>
                <w:sz w:val="20"/>
                <w:szCs w:val="20"/>
              </w:rPr>
            </w:pPr>
            <w:r w:rsidRPr="006D6D46">
              <w:rPr>
                <w:rStyle w:val="None"/>
                <w:sz w:val="20"/>
                <w:szCs w:val="20"/>
              </w:rPr>
              <w:t xml:space="preserve"> Ефективно използване на възможностите на  Европейската програма за умения, „Гаранция за младежта“, Европейския социален фонд плюс (ЕСФ+) и Механизма за възстановяване и устойчивост и др.</w:t>
            </w:r>
          </w:p>
        </w:tc>
      </w:tr>
      <w:tr w:rsidR="008B1EFF" w:rsidRPr="006D6D46" w14:paraId="3D1A8EFE" w14:textId="77777777">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4CC740" w14:textId="77777777" w:rsidR="008B1EFF" w:rsidRPr="006D6D46" w:rsidRDefault="0042190C" w:rsidP="00757026">
            <w:pPr>
              <w:pStyle w:val="a0"/>
              <w:spacing w:line="264" w:lineRule="auto"/>
              <w:jc w:val="both"/>
              <w:textAlignment w:val="auto"/>
              <w:rPr>
                <w:sz w:val="20"/>
                <w:szCs w:val="20"/>
              </w:rPr>
            </w:pPr>
            <w:r w:rsidRPr="006D6D46">
              <w:rPr>
                <w:rStyle w:val="a1"/>
                <w:b/>
                <w:sz w:val="20"/>
                <w:szCs w:val="20"/>
              </w:rPr>
              <w:t xml:space="preserve">Пропуски в знанията и данните - </w:t>
            </w:r>
            <w:r w:rsidRPr="006D6D46">
              <w:rPr>
                <w:rStyle w:val="a1"/>
                <w:sz w:val="20"/>
                <w:szCs w:val="20"/>
              </w:rPr>
              <w:t>несигурността и пропуските в информацията и научните изследвания, които затрудняват процеса на адаптиране.</w:t>
            </w:r>
          </w:p>
          <w:p w14:paraId="4284BC50" w14:textId="77777777" w:rsidR="008B1EFF" w:rsidRPr="006D6D46" w:rsidRDefault="0042190C" w:rsidP="00757026">
            <w:pPr>
              <w:pStyle w:val="a0"/>
              <w:spacing w:line="264" w:lineRule="auto"/>
              <w:jc w:val="both"/>
              <w:textAlignment w:val="auto"/>
              <w:rPr>
                <w:bCs/>
                <w:sz w:val="20"/>
                <w:szCs w:val="20"/>
              </w:rPr>
            </w:pPr>
            <w:r w:rsidRPr="006D6D46">
              <w:rPr>
                <w:bCs/>
                <w:sz w:val="20"/>
                <w:szCs w:val="20"/>
              </w:rPr>
              <w:t>Продължава да съществуват големи пропуски в  знанията относно адаптирането;</w:t>
            </w:r>
          </w:p>
          <w:p w14:paraId="79392FA3" w14:textId="77777777" w:rsidR="008B1EFF" w:rsidRPr="006D6D46" w:rsidRDefault="0042190C" w:rsidP="00757026">
            <w:pPr>
              <w:pStyle w:val="a0"/>
              <w:spacing w:line="264" w:lineRule="auto"/>
              <w:jc w:val="both"/>
              <w:textAlignment w:val="auto"/>
              <w:rPr>
                <w:bCs/>
                <w:sz w:val="20"/>
                <w:szCs w:val="20"/>
              </w:rPr>
            </w:pPr>
            <w:r w:rsidRPr="006D6D46">
              <w:rPr>
                <w:bCs/>
                <w:sz w:val="20"/>
                <w:szCs w:val="20"/>
              </w:rPr>
              <w:t>Цифровата трансформация е от решаващо значение за постигането на целите на Зеления пакт в областта на адаптирането</w:t>
            </w:r>
          </w:p>
          <w:p w14:paraId="21E5739B" w14:textId="77777777" w:rsidR="008B1EFF" w:rsidRPr="006D6D46" w:rsidRDefault="0042190C" w:rsidP="00757026">
            <w:pPr>
              <w:pStyle w:val="a0"/>
              <w:spacing w:line="264" w:lineRule="auto"/>
              <w:jc w:val="both"/>
              <w:textAlignment w:val="auto"/>
              <w:rPr>
                <w:sz w:val="20"/>
                <w:szCs w:val="20"/>
              </w:rPr>
            </w:pPr>
            <w:r w:rsidRPr="006D6D46">
              <w:rPr>
                <w:rStyle w:val="None"/>
                <w:bCs/>
                <w:sz w:val="20"/>
                <w:szCs w:val="20"/>
              </w:rPr>
              <w:t>Липсата на достъп до приложими решения е една от основните пречки пред адаптирането</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90D0A8" w14:textId="77777777" w:rsidR="008B1EFF" w:rsidRPr="006D6D46" w:rsidRDefault="0042190C" w:rsidP="00F20B84">
            <w:pPr>
              <w:pStyle w:val="a0"/>
              <w:spacing w:line="264" w:lineRule="auto"/>
              <w:jc w:val="both"/>
              <w:textAlignment w:val="auto"/>
              <w:rPr>
                <w:sz w:val="20"/>
                <w:szCs w:val="20"/>
              </w:rPr>
            </w:pPr>
            <w:r w:rsidRPr="006D6D46">
              <w:rPr>
                <w:sz w:val="20"/>
                <w:szCs w:val="20"/>
              </w:rPr>
              <w:t xml:space="preserve">Мерки насочени към систематизиране на разнообразието от данни за климата, както и наличната информация да бъде трансформирана в специализирани инструменти и лесни за употреба продукти </w:t>
            </w:r>
          </w:p>
          <w:p w14:paraId="20A1A496" w14:textId="77777777" w:rsidR="008B1EFF" w:rsidRPr="006D6D46" w:rsidRDefault="0042190C" w:rsidP="00F20B84">
            <w:pPr>
              <w:pStyle w:val="a0"/>
              <w:spacing w:line="264" w:lineRule="auto"/>
              <w:jc w:val="both"/>
              <w:textAlignment w:val="auto"/>
              <w:rPr>
                <w:sz w:val="20"/>
                <w:szCs w:val="20"/>
              </w:rPr>
            </w:pPr>
            <w:r w:rsidRPr="006D6D46">
              <w:rPr>
                <w:sz w:val="20"/>
                <w:szCs w:val="20"/>
              </w:rPr>
              <w:t xml:space="preserve">Разширяване на знанията относно адаптирането и придобиване на повече и по-добри данни, свързани с климата, включително относно икономическите загуби. </w:t>
            </w:r>
          </w:p>
          <w:p w14:paraId="7433C32A" w14:textId="77777777" w:rsidR="008B1EFF" w:rsidRPr="006D6D46" w:rsidRDefault="0042190C" w:rsidP="00F20B84">
            <w:pPr>
              <w:pStyle w:val="a0"/>
              <w:spacing w:line="264" w:lineRule="auto"/>
              <w:jc w:val="both"/>
              <w:textAlignment w:val="auto"/>
              <w:rPr>
                <w:sz w:val="20"/>
                <w:szCs w:val="20"/>
              </w:rPr>
            </w:pPr>
            <w:r w:rsidRPr="006D6D46">
              <w:rPr>
                <w:rStyle w:val="a1"/>
                <w:sz w:val="20"/>
                <w:szCs w:val="20"/>
              </w:rPr>
              <w:t>Насърчаване използването на най-новите цифрови технологии и услуги в областта на климата, в подкрепа вземането на решения, като дистанционно наблюдение, интелигентни метеорологични станции, изкуствен интелект и високопроизводителни изчисления и др.</w:t>
            </w:r>
            <w:r w:rsidRPr="006D6D46">
              <w:rPr>
                <w:rStyle w:val="None"/>
                <w:bCs/>
                <w:sz w:val="20"/>
                <w:szCs w:val="20"/>
              </w:rPr>
              <w:t xml:space="preserve"> </w:t>
            </w:r>
          </w:p>
          <w:p w14:paraId="00D316B3" w14:textId="77777777" w:rsidR="008B1EFF" w:rsidRPr="006D6D46" w:rsidRDefault="0042190C" w:rsidP="00F20B84">
            <w:pPr>
              <w:pStyle w:val="a0"/>
              <w:spacing w:line="264" w:lineRule="auto"/>
              <w:jc w:val="both"/>
              <w:textAlignment w:val="auto"/>
              <w:rPr>
                <w:sz w:val="20"/>
                <w:szCs w:val="20"/>
              </w:rPr>
            </w:pPr>
            <w:r w:rsidRPr="006D6D46">
              <w:rPr>
                <w:rStyle w:val="None"/>
                <w:bCs/>
                <w:sz w:val="20"/>
                <w:szCs w:val="20"/>
              </w:rPr>
              <w:t>Все по-широко прилагане и инвестиране в надграждане на платформи за знания в областта на климата</w:t>
            </w:r>
          </w:p>
        </w:tc>
      </w:tr>
      <w:tr w:rsidR="008B1EFF" w:rsidRPr="006D6D46" w14:paraId="473168E8" w14:textId="77777777">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C886E" w14:textId="77777777" w:rsidR="008B1EFF" w:rsidRPr="006D6D46" w:rsidRDefault="0042190C" w:rsidP="00757026">
            <w:pPr>
              <w:pStyle w:val="a7"/>
              <w:spacing w:line="264" w:lineRule="auto"/>
              <w:ind w:left="0"/>
              <w:jc w:val="both"/>
              <w:textAlignment w:val="auto"/>
              <w:rPr>
                <w:sz w:val="20"/>
                <w:szCs w:val="20"/>
              </w:rPr>
            </w:pPr>
            <w:r w:rsidRPr="006D6D46">
              <w:rPr>
                <w:sz w:val="20"/>
                <w:szCs w:val="20"/>
              </w:rPr>
              <w:t xml:space="preserve">Недостатъчна осведоменост на обществото, както и разбиране за специфичните въздействия на климатичните промени и потребностите от АИК </w:t>
            </w:r>
          </w:p>
          <w:p w14:paraId="133AC752" w14:textId="4F15FB4E" w:rsidR="008B1EFF" w:rsidRPr="006D6D46" w:rsidRDefault="0042190C" w:rsidP="00757026">
            <w:pPr>
              <w:pStyle w:val="a7"/>
              <w:spacing w:line="264" w:lineRule="auto"/>
              <w:ind w:left="0"/>
              <w:jc w:val="both"/>
              <w:textAlignment w:val="auto"/>
              <w:rPr>
                <w:sz w:val="20"/>
                <w:szCs w:val="20"/>
              </w:rPr>
            </w:pPr>
            <w:r w:rsidRPr="006D6D46">
              <w:rPr>
                <w:sz w:val="20"/>
                <w:szCs w:val="20"/>
              </w:rPr>
              <w:t xml:space="preserve">Недостатъчно професионално обучение, включително специализирано професионално </w:t>
            </w:r>
            <w:r w:rsidRPr="006D6D46">
              <w:rPr>
                <w:sz w:val="20"/>
                <w:szCs w:val="20"/>
              </w:rPr>
              <w:lastRenderedPageBreak/>
              <w:t>обучение, както и специализирани университетски програми.</w:t>
            </w:r>
          </w:p>
          <w:p w14:paraId="50FD42B8" w14:textId="53B50A65" w:rsidR="008B1EFF" w:rsidRPr="006D6D46" w:rsidRDefault="0042190C" w:rsidP="00757026">
            <w:pPr>
              <w:pStyle w:val="a7"/>
              <w:spacing w:line="264" w:lineRule="auto"/>
              <w:ind w:left="0"/>
              <w:jc w:val="both"/>
              <w:textAlignment w:val="auto"/>
              <w:rPr>
                <w:iCs/>
                <w:sz w:val="20"/>
                <w:szCs w:val="20"/>
              </w:rPr>
            </w:pPr>
            <w:r w:rsidRPr="006D6D46">
              <w:rPr>
                <w:iCs/>
                <w:sz w:val="20"/>
                <w:szCs w:val="20"/>
              </w:rPr>
              <w:t>Пропуски в нивото на осведоменост сред лица, отговорни за вземането на решения</w:t>
            </w:r>
            <w:r w:rsidR="00CD264F" w:rsidRPr="006D6D46">
              <w:rPr>
                <w:iCs/>
                <w:sz w:val="20"/>
                <w:szCs w:val="20"/>
              </w:rPr>
              <w:t>.</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573F3" w14:textId="77777777" w:rsidR="008B1EFF" w:rsidRPr="006D6D46" w:rsidRDefault="0042190C" w:rsidP="00F20B84">
            <w:pPr>
              <w:pStyle w:val="a0"/>
              <w:spacing w:line="264" w:lineRule="auto"/>
              <w:jc w:val="both"/>
              <w:textAlignment w:val="auto"/>
              <w:rPr>
                <w:sz w:val="20"/>
                <w:szCs w:val="20"/>
              </w:rPr>
            </w:pPr>
            <w:r w:rsidRPr="006D6D46">
              <w:rPr>
                <w:sz w:val="20"/>
                <w:szCs w:val="20"/>
              </w:rPr>
              <w:lastRenderedPageBreak/>
              <w:t xml:space="preserve">Повишаване на осведомеността и комуникация - ранно повишаване на осведомеността в училищата, публичен достъп и разпространение на информация. </w:t>
            </w:r>
          </w:p>
          <w:p w14:paraId="496DE25B" w14:textId="635C9C95" w:rsidR="008B1EFF" w:rsidRPr="006D6D46" w:rsidRDefault="0042190C" w:rsidP="00F20B84">
            <w:pPr>
              <w:pStyle w:val="a7"/>
              <w:spacing w:after="40" w:line="264" w:lineRule="auto"/>
              <w:ind w:left="0"/>
              <w:jc w:val="both"/>
              <w:textAlignment w:val="auto"/>
              <w:rPr>
                <w:sz w:val="20"/>
                <w:szCs w:val="20"/>
              </w:rPr>
            </w:pPr>
            <w:r w:rsidRPr="006D6D46">
              <w:rPr>
                <w:sz w:val="20"/>
                <w:szCs w:val="20"/>
              </w:rPr>
              <w:t xml:space="preserve">Повишаване на </w:t>
            </w:r>
            <w:r w:rsidR="00CD264F" w:rsidRPr="006D6D46">
              <w:rPr>
                <w:sz w:val="20"/>
                <w:szCs w:val="20"/>
              </w:rPr>
              <w:t>и</w:t>
            </w:r>
            <w:r w:rsidRPr="006D6D46">
              <w:rPr>
                <w:sz w:val="20"/>
                <w:szCs w:val="20"/>
              </w:rPr>
              <w:t xml:space="preserve">нституционалния капацитет- </w:t>
            </w:r>
          </w:p>
          <w:p w14:paraId="179195ED" w14:textId="77777777" w:rsidR="008B1EFF" w:rsidRPr="006D6D46" w:rsidRDefault="0042190C" w:rsidP="00F20B84">
            <w:pPr>
              <w:pStyle w:val="a0"/>
              <w:spacing w:line="264" w:lineRule="auto"/>
              <w:jc w:val="both"/>
              <w:textAlignment w:val="auto"/>
              <w:rPr>
                <w:sz w:val="20"/>
                <w:szCs w:val="20"/>
              </w:rPr>
            </w:pPr>
            <w:r w:rsidRPr="006D6D46">
              <w:rPr>
                <w:rStyle w:val="a1"/>
                <w:iCs/>
                <w:sz w:val="20"/>
                <w:szCs w:val="20"/>
              </w:rPr>
              <w:lastRenderedPageBreak/>
              <w:t>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r w:rsidRPr="006D6D46">
              <w:rPr>
                <w:rStyle w:val="None"/>
                <w:bCs/>
                <w:sz w:val="20"/>
                <w:szCs w:val="20"/>
              </w:rPr>
              <w:t xml:space="preserve"> </w:t>
            </w:r>
          </w:p>
        </w:tc>
      </w:tr>
    </w:tbl>
    <w:p w14:paraId="4D9274E1" w14:textId="77777777" w:rsidR="008B1EFF" w:rsidRPr="006D6D46" w:rsidRDefault="008B1EFF">
      <w:pPr>
        <w:pStyle w:val="a0"/>
        <w:rPr>
          <w:sz w:val="20"/>
          <w:szCs w:val="20"/>
        </w:rPr>
      </w:pPr>
    </w:p>
    <w:sectPr w:rsidR="008B1EFF" w:rsidRPr="006D6D46" w:rsidSect="00607F56">
      <w:headerReference w:type="default" r:id="rId30"/>
      <w:footerReference w:type="default" r:id="rId31"/>
      <w:pgSz w:w="12240" w:h="15840"/>
      <w:pgMar w:top="1440" w:right="1440" w:bottom="1440" w:left="1440" w:header="426" w:footer="45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235BEA" w14:textId="77777777" w:rsidR="00DC16E7" w:rsidRDefault="00DC16E7">
      <w:pPr>
        <w:spacing w:after="0" w:line="240" w:lineRule="auto"/>
      </w:pPr>
      <w:r>
        <w:separator/>
      </w:r>
    </w:p>
  </w:endnote>
  <w:endnote w:type="continuationSeparator" w:id="0">
    <w:p w14:paraId="2A62AC99" w14:textId="77777777" w:rsidR="00DC16E7" w:rsidRDefault="00DC16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Optima">
    <w:charset w:val="00"/>
    <w:family w:val="swiss"/>
    <w:pitch w:val="variable"/>
  </w:font>
  <w:font w:name="EC Square Sans Pro">
    <w:altName w:val="Calibri"/>
    <w:charset w:val="00"/>
    <w:family w:val="swiss"/>
    <w:pitch w:val="default"/>
  </w:font>
  <w:font w:name="Open Sans">
    <w:charset w:val="CC"/>
    <w:family w:val="swiss"/>
    <w:pitch w:val="variable"/>
    <w:sig w:usb0="E00002EF" w:usb1="4000205B" w:usb2="00000028" w:usb3="00000000" w:csb0="0000019F" w:csb1="00000000"/>
  </w:font>
  <w:font w:name="Trebuchet MS">
    <w:panose1 w:val="020B0603020202020204"/>
    <w:charset w:val="00"/>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tantia">
    <w:panose1 w:val="02030602050306030303"/>
    <w:charset w:val="00"/>
    <w:family w:val="roman"/>
    <w:pitch w:val="variable"/>
    <w:sig w:usb0="A00002EF" w:usb1="4000204B" w:usb2="00000000" w:usb3="00000000" w:csb0="0000019F" w:csb1="00000000"/>
  </w:font>
  <w:font w:name="Arial MT">
    <w:altName w:val="Arial"/>
    <w:charset w:val="00"/>
    <w:family w:val="swiss"/>
    <w:pitch w:val="variable"/>
  </w:font>
  <w:font w:name="DejaVu Sans">
    <w:altName w:val="Arial"/>
    <w:charset w:val="00"/>
    <w:family w:val="swiss"/>
    <w:pitch w:val="variable"/>
  </w:font>
  <w:font w:name="ヒラギノ角ゴ Pro W3">
    <w:altName w:val="Yu Gothic"/>
    <w:charset w:val="00"/>
    <w:family w:val="roman"/>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9730758"/>
      <w:docPartObj>
        <w:docPartGallery w:val="Page Numbers (Bottom of Page)"/>
        <w:docPartUnique/>
      </w:docPartObj>
    </w:sdtPr>
    <w:sdtEndPr/>
    <w:sdtContent>
      <w:p w14:paraId="40949F35" w14:textId="77777777" w:rsidR="00607F56" w:rsidRDefault="00607F56" w:rsidP="00607F56">
        <w:pPr>
          <w:pStyle w:val="Footer"/>
          <w:jc w:val="right"/>
          <w:rPr>
            <w:rFonts w:ascii="Times New Roman" w:hAnsi="Times New Roman"/>
            <w:color w:val="000000" w:themeColor="text1"/>
          </w:rPr>
        </w:pPr>
        <w:r>
          <w:rPr>
            <w:rFonts w:ascii="Times New Roman" w:hAnsi="Times New Roman"/>
            <w:color w:val="000000" w:themeColor="text1"/>
          </w:rPr>
          <w:fldChar w:fldCharType="begin"/>
        </w:r>
        <w:r>
          <w:rPr>
            <w:rFonts w:ascii="Times New Roman" w:hAnsi="Times New Roman"/>
            <w:color w:val="000000" w:themeColor="text1"/>
          </w:rPr>
          <w:instrText xml:space="preserve"> PAGE   \* MERGEFORMAT </w:instrText>
        </w:r>
        <w:r>
          <w:rPr>
            <w:rFonts w:ascii="Times New Roman" w:hAnsi="Times New Roman"/>
            <w:color w:val="000000" w:themeColor="text1"/>
          </w:rPr>
          <w:fldChar w:fldCharType="separate"/>
        </w:r>
        <w:r w:rsidR="00A468E5">
          <w:rPr>
            <w:rFonts w:ascii="Times New Roman" w:hAnsi="Times New Roman"/>
            <w:noProof/>
            <w:color w:val="000000" w:themeColor="text1"/>
          </w:rPr>
          <w:t>1</w:t>
        </w:r>
        <w:r>
          <w:rPr>
            <w:rFonts w:ascii="Times New Roman" w:hAnsi="Times New Roman"/>
            <w:noProof/>
            <w:color w:val="000000" w:themeColor="text1"/>
          </w:rPr>
          <w:fldChar w:fldCharType="end"/>
        </w:r>
      </w:p>
    </w:sdtContent>
  </w:sdt>
  <w:p w14:paraId="4461DEA2" w14:textId="6B210772" w:rsidR="00607F56" w:rsidRPr="00D5703A" w:rsidRDefault="00D5703A" w:rsidP="00D5703A">
    <w:pPr>
      <w:spacing w:line="240" w:lineRule="auto"/>
      <w:jc w:val="center"/>
      <w:rPr>
        <w:rFonts w:ascii="Times New Roman" w:hAnsi="Times New Roman"/>
        <w:sz w:val="16"/>
        <w:szCs w:val="16"/>
      </w:rPr>
    </w:pPr>
    <w:proofErr w:type="spellStart"/>
    <w:r w:rsidRPr="00D5703A">
      <w:rPr>
        <w:rFonts w:ascii="Times New Roman" w:hAnsi="Times New Roman"/>
        <w:i/>
        <w:iCs/>
        <w:sz w:val="16"/>
        <w:szCs w:val="16"/>
      </w:rPr>
      <w:t>Документът</w:t>
    </w:r>
    <w:proofErr w:type="spellEnd"/>
    <w:r w:rsidRPr="00D5703A">
      <w:rPr>
        <w:rFonts w:ascii="Times New Roman" w:hAnsi="Times New Roman"/>
        <w:i/>
        <w:iCs/>
        <w:sz w:val="16"/>
        <w:szCs w:val="16"/>
      </w:rPr>
      <w:t xml:space="preserve"> е </w:t>
    </w:r>
    <w:proofErr w:type="spellStart"/>
    <w:r w:rsidRPr="00D5703A">
      <w:rPr>
        <w:rFonts w:ascii="Times New Roman" w:hAnsi="Times New Roman"/>
        <w:i/>
        <w:iCs/>
        <w:sz w:val="16"/>
        <w:szCs w:val="16"/>
      </w:rPr>
      <w:t>изготвен</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по</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проект</w:t>
    </w:r>
    <w:proofErr w:type="spellEnd"/>
    <w:r w:rsidRPr="00D5703A">
      <w:rPr>
        <w:rFonts w:ascii="Times New Roman" w:hAnsi="Times New Roman"/>
        <w:i/>
        <w:iCs/>
        <w:sz w:val="16"/>
        <w:szCs w:val="16"/>
      </w:rPr>
      <w:t>  „</w:t>
    </w:r>
    <w:proofErr w:type="spellStart"/>
    <w:r w:rsidRPr="00D5703A">
      <w:rPr>
        <w:rFonts w:ascii="Times New Roman" w:hAnsi="Times New Roman"/>
        <w:i/>
        <w:iCs/>
        <w:sz w:val="16"/>
        <w:szCs w:val="16"/>
      </w:rPr>
      <w:t>Разработване</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на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Национална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стратегия</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за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околна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среда</w:t>
    </w:r>
    <w:proofErr w:type="spellEnd"/>
    <w:r w:rsidRPr="00D5703A">
      <w:rPr>
        <w:rFonts w:ascii="Times New Roman" w:hAnsi="Times New Roman"/>
        <w:i/>
        <w:iCs/>
        <w:sz w:val="16"/>
        <w:szCs w:val="16"/>
      </w:rPr>
      <w:t xml:space="preserve"> и </w:t>
    </w:r>
    <w:proofErr w:type="spellStart"/>
    <w:r w:rsidRPr="00D5703A">
      <w:rPr>
        <w:rFonts w:ascii="Times New Roman" w:hAnsi="Times New Roman"/>
        <w:i/>
        <w:iCs/>
        <w:sz w:val="16"/>
        <w:szCs w:val="16"/>
      </w:rPr>
      <w:t>План</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за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действие</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към</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нея</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който</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се</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осъществява</w:t>
    </w:r>
    <w:proofErr w:type="spellEnd"/>
    <w:r w:rsidRPr="00D5703A">
      <w:rPr>
        <w:rFonts w:ascii="Times New Roman" w:hAnsi="Times New Roman"/>
        <w:i/>
        <w:iCs/>
        <w:sz w:val="16"/>
        <w:szCs w:val="16"/>
      </w:rPr>
      <w:t xml:space="preserve"> с </w:t>
    </w:r>
    <w:proofErr w:type="spellStart"/>
    <w:r w:rsidRPr="00D5703A">
      <w:rPr>
        <w:rFonts w:ascii="Times New Roman" w:hAnsi="Times New Roman"/>
        <w:i/>
        <w:iCs/>
        <w:sz w:val="16"/>
        <w:szCs w:val="16"/>
      </w:rPr>
      <w:t>финансовата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подкрепа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на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Оперативна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програма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Добро</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управление</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съфинансирана</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от</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Европейския</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съюз</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чрез</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Европейския</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социален</w:t>
    </w:r>
    <w:proofErr w:type="spellEnd"/>
    <w:r w:rsidRPr="00D5703A">
      <w:rPr>
        <w:rFonts w:ascii="Times New Roman" w:hAnsi="Times New Roman"/>
        <w:i/>
        <w:iCs/>
        <w:sz w:val="16"/>
        <w:szCs w:val="16"/>
      </w:rPr>
      <w:t xml:space="preserve"> </w:t>
    </w:r>
    <w:proofErr w:type="spellStart"/>
    <w:r w:rsidRPr="00D5703A">
      <w:rPr>
        <w:rFonts w:ascii="Times New Roman" w:hAnsi="Times New Roman"/>
        <w:i/>
        <w:iCs/>
        <w:sz w:val="16"/>
        <w:szCs w:val="16"/>
      </w:rPr>
      <w:t>фонд</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2B1FFE" w14:textId="77777777" w:rsidR="00DC16E7" w:rsidRDefault="00DC16E7">
      <w:pPr>
        <w:spacing w:after="0" w:line="240" w:lineRule="auto"/>
      </w:pPr>
      <w:r>
        <w:rPr>
          <w:color w:val="000000"/>
        </w:rPr>
        <w:separator/>
      </w:r>
    </w:p>
  </w:footnote>
  <w:footnote w:type="continuationSeparator" w:id="0">
    <w:p w14:paraId="4112A04A" w14:textId="77777777" w:rsidR="00DC16E7" w:rsidRDefault="00DC16E7">
      <w:pPr>
        <w:spacing w:after="0" w:line="240" w:lineRule="auto"/>
      </w:pPr>
      <w:r>
        <w:continuationSeparator/>
      </w:r>
    </w:p>
  </w:footnote>
  <w:footnote w:id="1">
    <w:p w14:paraId="0182C601" w14:textId="77777777" w:rsidR="00607F56" w:rsidRDefault="00607F56">
      <w:pPr>
        <w:pStyle w:val="fn1"/>
      </w:pPr>
      <w:r>
        <w:rPr>
          <w:rStyle w:val="FootnoteReference"/>
        </w:rPr>
        <w:footnoteRef/>
      </w:r>
      <w:r>
        <w:rPr>
          <w:rStyle w:val="a1"/>
          <w:rFonts w:ascii="Times New Roman" w:hAnsi="Times New Roman"/>
          <w:color w:val="auto"/>
          <w:sz w:val="18"/>
          <w:szCs w:val="18"/>
        </w:rPr>
        <w:t xml:space="preserve"> Анализът е базиран на:</w:t>
      </w:r>
      <w:r>
        <w:rPr>
          <w:rStyle w:val="a1"/>
          <w:rFonts w:ascii="Times New Roman" w:hAnsi="Times New Roman"/>
          <w:color w:val="auto"/>
          <w:sz w:val="18"/>
          <w:szCs w:val="18"/>
          <w:lang w:val="ru-RU"/>
        </w:rPr>
        <w:t xml:space="preserve"> </w:t>
      </w:r>
      <w:r>
        <w:rPr>
          <w:rStyle w:val="a1"/>
          <w:rFonts w:ascii="Times New Roman" w:hAnsi="Times New Roman"/>
          <w:color w:val="auto"/>
          <w:sz w:val="18"/>
          <w:szCs w:val="18"/>
        </w:rPr>
        <w:t xml:space="preserve">Национален доклад за състоянието и опазването на околната среда в </w:t>
      </w:r>
      <w:proofErr w:type="spellStart"/>
      <w:r>
        <w:rPr>
          <w:rStyle w:val="a1"/>
          <w:rFonts w:ascii="Times New Roman" w:hAnsi="Times New Roman"/>
          <w:color w:val="auto"/>
          <w:sz w:val="18"/>
          <w:szCs w:val="18"/>
        </w:rPr>
        <w:t>РБългария</w:t>
      </w:r>
      <w:proofErr w:type="spellEnd"/>
      <w:r>
        <w:rPr>
          <w:rStyle w:val="a1"/>
          <w:rFonts w:ascii="Times New Roman" w:hAnsi="Times New Roman"/>
          <w:color w:val="auto"/>
          <w:sz w:val="18"/>
          <w:szCs w:val="18"/>
        </w:rPr>
        <w:t xml:space="preserve"> за 2018г. (приет от МС на 16.09.2020г., http://eea.government.bg/bg/soer/2018/soer-bg-2018.pdf</w:t>
      </w:r>
    </w:p>
    <w:p w14:paraId="10F2CB24" w14:textId="77777777" w:rsidR="00607F56" w:rsidRDefault="00607F56">
      <w:pPr>
        <w:pStyle w:val="fn1"/>
      </w:pPr>
      <w:r>
        <w:rPr>
          <w:rStyle w:val="a1"/>
          <w:rFonts w:ascii="Times New Roman" w:hAnsi="Times New Roman"/>
          <w:color w:val="auto"/>
          <w:sz w:val="18"/>
          <w:szCs w:val="18"/>
        </w:rPr>
        <w:t xml:space="preserve">Национален доклад от 2020г. по инвентаризацията на парниковите газове за България 1988-2018г., </w:t>
      </w:r>
      <w:hyperlink r:id="rId1" w:history="1">
        <w:r>
          <w:rPr>
            <w:rStyle w:val="af8"/>
            <w:rFonts w:ascii="Times New Roman" w:hAnsi="Times New Roman"/>
            <w:sz w:val="18"/>
            <w:szCs w:val="18"/>
          </w:rPr>
          <w:t>http://eea.government.bg/bg/dokladi/dokumenti/BG_NIR_2020.pdf</w:t>
        </w:r>
      </w:hyperlink>
      <w:r>
        <w:rPr>
          <w:rStyle w:val="a1"/>
          <w:rFonts w:ascii="Times New Roman" w:hAnsi="Times New Roman"/>
          <w:color w:val="auto"/>
          <w:sz w:val="18"/>
          <w:szCs w:val="18"/>
        </w:rPr>
        <w:t xml:space="preserve"> </w:t>
      </w:r>
    </w:p>
  </w:footnote>
  <w:footnote w:id="2">
    <w:p w14:paraId="4D67CF16" w14:textId="77777777" w:rsidR="00607F56" w:rsidRDefault="00607F56">
      <w:pPr>
        <w:pStyle w:val="aa"/>
      </w:pPr>
      <w:r>
        <w:rPr>
          <w:rStyle w:val="FootnoteReference"/>
        </w:rPr>
        <w:footnoteRef/>
      </w:r>
      <w:r>
        <w:rPr>
          <w:rStyle w:val="a1"/>
          <w:sz w:val="18"/>
          <w:szCs w:val="18"/>
        </w:rPr>
        <w:t xml:space="preserve"> </w:t>
      </w:r>
      <w:hyperlink r:id="rId2" w:history="1">
        <w:proofErr w:type="spellStart"/>
        <w:r>
          <w:rPr>
            <w:rStyle w:val="af8"/>
            <w:sz w:val="18"/>
            <w:szCs w:val="18"/>
          </w:rPr>
          <w:t>Climate</w:t>
        </w:r>
        <w:proofErr w:type="spellEnd"/>
        <w:r>
          <w:rPr>
            <w:rStyle w:val="af8"/>
            <w:sz w:val="18"/>
            <w:szCs w:val="18"/>
          </w:rPr>
          <w:t xml:space="preserve"> </w:t>
        </w:r>
        <w:proofErr w:type="spellStart"/>
        <w:r>
          <w:rPr>
            <w:rStyle w:val="af8"/>
            <w:sz w:val="18"/>
            <w:szCs w:val="18"/>
          </w:rPr>
          <w:t>change</w:t>
        </w:r>
        <w:proofErr w:type="spellEnd"/>
        <w:r>
          <w:rPr>
            <w:rStyle w:val="af8"/>
            <w:sz w:val="18"/>
            <w:szCs w:val="18"/>
          </w:rPr>
          <w:t xml:space="preserve">, </w:t>
        </w:r>
        <w:proofErr w:type="spellStart"/>
        <w:r>
          <w:rPr>
            <w:rStyle w:val="af8"/>
            <w:sz w:val="18"/>
            <w:szCs w:val="18"/>
          </w:rPr>
          <w:t>impacts</w:t>
        </w:r>
        <w:proofErr w:type="spellEnd"/>
        <w:r>
          <w:rPr>
            <w:rStyle w:val="af8"/>
            <w:sz w:val="18"/>
            <w:szCs w:val="18"/>
          </w:rPr>
          <w:t xml:space="preserve"> </w:t>
        </w:r>
        <w:proofErr w:type="spellStart"/>
        <w:r>
          <w:rPr>
            <w:rStyle w:val="af8"/>
            <w:sz w:val="18"/>
            <w:szCs w:val="18"/>
          </w:rPr>
          <w:t>and</w:t>
        </w:r>
        <w:proofErr w:type="spellEnd"/>
        <w:r>
          <w:rPr>
            <w:rStyle w:val="af8"/>
            <w:sz w:val="18"/>
            <w:szCs w:val="18"/>
          </w:rPr>
          <w:t xml:space="preserve"> </w:t>
        </w:r>
        <w:proofErr w:type="spellStart"/>
        <w:r>
          <w:rPr>
            <w:rStyle w:val="af8"/>
            <w:sz w:val="18"/>
            <w:szCs w:val="18"/>
          </w:rPr>
          <w:t>vulnerability</w:t>
        </w:r>
        <w:proofErr w:type="spellEnd"/>
        <w:r>
          <w:rPr>
            <w:rStyle w:val="af8"/>
            <w:sz w:val="18"/>
            <w:szCs w:val="18"/>
          </w:rPr>
          <w:t xml:space="preserve"> </w:t>
        </w:r>
        <w:proofErr w:type="spellStart"/>
        <w:r>
          <w:rPr>
            <w:rStyle w:val="af8"/>
            <w:sz w:val="18"/>
            <w:szCs w:val="18"/>
          </w:rPr>
          <w:t>in</w:t>
        </w:r>
        <w:proofErr w:type="spellEnd"/>
        <w:r>
          <w:rPr>
            <w:rStyle w:val="af8"/>
            <w:sz w:val="18"/>
            <w:szCs w:val="18"/>
          </w:rPr>
          <w:t xml:space="preserve"> </w:t>
        </w:r>
        <w:proofErr w:type="spellStart"/>
        <w:r>
          <w:rPr>
            <w:rStyle w:val="af8"/>
            <w:sz w:val="18"/>
            <w:szCs w:val="18"/>
          </w:rPr>
          <w:t>Europe</w:t>
        </w:r>
        <w:proofErr w:type="spellEnd"/>
        <w:r>
          <w:rPr>
            <w:rStyle w:val="af8"/>
            <w:sz w:val="18"/>
            <w:szCs w:val="18"/>
          </w:rPr>
          <w:t xml:space="preserve"> 2016</w:t>
        </w:r>
      </w:hyperlink>
    </w:p>
  </w:footnote>
  <w:footnote w:id="3">
    <w:p w14:paraId="22806E60" w14:textId="77777777" w:rsidR="00607F56" w:rsidRDefault="00607F56">
      <w:pPr>
        <w:pStyle w:val="aa"/>
      </w:pPr>
      <w:r>
        <w:rPr>
          <w:rStyle w:val="FootnoteReference"/>
        </w:rPr>
        <w:footnoteRef/>
      </w:r>
      <w:r>
        <w:rPr>
          <w:rStyle w:val="a1"/>
          <w:sz w:val="18"/>
          <w:szCs w:val="18"/>
        </w:rPr>
        <w:t xml:space="preserve"> </w:t>
      </w:r>
      <w:hyperlink r:id="rId3" w:history="1">
        <w:proofErr w:type="spellStart"/>
        <w:r>
          <w:rPr>
            <w:rStyle w:val="af8"/>
            <w:sz w:val="18"/>
            <w:szCs w:val="18"/>
          </w:rPr>
          <w:t>European</w:t>
        </w:r>
        <w:proofErr w:type="spellEnd"/>
        <w:r>
          <w:rPr>
            <w:rStyle w:val="af8"/>
            <w:sz w:val="18"/>
            <w:szCs w:val="18"/>
          </w:rPr>
          <w:t xml:space="preserve"> State </w:t>
        </w:r>
        <w:proofErr w:type="spellStart"/>
        <w:r>
          <w:rPr>
            <w:rStyle w:val="af8"/>
            <w:sz w:val="18"/>
            <w:szCs w:val="18"/>
          </w:rPr>
          <w:t>of</w:t>
        </w:r>
        <w:proofErr w:type="spellEnd"/>
        <w:r>
          <w:rPr>
            <w:rStyle w:val="af8"/>
            <w:sz w:val="18"/>
            <w:szCs w:val="18"/>
          </w:rPr>
          <w:t xml:space="preserve"> </w:t>
        </w:r>
        <w:proofErr w:type="spellStart"/>
        <w:r>
          <w:rPr>
            <w:rStyle w:val="af8"/>
            <w:sz w:val="18"/>
            <w:szCs w:val="18"/>
          </w:rPr>
          <w:t>the</w:t>
        </w:r>
        <w:proofErr w:type="spellEnd"/>
        <w:r>
          <w:rPr>
            <w:rStyle w:val="af8"/>
            <w:sz w:val="18"/>
            <w:szCs w:val="18"/>
          </w:rPr>
          <w:t xml:space="preserve"> </w:t>
        </w:r>
        <w:proofErr w:type="spellStart"/>
        <w:r>
          <w:rPr>
            <w:rStyle w:val="af8"/>
            <w:sz w:val="18"/>
            <w:szCs w:val="18"/>
          </w:rPr>
          <w:t>Climate</w:t>
        </w:r>
        <w:proofErr w:type="spellEnd"/>
        <w:r>
          <w:rPr>
            <w:rStyle w:val="af8"/>
            <w:sz w:val="18"/>
            <w:szCs w:val="18"/>
          </w:rPr>
          <w:t xml:space="preserve"> – </w:t>
        </w:r>
        <w:proofErr w:type="spellStart"/>
        <w:r>
          <w:rPr>
            <w:rStyle w:val="af8"/>
            <w:sz w:val="18"/>
            <w:szCs w:val="18"/>
          </w:rPr>
          <w:t>Summary</w:t>
        </w:r>
        <w:proofErr w:type="spellEnd"/>
        <w:r>
          <w:rPr>
            <w:rStyle w:val="af8"/>
            <w:sz w:val="18"/>
            <w:szCs w:val="18"/>
          </w:rPr>
          <w:t xml:space="preserve"> 2020 (copernicus.eu)</w:t>
        </w:r>
      </w:hyperlink>
    </w:p>
  </w:footnote>
  <w:footnote w:id="4">
    <w:p w14:paraId="34171FE8" w14:textId="77777777" w:rsidR="00607F56" w:rsidRDefault="00607F56">
      <w:pPr>
        <w:pStyle w:val="aa"/>
      </w:pPr>
      <w:r>
        <w:rPr>
          <w:rStyle w:val="FootnoteReference"/>
        </w:rPr>
        <w:footnoteRef/>
      </w:r>
      <w:r>
        <w:rPr>
          <w:rStyle w:val="a1"/>
          <w:sz w:val="18"/>
          <w:szCs w:val="18"/>
        </w:rPr>
        <w:t xml:space="preserve"> </w:t>
      </w:r>
      <w:hyperlink r:id="rId4" w:history="1">
        <w:proofErr w:type="spellStart"/>
        <w:r>
          <w:rPr>
            <w:rStyle w:val="af8"/>
            <w:sz w:val="18"/>
            <w:szCs w:val="18"/>
          </w:rPr>
          <w:t>European</w:t>
        </w:r>
        <w:proofErr w:type="spellEnd"/>
        <w:r>
          <w:rPr>
            <w:rStyle w:val="af8"/>
            <w:sz w:val="18"/>
            <w:szCs w:val="18"/>
          </w:rPr>
          <w:t xml:space="preserve"> State </w:t>
        </w:r>
        <w:proofErr w:type="spellStart"/>
        <w:r>
          <w:rPr>
            <w:rStyle w:val="af8"/>
            <w:sz w:val="18"/>
            <w:szCs w:val="18"/>
          </w:rPr>
          <w:t>of</w:t>
        </w:r>
        <w:proofErr w:type="spellEnd"/>
        <w:r>
          <w:rPr>
            <w:rStyle w:val="af8"/>
            <w:sz w:val="18"/>
            <w:szCs w:val="18"/>
          </w:rPr>
          <w:t xml:space="preserve"> </w:t>
        </w:r>
        <w:proofErr w:type="spellStart"/>
        <w:r>
          <w:rPr>
            <w:rStyle w:val="af8"/>
            <w:sz w:val="18"/>
            <w:szCs w:val="18"/>
          </w:rPr>
          <w:t>the</w:t>
        </w:r>
        <w:proofErr w:type="spellEnd"/>
        <w:r>
          <w:rPr>
            <w:rStyle w:val="af8"/>
            <w:sz w:val="18"/>
            <w:szCs w:val="18"/>
          </w:rPr>
          <w:t xml:space="preserve"> </w:t>
        </w:r>
        <w:proofErr w:type="spellStart"/>
        <w:r>
          <w:rPr>
            <w:rStyle w:val="af8"/>
            <w:sz w:val="18"/>
            <w:szCs w:val="18"/>
          </w:rPr>
          <w:t>Climate</w:t>
        </w:r>
        <w:proofErr w:type="spellEnd"/>
        <w:r>
          <w:rPr>
            <w:rStyle w:val="af8"/>
            <w:sz w:val="18"/>
            <w:szCs w:val="18"/>
          </w:rPr>
          <w:t xml:space="preserve"> – </w:t>
        </w:r>
        <w:proofErr w:type="spellStart"/>
        <w:r>
          <w:rPr>
            <w:rStyle w:val="af8"/>
            <w:sz w:val="18"/>
            <w:szCs w:val="18"/>
          </w:rPr>
          <w:t>Summary</w:t>
        </w:r>
        <w:proofErr w:type="spellEnd"/>
        <w:r>
          <w:rPr>
            <w:rStyle w:val="af8"/>
            <w:sz w:val="18"/>
            <w:szCs w:val="18"/>
          </w:rPr>
          <w:t xml:space="preserve"> 2020 (copernicus.eu)</w:t>
        </w:r>
      </w:hyperlink>
    </w:p>
    <w:p w14:paraId="762FE89C" w14:textId="77777777" w:rsidR="00607F56" w:rsidRDefault="00607F56">
      <w:pPr>
        <w:pStyle w:val="aa"/>
      </w:pPr>
    </w:p>
  </w:footnote>
  <w:footnote w:id="5">
    <w:p w14:paraId="26FBA701" w14:textId="77777777" w:rsidR="00607F56" w:rsidRDefault="00607F56">
      <w:pPr>
        <w:pStyle w:val="aa"/>
        <w:jc w:val="both"/>
      </w:pPr>
      <w:r>
        <w:rPr>
          <w:rStyle w:val="FootnoteReference"/>
        </w:rPr>
        <w:footnoteRef/>
      </w:r>
      <w:r>
        <w:rPr>
          <w:rStyle w:val="a1"/>
          <w:sz w:val="18"/>
          <w:szCs w:val="18"/>
        </w:rPr>
        <w:t xml:space="preserve"> </w:t>
      </w:r>
      <w:r>
        <w:rPr>
          <w:rStyle w:val="a1"/>
          <w:bCs/>
          <w:iCs/>
          <w:sz w:val="18"/>
          <w:szCs w:val="18"/>
        </w:rPr>
        <w:t>Приложение 10 към НСАИК - Оценка на сектор „Управление на риска от бедствия“ https://www.moew.government.bg/bg/</w:t>
      </w:r>
    </w:p>
  </w:footnote>
  <w:footnote w:id="6">
    <w:p w14:paraId="1F428E6F" w14:textId="77777777" w:rsidR="00607F56" w:rsidRDefault="00607F56">
      <w:pPr>
        <w:pStyle w:val="fn1"/>
      </w:pPr>
      <w:r>
        <w:rPr>
          <w:rStyle w:val="FootnoteReference"/>
        </w:rPr>
        <w:footnoteRef/>
      </w:r>
      <w:r>
        <w:rPr>
          <w:rStyle w:val="a1"/>
          <w:rFonts w:ascii="Times New Roman" w:hAnsi="Times New Roman"/>
          <w:sz w:val="18"/>
          <w:szCs w:val="18"/>
        </w:rPr>
        <w:t xml:space="preserve"> </w:t>
      </w:r>
      <w:r>
        <w:rPr>
          <w:rStyle w:val="a1"/>
          <w:rFonts w:ascii="Times New Roman" w:hAnsi="Times New Roman"/>
          <w:bCs/>
          <w:iCs/>
          <w:color w:val="auto"/>
          <w:sz w:val="18"/>
          <w:szCs w:val="18"/>
        </w:rPr>
        <w:t>Получените резултати са продукт на числена симулация и се основават на определен физико-математически модел на атмосферата и затова могат да се различават от други, използващи различни подходи.</w:t>
      </w:r>
      <w:r>
        <w:rPr>
          <w:rStyle w:val="a1"/>
          <w:rFonts w:ascii="Times New Roman" w:hAnsi="Times New Roman"/>
          <w:b/>
          <w:bCs/>
          <w:i/>
          <w:iCs/>
          <w:color w:val="auto"/>
        </w:rPr>
        <w:t xml:space="preserve"> </w:t>
      </w:r>
    </w:p>
  </w:footnote>
  <w:footnote w:id="7">
    <w:p w14:paraId="575EED39" w14:textId="77777777" w:rsidR="00607F56" w:rsidRDefault="00607F56">
      <w:pPr>
        <w:pStyle w:val="aa"/>
      </w:pPr>
      <w:r>
        <w:rPr>
          <w:rStyle w:val="FootnoteReference"/>
        </w:rPr>
        <w:footnoteRef/>
      </w:r>
      <w:r>
        <w:t xml:space="preserve"> </w:t>
      </w:r>
      <w:r>
        <w:rPr>
          <w:rStyle w:val="a1"/>
          <w:sz w:val="18"/>
          <w:szCs w:val="18"/>
        </w:rPr>
        <w:t>https://sdgs.un.org/2030agenda</w:t>
      </w:r>
    </w:p>
  </w:footnote>
  <w:footnote w:id="8">
    <w:p w14:paraId="286D1E24" w14:textId="7BAB3E51" w:rsidR="00984BC4" w:rsidRPr="00984BC4" w:rsidRDefault="00984BC4">
      <w:pPr>
        <w:pStyle w:val="FootnoteText"/>
        <w:rPr>
          <w:lang w:val="bg-BG"/>
        </w:rPr>
      </w:pPr>
      <w:r>
        <w:rPr>
          <w:rStyle w:val="FootnoteReference"/>
        </w:rPr>
        <w:footnoteRef/>
      </w:r>
      <w:r>
        <w:t xml:space="preserve"> </w:t>
      </w:r>
      <w:r w:rsidRPr="00984BC4">
        <w:t>https://www.consilium.europa.eu/bg/meetings/european-council/2020/12/10-11/</w:t>
      </w:r>
    </w:p>
  </w:footnote>
  <w:footnote w:id="9">
    <w:p w14:paraId="6FBF86AF" w14:textId="77777777" w:rsidR="00607F56" w:rsidRPr="006F72FF" w:rsidRDefault="00607F56">
      <w:pPr>
        <w:pStyle w:val="aa"/>
        <w:rPr>
          <w:sz w:val="16"/>
          <w:szCs w:val="16"/>
        </w:rPr>
      </w:pPr>
      <w:r>
        <w:rPr>
          <w:rStyle w:val="FootnoteReference"/>
        </w:rPr>
        <w:footnoteRef/>
      </w:r>
      <w:r>
        <w:t xml:space="preserve"> </w:t>
      </w:r>
      <w:r w:rsidRPr="006F72FF">
        <w:rPr>
          <w:rStyle w:val="a1"/>
          <w:sz w:val="16"/>
          <w:szCs w:val="16"/>
        </w:rPr>
        <w:t>Адаптирането е процесът на приспособяване към действителния или очаквания климат и неговото въздействие (Междуправителствен комитет по изменение на климата (IPCC) (</w:t>
      </w:r>
      <w:hyperlink r:id="rId5" w:history="1">
        <w:r w:rsidRPr="006F72FF">
          <w:rPr>
            <w:rStyle w:val="Hyperlink0"/>
            <w:sz w:val="16"/>
            <w:szCs w:val="16"/>
          </w:rPr>
          <w:t>пети доклад за оценка на IPCC</w:t>
        </w:r>
      </w:hyperlink>
      <w:r w:rsidRPr="006F72FF">
        <w:rPr>
          <w:rStyle w:val="a1"/>
          <w:sz w:val="16"/>
          <w:szCs w:val="16"/>
        </w:rPr>
        <w:t>). Това не е еднократна реакция на спешни случаи, а поредица от активни мерки за справяне с възел от опасности  (например суша или повишаване на морското равнище), експозиция (например по-малко вода на юг) и уязвимост (например бедност или липса на образование).</w:t>
      </w:r>
    </w:p>
  </w:footnote>
  <w:footnote w:id="10">
    <w:p w14:paraId="219EE5C1" w14:textId="77777777" w:rsidR="00607F56" w:rsidRPr="006F72FF" w:rsidRDefault="00607F56">
      <w:pPr>
        <w:pStyle w:val="a0"/>
        <w:rPr>
          <w:sz w:val="16"/>
          <w:szCs w:val="16"/>
        </w:rPr>
      </w:pPr>
      <w:r w:rsidRPr="006F72FF">
        <w:rPr>
          <w:rStyle w:val="FootnoteReference"/>
          <w:sz w:val="16"/>
          <w:szCs w:val="16"/>
        </w:rPr>
        <w:footnoteRef/>
      </w:r>
      <w:r w:rsidRPr="006F72FF">
        <w:rPr>
          <w:sz w:val="16"/>
          <w:szCs w:val="16"/>
        </w:rPr>
        <w:t xml:space="preserve"> </w:t>
      </w:r>
      <w:hyperlink r:id="rId6" w:history="1">
        <w:proofErr w:type="spellStart"/>
        <w:r w:rsidRPr="006F72FF">
          <w:rPr>
            <w:rStyle w:val="a1"/>
            <w:color w:val="0000FF"/>
            <w:sz w:val="16"/>
            <w:szCs w:val="16"/>
            <w:u w:val="single"/>
          </w:rPr>
          <w:t>Communication</w:t>
        </w:r>
        <w:proofErr w:type="spellEnd"/>
        <w:r w:rsidRPr="006F72FF">
          <w:rPr>
            <w:rStyle w:val="a1"/>
            <w:color w:val="0000FF"/>
            <w:sz w:val="16"/>
            <w:szCs w:val="16"/>
            <w:u w:val="single"/>
          </w:rPr>
          <w:t xml:space="preserve"> COM/2021/82: </w:t>
        </w:r>
        <w:proofErr w:type="spellStart"/>
        <w:r w:rsidRPr="006F72FF">
          <w:rPr>
            <w:rStyle w:val="a1"/>
            <w:color w:val="0000FF"/>
            <w:sz w:val="16"/>
            <w:szCs w:val="16"/>
            <w:u w:val="single"/>
          </w:rPr>
          <w:t>Forging</w:t>
        </w:r>
        <w:proofErr w:type="spellEnd"/>
        <w:r w:rsidRPr="006F72FF">
          <w:rPr>
            <w:rStyle w:val="a1"/>
            <w:color w:val="0000FF"/>
            <w:sz w:val="16"/>
            <w:szCs w:val="16"/>
            <w:u w:val="single"/>
          </w:rPr>
          <w:t xml:space="preserve"> a </w:t>
        </w:r>
        <w:proofErr w:type="spellStart"/>
        <w:r w:rsidRPr="006F72FF">
          <w:rPr>
            <w:rStyle w:val="a1"/>
            <w:color w:val="0000FF"/>
            <w:sz w:val="16"/>
            <w:szCs w:val="16"/>
            <w:u w:val="single"/>
          </w:rPr>
          <w:t>climate-resilient</w:t>
        </w:r>
        <w:proofErr w:type="spellEnd"/>
        <w:r w:rsidRPr="006F72FF">
          <w:rPr>
            <w:rStyle w:val="a1"/>
            <w:color w:val="0000FF"/>
            <w:sz w:val="16"/>
            <w:szCs w:val="16"/>
            <w:u w:val="single"/>
          </w:rPr>
          <w:t xml:space="preserve"> </w:t>
        </w:r>
        <w:proofErr w:type="spellStart"/>
        <w:r w:rsidRPr="006F72FF">
          <w:rPr>
            <w:rStyle w:val="a1"/>
            <w:color w:val="0000FF"/>
            <w:sz w:val="16"/>
            <w:szCs w:val="16"/>
            <w:u w:val="single"/>
          </w:rPr>
          <w:t>Europe</w:t>
        </w:r>
        <w:proofErr w:type="spellEnd"/>
        <w:r w:rsidRPr="006F72FF">
          <w:rPr>
            <w:rStyle w:val="a1"/>
            <w:color w:val="0000FF"/>
            <w:sz w:val="16"/>
            <w:szCs w:val="16"/>
            <w:u w:val="single"/>
          </w:rPr>
          <w:t xml:space="preserve"> - </w:t>
        </w:r>
        <w:proofErr w:type="spellStart"/>
        <w:r w:rsidRPr="006F72FF">
          <w:rPr>
            <w:rStyle w:val="a1"/>
            <w:color w:val="0000FF"/>
            <w:sz w:val="16"/>
            <w:szCs w:val="16"/>
            <w:u w:val="single"/>
          </w:rPr>
          <w:t>the</w:t>
        </w:r>
        <w:proofErr w:type="spellEnd"/>
        <w:r w:rsidRPr="006F72FF">
          <w:rPr>
            <w:rStyle w:val="a1"/>
            <w:color w:val="0000FF"/>
            <w:sz w:val="16"/>
            <w:szCs w:val="16"/>
            <w:u w:val="single"/>
          </w:rPr>
          <w:t xml:space="preserve"> </w:t>
        </w:r>
        <w:proofErr w:type="spellStart"/>
        <w:r w:rsidRPr="006F72FF">
          <w:rPr>
            <w:rStyle w:val="a1"/>
            <w:color w:val="0000FF"/>
            <w:sz w:val="16"/>
            <w:szCs w:val="16"/>
            <w:u w:val="single"/>
          </w:rPr>
          <w:t>new</w:t>
        </w:r>
        <w:proofErr w:type="spellEnd"/>
        <w:r w:rsidRPr="006F72FF">
          <w:rPr>
            <w:rStyle w:val="a1"/>
            <w:color w:val="0000FF"/>
            <w:sz w:val="16"/>
            <w:szCs w:val="16"/>
            <w:u w:val="single"/>
          </w:rPr>
          <w:t xml:space="preserve"> EU </w:t>
        </w:r>
        <w:proofErr w:type="spellStart"/>
        <w:r w:rsidRPr="006F72FF">
          <w:rPr>
            <w:rStyle w:val="a1"/>
            <w:color w:val="0000FF"/>
            <w:sz w:val="16"/>
            <w:szCs w:val="16"/>
            <w:u w:val="single"/>
          </w:rPr>
          <w:t>Strategy</w:t>
        </w:r>
        <w:proofErr w:type="spellEnd"/>
        <w:r w:rsidRPr="006F72FF">
          <w:rPr>
            <w:rStyle w:val="a1"/>
            <w:color w:val="0000FF"/>
            <w:sz w:val="16"/>
            <w:szCs w:val="16"/>
            <w:u w:val="single"/>
          </w:rPr>
          <w:t xml:space="preserve"> </w:t>
        </w:r>
        <w:proofErr w:type="spellStart"/>
        <w:r w:rsidRPr="006F72FF">
          <w:rPr>
            <w:rStyle w:val="a1"/>
            <w:color w:val="0000FF"/>
            <w:sz w:val="16"/>
            <w:szCs w:val="16"/>
            <w:u w:val="single"/>
          </w:rPr>
          <w:t>on</w:t>
        </w:r>
        <w:proofErr w:type="spellEnd"/>
        <w:r w:rsidRPr="006F72FF">
          <w:rPr>
            <w:rStyle w:val="a1"/>
            <w:color w:val="0000FF"/>
            <w:sz w:val="16"/>
            <w:szCs w:val="16"/>
            <w:u w:val="single"/>
          </w:rPr>
          <w:t xml:space="preserve"> </w:t>
        </w:r>
        <w:proofErr w:type="spellStart"/>
        <w:r w:rsidRPr="006F72FF">
          <w:rPr>
            <w:rStyle w:val="a1"/>
            <w:color w:val="0000FF"/>
            <w:sz w:val="16"/>
            <w:szCs w:val="16"/>
            <w:u w:val="single"/>
          </w:rPr>
          <w:t>Adaptation</w:t>
        </w:r>
        <w:proofErr w:type="spellEnd"/>
        <w:r w:rsidRPr="006F72FF">
          <w:rPr>
            <w:rStyle w:val="a1"/>
            <w:color w:val="0000FF"/>
            <w:sz w:val="16"/>
            <w:szCs w:val="16"/>
            <w:u w:val="single"/>
          </w:rPr>
          <w:t xml:space="preserve"> </w:t>
        </w:r>
        <w:proofErr w:type="spellStart"/>
        <w:r w:rsidRPr="006F72FF">
          <w:rPr>
            <w:rStyle w:val="a1"/>
            <w:color w:val="0000FF"/>
            <w:sz w:val="16"/>
            <w:szCs w:val="16"/>
            <w:u w:val="single"/>
          </w:rPr>
          <w:t>to</w:t>
        </w:r>
        <w:proofErr w:type="spellEnd"/>
        <w:r w:rsidRPr="006F72FF">
          <w:rPr>
            <w:rStyle w:val="a1"/>
            <w:color w:val="0000FF"/>
            <w:sz w:val="16"/>
            <w:szCs w:val="16"/>
            <w:u w:val="single"/>
          </w:rPr>
          <w:t xml:space="preserve"> </w:t>
        </w:r>
        <w:proofErr w:type="spellStart"/>
        <w:r w:rsidRPr="006F72FF">
          <w:rPr>
            <w:rStyle w:val="a1"/>
            <w:color w:val="0000FF"/>
            <w:sz w:val="16"/>
            <w:szCs w:val="16"/>
            <w:u w:val="single"/>
          </w:rPr>
          <w:t>Climate</w:t>
        </w:r>
        <w:proofErr w:type="spellEnd"/>
        <w:r w:rsidRPr="006F72FF">
          <w:rPr>
            <w:rStyle w:val="a1"/>
            <w:color w:val="0000FF"/>
            <w:sz w:val="16"/>
            <w:szCs w:val="16"/>
            <w:u w:val="single"/>
          </w:rPr>
          <w:t xml:space="preserve"> </w:t>
        </w:r>
        <w:proofErr w:type="spellStart"/>
        <w:r w:rsidRPr="006F72FF">
          <w:rPr>
            <w:rStyle w:val="a1"/>
            <w:color w:val="0000FF"/>
            <w:sz w:val="16"/>
            <w:szCs w:val="16"/>
            <w:u w:val="single"/>
          </w:rPr>
          <w:t>Change</w:t>
        </w:r>
        <w:proofErr w:type="spellEnd"/>
        <w:r w:rsidRPr="006F72FF">
          <w:rPr>
            <w:rStyle w:val="a1"/>
            <w:color w:val="0000FF"/>
            <w:sz w:val="16"/>
            <w:szCs w:val="16"/>
            <w:u w:val="single"/>
          </w:rPr>
          <w:t xml:space="preserve"> | </w:t>
        </w:r>
        <w:proofErr w:type="spellStart"/>
        <w:r w:rsidRPr="006F72FF">
          <w:rPr>
            <w:rStyle w:val="a1"/>
            <w:color w:val="0000FF"/>
            <w:sz w:val="16"/>
            <w:szCs w:val="16"/>
            <w:u w:val="single"/>
          </w:rPr>
          <w:t>Knowledge</w:t>
        </w:r>
        <w:proofErr w:type="spellEnd"/>
        <w:r w:rsidRPr="006F72FF">
          <w:rPr>
            <w:rStyle w:val="a1"/>
            <w:color w:val="0000FF"/>
            <w:sz w:val="16"/>
            <w:szCs w:val="16"/>
            <w:u w:val="single"/>
          </w:rPr>
          <w:t xml:space="preserve"> </w:t>
        </w:r>
        <w:proofErr w:type="spellStart"/>
        <w:r w:rsidRPr="006F72FF">
          <w:rPr>
            <w:rStyle w:val="a1"/>
            <w:color w:val="0000FF"/>
            <w:sz w:val="16"/>
            <w:szCs w:val="16"/>
            <w:u w:val="single"/>
          </w:rPr>
          <w:t>for</w:t>
        </w:r>
        <w:proofErr w:type="spellEnd"/>
        <w:r w:rsidRPr="006F72FF">
          <w:rPr>
            <w:rStyle w:val="a1"/>
            <w:color w:val="0000FF"/>
            <w:sz w:val="16"/>
            <w:szCs w:val="16"/>
            <w:u w:val="single"/>
          </w:rPr>
          <w:t xml:space="preserve"> </w:t>
        </w:r>
        <w:proofErr w:type="spellStart"/>
        <w:r w:rsidRPr="006F72FF">
          <w:rPr>
            <w:rStyle w:val="a1"/>
            <w:color w:val="0000FF"/>
            <w:sz w:val="16"/>
            <w:szCs w:val="16"/>
            <w:u w:val="single"/>
          </w:rPr>
          <w:t>policy</w:t>
        </w:r>
        <w:proofErr w:type="spellEnd"/>
        <w:r w:rsidRPr="006F72FF">
          <w:rPr>
            <w:rStyle w:val="a1"/>
            <w:color w:val="0000FF"/>
            <w:sz w:val="16"/>
            <w:szCs w:val="16"/>
            <w:u w:val="single"/>
          </w:rPr>
          <w:t xml:space="preserve"> (europa.eu)</w:t>
        </w:r>
      </w:hyperlink>
    </w:p>
    <w:p w14:paraId="67E0F274" w14:textId="77777777" w:rsidR="00607F56" w:rsidRDefault="00607F56">
      <w:pPr>
        <w:pStyle w:val="aa"/>
      </w:pPr>
    </w:p>
  </w:footnote>
  <w:footnote w:id="11">
    <w:p w14:paraId="3BC24813" w14:textId="77777777" w:rsidR="00607F56" w:rsidRPr="002E54A0" w:rsidRDefault="00607F56">
      <w:pPr>
        <w:pStyle w:val="aa"/>
        <w:rPr>
          <w:sz w:val="16"/>
          <w:szCs w:val="16"/>
        </w:rPr>
      </w:pPr>
      <w:r w:rsidRPr="002E54A0">
        <w:rPr>
          <w:rStyle w:val="FootnoteReference"/>
          <w:sz w:val="16"/>
          <w:szCs w:val="16"/>
        </w:rPr>
        <w:footnoteRef/>
      </w:r>
      <w:r w:rsidRPr="002E54A0">
        <w:rPr>
          <w:sz w:val="16"/>
          <w:szCs w:val="16"/>
        </w:rPr>
        <w:t xml:space="preserve"> </w:t>
      </w:r>
      <w:r w:rsidRPr="002E54A0">
        <w:rPr>
          <w:sz w:val="16"/>
          <w:szCs w:val="16"/>
        </w:rPr>
        <w:t>https://eur-lex.europa.eu/legal-content/EN/TXT/?qid=1584543810241&amp;uri=CELEX%3A52020SC0501</w:t>
      </w:r>
    </w:p>
    <w:p w14:paraId="2753C504" w14:textId="77777777" w:rsidR="00607F56" w:rsidRPr="002E54A0" w:rsidRDefault="00607F56">
      <w:pPr>
        <w:pStyle w:val="aa"/>
        <w:rPr>
          <w:sz w:val="16"/>
          <w:szCs w:val="16"/>
        </w:rPr>
      </w:pPr>
    </w:p>
  </w:footnote>
  <w:footnote w:id="12">
    <w:p w14:paraId="53B9E233" w14:textId="77777777" w:rsidR="00607F56" w:rsidRPr="002E54A0" w:rsidRDefault="00607F56">
      <w:pPr>
        <w:pStyle w:val="aa"/>
        <w:rPr>
          <w:sz w:val="16"/>
          <w:szCs w:val="16"/>
        </w:rPr>
      </w:pPr>
      <w:r w:rsidRPr="002E54A0">
        <w:rPr>
          <w:rStyle w:val="FootnoteReference"/>
          <w:sz w:val="16"/>
          <w:szCs w:val="16"/>
        </w:rPr>
        <w:footnoteRef/>
      </w:r>
      <w:r w:rsidRPr="002E54A0">
        <w:rPr>
          <w:sz w:val="16"/>
          <w:szCs w:val="16"/>
        </w:rPr>
        <w:t>)</w:t>
      </w:r>
      <w:hyperlink r:id="rId7" w:history="1">
        <w:r w:rsidRPr="002E54A0">
          <w:rPr>
            <w:rStyle w:val="af8"/>
            <w:rFonts w:eastAsia="Calibri"/>
            <w:sz w:val="16"/>
            <w:szCs w:val="16"/>
          </w:rPr>
          <w:t>https://unfccc.int/files/national_reports/annex_i_natcom/submitted_natcom/application/pdf/0917254_bulgaria-nc7-br3-1-vii_nc_bulgaria_2018.pdf</w:t>
        </w:r>
      </w:hyperlink>
      <w:r w:rsidRPr="002E54A0">
        <w:rPr>
          <w:sz w:val="16"/>
          <w:szCs w:val="16"/>
        </w:rPr>
        <w:t>.</w:t>
      </w:r>
    </w:p>
  </w:footnote>
  <w:footnote w:id="13">
    <w:p w14:paraId="1D279DC3" w14:textId="77777777" w:rsidR="00607F56" w:rsidRPr="002E54A0" w:rsidRDefault="00607F56">
      <w:pPr>
        <w:pStyle w:val="aa"/>
        <w:rPr>
          <w:sz w:val="16"/>
          <w:szCs w:val="16"/>
        </w:rPr>
      </w:pPr>
      <w:r w:rsidRPr="002E54A0">
        <w:rPr>
          <w:rStyle w:val="FootnoteReference"/>
          <w:sz w:val="16"/>
          <w:szCs w:val="16"/>
        </w:rPr>
        <w:footnoteRef/>
      </w:r>
      <w:r w:rsidRPr="002E54A0">
        <w:rPr>
          <w:sz w:val="16"/>
          <w:szCs w:val="16"/>
        </w:rPr>
        <w:t>)</w:t>
      </w:r>
      <w:hyperlink r:id="rId8" w:history="1">
        <w:r w:rsidRPr="002E54A0">
          <w:rPr>
            <w:rStyle w:val="af8"/>
            <w:rFonts w:eastAsia="Calibri"/>
            <w:sz w:val="16"/>
            <w:szCs w:val="16"/>
          </w:rPr>
          <w:t>https://ec.europa.eu/jrc/sites/jrcsh/files/jrc_091125_newsrelease_peseta_en.pdf</w:t>
        </w:r>
      </w:hyperlink>
      <w:r w:rsidRPr="002E54A0">
        <w:rPr>
          <w:sz w:val="16"/>
          <w:szCs w:val="16"/>
        </w:rPr>
        <w:t>.</w:t>
      </w:r>
    </w:p>
  </w:footnote>
  <w:footnote w:id="14">
    <w:p w14:paraId="7D585CCE" w14:textId="69C453EB" w:rsidR="00607F56" w:rsidRPr="002E54A0" w:rsidRDefault="00607F56" w:rsidP="002E54A0">
      <w:pPr>
        <w:pStyle w:val="a0"/>
        <w:rPr>
          <w:sz w:val="16"/>
          <w:szCs w:val="16"/>
        </w:rPr>
      </w:pPr>
      <w:r w:rsidRPr="002E54A0">
        <w:rPr>
          <w:rStyle w:val="FootnoteReference"/>
          <w:sz w:val="16"/>
          <w:szCs w:val="16"/>
        </w:rPr>
        <w:footnoteRef/>
      </w:r>
      <w:r w:rsidRPr="002E54A0">
        <w:rPr>
          <w:sz w:val="16"/>
          <w:szCs w:val="16"/>
        </w:rPr>
        <w:t xml:space="preserve"> </w:t>
      </w:r>
      <w:proofErr w:type="spellStart"/>
      <w:r w:rsidRPr="002E54A0">
        <w:rPr>
          <w:rStyle w:val="a1"/>
          <w:rFonts w:eastAsia="Calibri"/>
          <w:i/>
          <w:color w:val="000000"/>
          <w:sz w:val="16"/>
          <w:szCs w:val="16"/>
          <w:lang w:eastAsia="en-US"/>
        </w:rPr>
        <w:t>Trends</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and</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projections</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in</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Europe</w:t>
      </w:r>
      <w:proofErr w:type="spellEnd"/>
      <w:r w:rsidRPr="002E54A0">
        <w:rPr>
          <w:rStyle w:val="a1"/>
          <w:rFonts w:eastAsia="Calibri"/>
          <w:i/>
          <w:color w:val="000000"/>
          <w:sz w:val="16"/>
          <w:szCs w:val="16"/>
          <w:lang w:eastAsia="en-US"/>
        </w:rPr>
        <w:t xml:space="preserve"> 2019 </w:t>
      </w:r>
      <w:proofErr w:type="spellStart"/>
      <w:r w:rsidRPr="002E54A0">
        <w:rPr>
          <w:rStyle w:val="a1"/>
          <w:rFonts w:eastAsia="Calibri"/>
          <w:i/>
          <w:color w:val="000000"/>
          <w:sz w:val="16"/>
          <w:szCs w:val="16"/>
          <w:lang w:eastAsia="en-US"/>
        </w:rPr>
        <w:t>Tracking</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progress</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towards</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Europe's</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climate</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and</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energy</w:t>
      </w:r>
      <w:proofErr w:type="spellEnd"/>
      <w:r w:rsidRPr="002E54A0">
        <w:rPr>
          <w:rStyle w:val="a1"/>
          <w:rFonts w:eastAsia="Calibri"/>
          <w:i/>
          <w:color w:val="000000"/>
          <w:sz w:val="16"/>
          <w:szCs w:val="16"/>
          <w:lang w:eastAsia="en-US"/>
        </w:rPr>
        <w:t xml:space="preserve"> </w:t>
      </w:r>
      <w:proofErr w:type="spellStart"/>
      <w:r w:rsidRPr="002E54A0">
        <w:rPr>
          <w:rStyle w:val="a1"/>
          <w:rFonts w:eastAsia="Calibri"/>
          <w:i/>
          <w:color w:val="000000"/>
          <w:sz w:val="16"/>
          <w:szCs w:val="16"/>
          <w:lang w:eastAsia="en-US"/>
        </w:rPr>
        <w:t>targets</w:t>
      </w:r>
      <w:proofErr w:type="spellEnd"/>
      <w:r w:rsidRPr="002E54A0">
        <w:rPr>
          <w:rStyle w:val="a1"/>
          <w:rFonts w:eastAsia="Calibri"/>
          <w:color w:val="000000"/>
          <w:sz w:val="16"/>
          <w:szCs w:val="16"/>
          <w:lang w:eastAsia="en-US"/>
        </w:rPr>
        <w:t xml:space="preserve"> Доклад на ЕАОС № 15/2019, </w:t>
      </w:r>
      <w:hyperlink r:id="rId9" w:history="1">
        <w:r w:rsidRPr="002E54A0">
          <w:rPr>
            <w:rStyle w:val="a1"/>
            <w:rFonts w:eastAsia="Calibri"/>
            <w:color w:val="0000FF"/>
            <w:sz w:val="16"/>
            <w:szCs w:val="16"/>
            <w:u w:val="single"/>
            <w:lang w:eastAsia="en-US"/>
          </w:rPr>
          <w:t>https://www.eea.europ</w:t>
        </w:r>
        <w:bookmarkStart w:id="16" w:name="_Hlt72662039"/>
        <w:r w:rsidRPr="002E54A0">
          <w:rPr>
            <w:rStyle w:val="a1"/>
            <w:rFonts w:eastAsia="Calibri"/>
            <w:color w:val="0000FF"/>
            <w:sz w:val="16"/>
            <w:szCs w:val="16"/>
            <w:u w:val="single"/>
            <w:lang w:eastAsia="en-US"/>
          </w:rPr>
          <w:t>a</w:t>
        </w:r>
        <w:bookmarkEnd w:id="16"/>
        <w:r w:rsidRPr="002E54A0">
          <w:rPr>
            <w:rStyle w:val="a1"/>
            <w:rFonts w:eastAsia="Calibri"/>
            <w:color w:val="0000FF"/>
            <w:sz w:val="16"/>
            <w:szCs w:val="16"/>
            <w:u w:val="single"/>
            <w:lang w:eastAsia="en-US"/>
          </w:rPr>
          <w:t>.eu/public</w:t>
        </w:r>
        <w:bookmarkStart w:id="17" w:name="_Hlt72662080"/>
        <w:bookmarkStart w:id="18" w:name="_Hlt72662081"/>
        <w:r w:rsidRPr="002E54A0">
          <w:rPr>
            <w:rStyle w:val="a1"/>
            <w:rFonts w:eastAsia="Calibri"/>
            <w:color w:val="0000FF"/>
            <w:sz w:val="16"/>
            <w:szCs w:val="16"/>
            <w:u w:val="single"/>
            <w:lang w:eastAsia="en-US"/>
          </w:rPr>
          <w:t>a</w:t>
        </w:r>
        <w:bookmarkEnd w:id="17"/>
        <w:bookmarkEnd w:id="18"/>
        <w:r w:rsidRPr="002E54A0">
          <w:rPr>
            <w:rStyle w:val="a1"/>
            <w:rFonts w:eastAsia="Calibri"/>
            <w:color w:val="0000FF"/>
            <w:sz w:val="16"/>
            <w:szCs w:val="16"/>
            <w:u w:val="single"/>
            <w:lang w:eastAsia="en-US"/>
          </w:rPr>
          <w:t>tions/tr</w:t>
        </w:r>
        <w:bookmarkStart w:id="19" w:name="_Hlt72662064"/>
        <w:bookmarkStart w:id="20" w:name="_Hlt72662065"/>
        <w:r w:rsidRPr="002E54A0">
          <w:rPr>
            <w:rStyle w:val="a1"/>
            <w:rFonts w:eastAsia="Calibri"/>
            <w:color w:val="0000FF"/>
            <w:sz w:val="16"/>
            <w:szCs w:val="16"/>
            <w:u w:val="single"/>
            <w:lang w:eastAsia="en-US"/>
          </w:rPr>
          <w:t>e</w:t>
        </w:r>
        <w:bookmarkEnd w:id="19"/>
        <w:bookmarkEnd w:id="20"/>
        <w:r w:rsidRPr="002E54A0">
          <w:rPr>
            <w:rStyle w:val="a1"/>
            <w:rFonts w:eastAsia="Calibri"/>
            <w:color w:val="0000FF"/>
            <w:sz w:val="16"/>
            <w:szCs w:val="16"/>
            <w:u w:val="single"/>
            <w:lang w:eastAsia="en-US"/>
          </w:rPr>
          <w:t>nds-and-projections-in-europe-1</w:t>
        </w:r>
      </w:hyperlink>
    </w:p>
  </w:footnote>
  <w:footnote w:id="15">
    <w:p w14:paraId="41ED3409" w14:textId="77777777" w:rsidR="00607F56" w:rsidRPr="002E54A0" w:rsidRDefault="00607F56">
      <w:pPr>
        <w:pStyle w:val="aa"/>
        <w:rPr>
          <w:sz w:val="16"/>
          <w:szCs w:val="16"/>
        </w:rPr>
      </w:pPr>
      <w:r w:rsidRPr="002E54A0">
        <w:rPr>
          <w:rStyle w:val="FootnoteReference"/>
          <w:sz w:val="16"/>
          <w:szCs w:val="16"/>
        </w:rPr>
        <w:footnoteRef/>
      </w:r>
      <w:r w:rsidRPr="002E54A0">
        <w:rPr>
          <w:sz w:val="16"/>
          <w:szCs w:val="16"/>
        </w:rPr>
        <w:t xml:space="preserve"> </w:t>
      </w:r>
      <w:r w:rsidRPr="002E54A0">
        <w:rPr>
          <w:sz w:val="16"/>
          <w:szCs w:val="16"/>
        </w:rPr>
        <w:t>Секторните доклади са базирани на данните на “Анализ и оценка на риска и уязвимостта на секторите в българската икономика от климатичните промени” (МОСВ 2014 г.).</w:t>
      </w:r>
    </w:p>
  </w:footnote>
  <w:footnote w:id="16">
    <w:p w14:paraId="43F21802" w14:textId="77777777" w:rsidR="00607F56" w:rsidRPr="006F72FF" w:rsidRDefault="00607F56">
      <w:pPr>
        <w:pStyle w:val="aa"/>
        <w:rPr>
          <w:sz w:val="16"/>
          <w:szCs w:val="16"/>
        </w:rPr>
      </w:pPr>
      <w:r>
        <w:rPr>
          <w:rStyle w:val="FootnoteReference"/>
        </w:rPr>
        <w:footnoteRef/>
      </w:r>
      <w:r w:rsidRPr="006F72FF">
        <w:rPr>
          <w:rStyle w:val="a1"/>
          <w:sz w:val="16"/>
          <w:szCs w:val="16"/>
        </w:rPr>
        <w:t xml:space="preserve"> </w:t>
      </w:r>
      <w:r w:rsidRPr="006F72FF">
        <w:rPr>
          <w:rStyle w:val="a1"/>
          <w:sz w:val="16"/>
          <w:szCs w:val="16"/>
        </w:rPr>
        <w:t>Към настоящия момент 44 български общини са се присъединили към Споразумението на кметовете. https://www.sporazumenietonakmetovete.eu/bg/</w:t>
      </w:r>
    </w:p>
  </w:footnote>
  <w:footnote w:id="17">
    <w:p w14:paraId="398FDD4B" w14:textId="77777777" w:rsidR="00607F56" w:rsidRPr="006F72FF" w:rsidRDefault="00607F56">
      <w:pPr>
        <w:pStyle w:val="aa"/>
        <w:rPr>
          <w:sz w:val="16"/>
          <w:szCs w:val="16"/>
        </w:rPr>
      </w:pPr>
      <w:r w:rsidRPr="006F72FF">
        <w:rPr>
          <w:rStyle w:val="FootnoteReference"/>
          <w:sz w:val="16"/>
          <w:szCs w:val="16"/>
        </w:rPr>
        <w:footnoteRef/>
      </w:r>
      <w:r w:rsidRPr="006F72FF">
        <w:rPr>
          <w:rStyle w:val="a1"/>
          <w:sz w:val="16"/>
          <w:szCs w:val="16"/>
        </w:rPr>
        <w:t xml:space="preserve"> </w:t>
      </w:r>
      <w:r w:rsidRPr="006F72FF">
        <w:rPr>
          <w:rStyle w:val="a1"/>
          <w:sz w:val="16"/>
          <w:szCs w:val="16"/>
        </w:rPr>
        <w:t>Столична община прие Стратегия за адаптация към климатичните промени, 2016г. https://www.sofia.bg/documents/20182/4083914/</w:t>
      </w:r>
    </w:p>
  </w:footnote>
  <w:footnote w:id="18">
    <w:p w14:paraId="4F9D5194" w14:textId="18B90795" w:rsidR="00607F56" w:rsidRPr="006F72FF" w:rsidRDefault="00607F56">
      <w:pPr>
        <w:pStyle w:val="aa"/>
        <w:rPr>
          <w:sz w:val="16"/>
          <w:szCs w:val="16"/>
        </w:rPr>
      </w:pPr>
      <w:r w:rsidRPr="006F72FF">
        <w:rPr>
          <w:rStyle w:val="FootnoteReference"/>
          <w:sz w:val="16"/>
          <w:szCs w:val="16"/>
        </w:rPr>
        <w:footnoteRef/>
      </w:r>
      <w:r w:rsidRPr="006F72FF">
        <w:rPr>
          <w:sz w:val="16"/>
          <w:szCs w:val="16"/>
        </w:rPr>
        <w:t xml:space="preserve"> </w:t>
      </w:r>
      <w:r w:rsidRPr="006F72FF">
        <w:rPr>
          <w:sz w:val="16"/>
          <w:szCs w:val="16"/>
        </w:rPr>
        <w:t xml:space="preserve">РКООНИК е приета на21.03.1994г., влиза в сила през май 1992г.  </w:t>
      </w:r>
      <w:hyperlink r:id="rId10" w:history="1">
        <w:r w:rsidRPr="006F72FF">
          <w:rPr>
            <w:rStyle w:val="af8"/>
            <w:sz w:val="16"/>
            <w:szCs w:val="16"/>
          </w:rPr>
          <w:t>https://unfccc.int/</w:t>
        </w:r>
      </w:hyperlink>
    </w:p>
  </w:footnote>
  <w:footnote w:id="19">
    <w:p w14:paraId="43470CCE" w14:textId="04A3BDE7" w:rsidR="00607F56" w:rsidRPr="006F72FF" w:rsidRDefault="00607F56" w:rsidP="006F72FF">
      <w:pPr>
        <w:pStyle w:val="a0"/>
        <w:widowControl w:val="0"/>
        <w:rPr>
          <w:sz w:val="16"/>
          <w:szCs w:val="16"/>
        </w:rPr>
      </w:pPr>
      <w:r w:rsidRPr="006F72FF">
        <w:rPr>
          <w:rStyle w:val="FootnoteReference"/>
          <w:sz w:val="16"/>
          <w:szCs w:val="16"/>
        </w:rPr>
        <w:footnoteRef/>
      </w:r>
      <w:r w:rsidRPr="006F72FF">
        <w:rPr>
          <w:sz w:val="16"/>
          <w:szCs w:val="16"/>
        </w:rPr>
        <w:t xml:space="preserve"> </w:t>
      </w:r>
      <w:r w:rsidRPr="006F72FF">
        <w:rPr>
          <w:rStyle w:val="a1"/>
          <w:rFonts w:eastAsia="MS Mincho"/>
          <w:sz w:val="16"/>
          <w:szCs w:val="16"/>
          <w:lang w:eastAsia="ja-JP"/>
        </w:rPr>
        <w:t>Рамкова конвенция на Организацията на обединените нации по изменение на климата</w:t>
      </w:r>
      <w:r w:rsidRPr="006F72FF">
        <w:rPr>
          <w:rStyle w:val="a1"/>
          <w:rFonts w:eastAsia="MS Mincho"/>
          <w:sz w:val="16"/>
          <w:szCs w:val="16"/>
          <w:lang w:val="en-US" w:eastAsia="ja-JP"/>
        </w:rPr>
        <w:t xml:space="preserve"> e </w:t>
      </w:r>
      <w:r w:rsidRPr="006F72FF">
        <w:rPr>
          <w:rStyle w:val="a1"/>
          <w:rFonts w:eastAsia="MS Mincho"/>
          <w:sz w:val="16"/>
          <w:szCs w:val="16"/>
          <w:lang w:eastAsia="ja-JP"/>
        </w:rPr>
        <w:t>ратифицирана от Р България със закон, на 16.03.1995 г. (ДВ, бр. 28 от 28.03.1995 г.) ,в сила от 10.08.1995 г.</w:t>
      </w:r>
    </w:p>
  </w:footnote>
  <w:footnote w:id="20">
    <w:p w14:paraId="17C30BD6" w14:textId="77777777" w:rsidR="00607F56" w:rsidRPr="006F72FF" w:rsidRDefault="00607F56">
      <w:pPr>
        <w:pStyle w:val="aa"/>
        <w:rPr>
          <w:sz w:val="16"/>
          <w:szCs w:val="16"/>
        </w:rPr>
      </w:pPr>
      <w:r w:rsidRPr="006F72FF">
        <w:rPr>
          <w:rStyle w:val="FootnoteReference"/>
          <w:sz w:val="16"/>
          <w:szCs w:val="16"/>
        </w:rPr>
        <w:footnoteRef/>
      </w:r>
      <w:r w:rsidRPr="006F72FF">
        <w:rPr>
          <w:sz w:val="16"/>
          <w:szCs w:val="16"/>
        </w:rPr>
        <w:t xml:space="preserve"> </w:t>
      </w:r>
      <w:r w:rsidRPr="006F72FF">
        <w:rPr>
          <w:sz w:val="16"/>
          <w:szCs w:val="16"/>
        </w:rPr>
        <w:t>21</w:t>
      </w:r>
      <w:r w:rsidRPr="006F72FF">
        <w:rPr>
          <w:sz w:val="16"/>
          <w:szCs w:val="16"/>
        </w:rPr>
        <w:noBreakHyphen/>
        <w:t>вата сесия на Конференцията на страните (COP 21) по Рамковата конвенция на ООН по изменение на климата (РКООНИК) и 11</w:t>
      </w:r>
      <w:r w:rsidRPr="006F72FF">
        <w:rPr>
          <w:sz w:val="16"/>
          <w:szCs w:val="16"/>
        </w:rPr>
        <w:noBreakHyphen/>
        <w:t>ата сесия на Срещата на страните по Протокола от Киото (CMP 11).</w:t>
      </w:r>
    </w:p>
  </w:footnote>
  <w:footnote w:id="21">
    <w:p w14:paraId="30A9D1C8" w14:textId="77777777" w:rsidR="00607F56" w:rsidRDefault="00607F56">
      <w:pPr>
        <w:pStyle w:val="aa"/>
      </w:pPr>
      <w:r w:rsidRPr="006F72FF">
        <w:rPr>
          <w:rStyle w:val="FootnoteReference"/>
          <w:sz w:val="16"/>
          <w:szCs w:val="16"/>
        </w:rPr>
        <w:footnoteRef/>
      </w:r>
      <w:r w:rsidRPr="006F72FF">
        <w:rPr>
          <w:sz w:val="16"/>
          <w:szCs w:val="16"/>
        </w:rPr>
        <w:t xml:space="preserve"> </w:t>
      </w:r>
      <w:r w:rsidRPr="006F72FF">
        <w:rPr>
          <w:sz w:val="16"/>
          <w:szCs w:val="16"/>
        </w:rPr>
        <w:t>https://unfccc.int/process/the-paris-agreement/what-is-the-paris-agreement</w:t>
      </w:r>
    </w:p>
  </w:footnote>
  <w:footnote w:id="22">
    <w:p w14:paraId="7DE1B29B" w14:textId="77777777" w:rsidR="00607F56" w:rsidRPr="006F72FF" w:rsidRDefault="00607F56">
      <w:pPr>
        <w:pStyle w:val="aa"/>
        <w:rPr>
          <w:sz w:val="16"/>
          <w:szCs w:val="16"/>
        </w:rPr>
      </w:pPr>
      <w:r>
        <w:rPr>
          <w:rStyle w:val="FootnoteReference"/>
        </w:rPr>
        <w:footnoteRef/>
      </w:r>
      <w:r>
        <w:rPr>
          <w:rStyle w:val="a1"/>
          <w:sz w:val="18"/>
          <w:szCs w:val="18"/>
        </w:rPr>
        <w:t xml:space="preserve"> </w:t>
      </w:r>
      <w:r w:rsidRPr="006F72FF">
        <w:rPr>
          <w:rStyle w:val="a1"/>
          <w:color w:val="444444"/>
          <w:sz w:val="16"/>
          <w:szCs w:val="16"/>
          <w:shd w:val="clear" w:color="auto" w:fill="FFFFFF"/>
        </w:rPr>
        <w:t>Директива 2003/87/ЕО на Европейския Парламент и на Съвета от 13 октомври 2003 година за установяване на схема за търговия с квоти за емисии на парникови газове в рамките на Общността и за изменение на Директива 96/61/ЕО на Съвета.</w:t>
      </w:r>
      <w:r w:rsidRPr="006F72FF">
        <w:rPr>
          <w:sz w:val="16"/>
          <w:szCs w:val="16"/>
        </w:rPr>
        <w:t xml:space="preserve"> </w:t>
      </w:r>
      <w:r w:rsidRPr="006F72FF">
        <w:rPr>
          <w:rStyle w:val="a1"/>
          <w:color w:val="444444"/>
          <w:sz w:val="16"/>
          <w:szCs w:val="16"/>
          <w:shd w:val="clear" w:color="auto" w:fill="FFFFFF"/>
        </w:rPr>
        <w:t>https://eur-lex.europa.eu/legal-content/BG/TXT/?uri=CELEX:32003L0087</w:t>
      </w:r>
    </w:p>
  </w:footnote>
  <w:footnote w:id="23">
    <w:p w14:paraId="568DD30D" w14:textId="77777777" w:rsidR="00607F56" w:rsidRDefault="00607F56">
      <w:pPr>
        <w:pStyle w:val="aa"/>
      </w:pPr>
      <w:r w:rsidRPr="006F72FF">
        <w:rPr>
          <w:rStyle w:val="FootnoteReference"/>
          <w:sz w:val="16"/>
          <w:szCs w:val="16"/>
        </w:rPr>
        <w:footnoteRef/>
      </w:r>
      <w:r w:rsidRPr="006F72FF">
        <w:rPr>
          <w:sz w:val="16"/>
          <w:szCs w:val="16"/>
        </w:rPr>
        <w:t xml:space="preserve"> </w:t>
      </w:r>
      <w:r w:rsidRPr="006F72FF">
        <w:rPr>
          <w:sz w:val="16"/>
          <w:szCs w:val="16"/>
        </w:rPr>
        <w:t xml:space="preserve">Решение № 406/2009/ЕО </w:t>
      </w:r>
      <w:proofErr w:type="spellStart"/>
      <w:r w:rsidRPr="006F72FF">
        <w:rPr>
          <w:sz w:val="16"/>
          <w:szCs w:val="16"/>
        </w:rPr>
        <w:t>нa</w:t>
      </w:r>
      <w:proofErr w:type="spellEnd"/>
      <w:r w:rsidRPr="006F72FF">
        <w:rPr>
          <w:sz w:val="16"/>
          <w:szCs w:val="16"/>
        </w:rPr>
        <w:t xml:space="preserve"> Европейския парламент и на Съвета от 23 април 2009 година относно усилията на държавите – членки за намаляване на техните емисии на парникови газове, необходими за изпълнение на ангажиментите на Общността за намаляване на емисиите на парникови газове до 2020 г.</w:t>
      </w:r>
    </w:p>
  </w:footnote>
  <w:footnote w:id="24">
    <w:p w14:paraId="19E6858C" w14:textId="77777777" w:rsidR="00607F56" w:rsidRPr="006F72FF" w:rsidRDefault="00607F56">
      <w:pPr>
        <w:pStyle w:val="aa"/>
        <w:rPr>
          <w:sz w:val="16"/>
          <w:szCs w:val="16"/>
        </w:rPr>
      </w:pPr>
      <w:r>
        <w:rPr>
          <w:rStyle w:val="FootnoteReference"/>
        </w:rPr>
        <w:footnoteRef/>
      </w:r>
      <w:r>
        <w:t xml:space="preserve"> </w:t>
      </w:r>
      <w:hyperlink r:id="rId11" w:history="1">
        <w:r w:rsidRPr="006F72FF">
          <w:rPr>
            <w:rStyle w:val="a1"/>
            <w:sz w:val="16"/>
            <w:szCs w:val="16"/>
            <w:lang w:bidi="bg-BG"/>
          </w:rPr>
          <w:t>Директива 2009/28/ЕО на Европейския парламент и на Съвета за насърчаване използването на енергия от възобновяеми източници, OВ L 140, 5.6.2009 г.</w:t>
        </w:r>
      </w:hyperlink>
    </w:p>
  </w:footnote>
  <w:footnote w:id="25">
    <w:p w14:paraId="3B9E0DF2" w14:textId="77777777" w:rsidR="00607F56" w:rsidRDefault="00607F56">
      <w:pPr>
        <w:pStyle w:val="aa"/>
      </w:pPr>
      <w:r w:rsidRPr="006F72FF">
        <w:rPr>
          <w:rStyle w:val="FootnoteReference"/>
          <w:sz w:val="16"/>
          <w:szCs w:val="16"/>
        </w:rPr>
        <w:footnoteRef/>
      </w:r>
      <w:r w:rsidRPr="006F72FF">
        <w:rPr>
          <w:sz w:val="16"/>
          <w:szCs w:val="16"/>
        </w:rPr>
        <w:t xml:space="preserve"> </w:t>
      </w:r>
      <w:r w:rsidRPr="006F72FF">
        <w:rPr>
          <w:sz w:val="16"/>
          <w:szCs w:val="16"/>
        </w:rPr>
        <w:t>https://www.moew.government.bg/bg/nacionalen-plan-za-dejstvie-po-izmenenie-na-klimata/</w:t>
      </w:r>
    </w:p>
  </w:footnote>
  <w:footnote w:id="26">
    <w:p w14:paraId="3989DEB2" w14:textId="77777777" w:rsidR="00607F56" w:rsidRDefault="00607F56">
      <w:pPr>
        <w:pStyle w:val="a0"/>
      </w:pPr>
      <w:r>
        <w:rPr>
          <w:rStyle w:val="FootnoteReference"/>
        </w:rPr>
        <w:footnoteRef/>
      </w:r>
      <w:r>
        <w:t xml:space="preserve"> </w:t>
      </w:r>
      <w:proofErr w:type="spellStart"/>
      <w:r>
        <w:rPr>
          <w:rStyle w:val="a1"/>
          <w:rFonts w:eastAsia="Calibri"/>
          <w:i/>
          <w:color w:val="000000"/>
          <w:sz w:val="20"/>
          <w:szCs w:val="22"/>
          <w:lang w:eastAsia="en-US"/>
        </w:rPr>
        <w:t>Trends</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and</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projections</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in</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Europe</w:t>
      </w:r>
      <w:proofErr w:type="spellEnd"/>
      <w:r>
        <w:rPr>
          <w:rStyle w:val="a1"/>
          <w:rFonts w:eastAsia="Calibri"/>
          <w:i/>
          <w:color w:val="000000"/>
          <w:sz w:val="20"/>
          <w:szCs w:val="22"/>
          <w:lang w:eastAsia="en-US"/>
        </w:rPr>
        <w:t xml:space="preserve"> 2019 </w:t>
      </w:r>
      <w:proofErr w:type="spellStart"/>
      <w:r>
        <w:rPr>
          <w:rStyle w:val="a1"/>
          <w:rFonts w:eastAsia="Calibri"/>
          <w:i/>
          <w:color w:val="000000"/>
          <w:sz w:val="20"/>
          <w:szCs w:val="22"/>
          <w:lang w:eastAsia="en-US"/>
        </w:rPr>
        <w:t>Tracking</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progress</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towards</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Europe's</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climate</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and</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energy</w:t>
      </w:r>
      <w:proofErr w:type="spellEnd"/>
      <w:r>
        <w:rPr>
          <w:rStyle w:val="a1"/>
          <w:rFonts w:eastAsia="Calibri"/>
          <w:i/>
          <w:color w:val="000000"/>
          <w:sz w:val="20"/>
          <w:szCs w:val="22"/>
          <w:lang w:eastAsia="en-US"/>
        </w:rPr>
        <w:t xml:space="preserve"> </w:t>
      </w:r>
      <w:proofErr w:type="spellStart"/>
      <w:r>
        <w:rPr>
          <w:rStyle w:val="a1"/>
          <w:rFonts w:eastAsia="Calibri"/>
          <w:i/>
          <w:color w:val="000000"/>
          <w:sz w:val="20"/>
          <w:szCs w:val="22"/>
          <w:lang w:eastAsia="en-US"/>
        </w:rPr>
        <w:t>targets</w:t>
      </w:r>
      <w:proofErr w:type="spellEnd"/>
      <w:r>
        <w:rPr>
          <w:rStyle w:val="a1"/>
          <w:rFonts w:eastAsia="Calibri"/>
          <w:color w:val="000000"/>
          <w:sz w:val="20"/>
          <w:szCs w:val="22"/>
          <w:lang w:eastAsia="en-US"/>
        </w:rPr>
        <w:t xml:space="preserve"> Доклад на ЕАОС № 15/2019, </w:t>
      </w:r>
      <w:hyperlink r:id="rId12" w:history="1">
        <w:r>
          <w:rPr>
            <w:rStyle w:val="a1"/>
            <w:rFonts w:eastAsia="Calibri"/>
            <w:color w:val="0000FF"/>
            <w:sz w:val="20"/>
            <w:szCs w:val="22"/>
            <w:u w:val="single"/>
            <w:lang w:eastAsia="en-US"/>
          </w:rPr>
          <w:t>https://www.eea.europa.eu/publications/trends-and-projections-in-europe-1</w:t>
        </w:r>
      </w:hyperlink>
    </w:p>
    <w:p w14:paraId="79312E13" w14:textId="77777777" w:rsidR="00607F56" w:rsidRDefault="00607F56">
      <w:pPr>
        <w:pStyle w:val="aa"/>
      </w:pPr>
    </w:p>
  </w:footnote>
  <w:footnote w:id="27">
    <w:p w14:paraId="6EC17FD1" w14:textId="77777777" w:rsidR="00607F56" w:rsidRDefault="00607F56">
      <w:pPr>
        <w:pStyle w:val="aa"/>
      </w:pPr>
      <w:r>
        <w:rPr>
          <w:rStyle w:val="FootnoteReference"/>
        </w:rPr>
        <w:footnoteRef/>
      </w:r>
      <w:r>
        <w:t xml:space="preserve"> </w:t>
      </w:r>
      <w:proofErr w:type="spellStart"/>
      <w:r>
        <w:rPr>
          <w:rStyle w:val="a1"/>
          <w:rFonts w:eastAsia="Calibri"/>
          <w:i/>
          <w:color w:val="000000"/>
          <w:szCs w:val="22"/>
          <w:lang w:eastAsia="en-US"/>
        </w:rPr>
        <w:t>Country</w:t>
      </w:r>
      <w:proofErr w:type="spellEnd"/>
      <w:r>
        <w:rPr>
          <w:rStyle w:val="a1"/>
          <w:rFonts w:eastAsia="Calibri"/>
          <w:i/>
          <w:color w:val="000000"/>
          <w:szCs w:val="22"/>
          <w:lang w:eastAsia="en-US"/>
        </w:rPr>
        <w:t xml:space="preserve"> </w:t>
      </w:r>
      <w:proofErr w:type="spellStart"/>
      <w:r>
        <w:rPr>
          <w:rStyle w:val="a1"/>
          <w:rFonts w:eastAsia="Calibri"/>
          <w:i/>
          <w:color w:val="000000"/>
          <w:szCs w:val="22"/>
          <w:lang w:eastAsia="en-US"/>
        </w:rPr>
        <w:t>Profiles</w:t>
      </w:r>
      <w:proofErr w:type="spellEnd"/>
      <w:r>
        <w:rPr>
          <w:rStyle w:val="a1"/>
          <w:rFonts w:eastAsia="Calibri"/>
          <w:i/>
          <w:color w:val="000000"/>
          <w:szCs w:val="22"/>
          <w:lang w:eastAsia="en-US"/>
        </w:rPr>
        <w:t xml:space="preserve"> - </w:t>
      </w:r>
      <w:proofErr w:type="spellStart"/>
      <w:r>
        <w:rPr>
          <w:rStyle w:val="a1"/>
          <w:rFonts w:eastAsia="Calibri"/>
          <w:i/>
          <w:color w:val="000000"/>
          <w:szCs w:val="22"/>
          <w:lang w:eastAsia="en-US"/>
        </w:rPr>
        <w:t>greenhouse</w:t>
      </w:r>
      <w:proofErr w:type="spellEnd"/>
      <w:r>
        <w:rPr>
          <w:rStyle w:val="a1"/>
          <w:rFonts w:eastAsia="Calibri"/>
          <w:i/>
          <w:color w:val="000000"/>
          <w:szCs w:val="22"/>
          <w:lang w:eastAsia="en-US"/>
        </w:rPr>
        <w:t xml:space="preserve"> </w:t>
      </w:r>
      <w:proofErr w:type="spellStart"/>
      <w:r>
        <w:rPr>
          <w:rStyle w:val="a1"/>
          <w:rFonts w:eastAsia="Calibri"/>
          <w:i/>
          <w:color w:val="000000"/>
          <w:szCs w:val="22"/>
          <w:lang w:eastAsia="en-US"/>
        </w:rPr>
        <w:t>gases</w:t>
      </w:r>
      <w:proofErr w:type="spellEnd"/>
      <w:r>
        <w:rPr>
          <w:rStyle w:val="a1"/>
          <w:rFonts w:eastAsia="Calibri"/>
          <w:i/>
          <w:color w:val="000000"/>
          <w:szCs w:val="22"/>
          <w:lang w:eastAsia="en-US"/>
        </w:rPr>
        <w:t xml:space="preserve"> </w:t>
      </w:r>
      <w:proofErr w:type="spellStart"/>
      <w:r>
        <w:rPr>
          <w:rStyle w:val="a1"/>
          <w:rFonts w:eastAsia="Calibri"/>
          <w:i/>
          <w:color w:val="000000"/>
          <w:szCs w:val="22"/>
          <w:lang w:eastAsia="en-US"/>
        </w:rPr>
        <w:t>and</w:t>
      </w:r>
      <w:proofErr w:type="spellEnd"/>
      <w:r>
        <w:rPr>
          <w:rStyle w:val="a1"/>
          <w:rFonts w:eastAsia="Calibri"/>
          <w:i/>
          <w:color w:val="000000"/>
          <w:szCs w:val="22"/>
          <w:lang w:eastAsia="en-US"/>
        </w:rPr>
        <w:t xml:space="preserve"> </w:t>
      </w:r>
      <w:proofErr w:type="spellStart"/>
      <w:r>
        <w:rPr>
          <w:rStyle w:val="a1"/>
          <w:rFonts w:eastAsia="Calibri"/>
          <w:i/>
          <w:color w:val="000000"/>
          <w:szCs w:val="22"/>
          <w:lang w:eastAsia="en-US"/>
        </w:rPr>
        <w:t>energy</w:t>
      </w:r>
      <w:proofErr w:type="spellEnd"/>
      <w:r>
        <w:rPr>
          <w:rStyle w:val="a1"/>
          <w:rFonts w:eastAsia="Calibri"/>
          <w:i/>
          <w:color w:val="000000"/>
          <w:szCs w:val="22"/>
          <w:lang w:eastAsia="en-US"/>
        </w:rPr>
        <w:t xml:space="preserve"> 2019</w:t>
      </w:r>
      <w:r>
        <w:rPr>
          <w:rStyle w:val="a1"/>
          <w:rFonts w:eastAsia="Calibri"/>
          <w:color w:val="000000"/>
          <w:szCs w:val="22"/>
          <w:lang w:eastAsia="en-US"/>
        </w:rPr>
        <w:t xml:space="preserve">,  </w:t>
      </w:r>
      <w:hyperlink r:id="rId13" w:history="1">
        <w:r>
          <w:rPr>
            <w:rStyle w:val="a1"/>
            <w:rFonts w:eastAsia="Calibri"/>
            <w:color w:val="0000FF"/>
            <w:szCs w:val="22"/>
            <w:u w:val="single"/>
            <w:lang w:eastAsia="en-US"/>
          </w:rPr>
          <w:t>https://www.eea.europa.eu/themes/climate/trends-and-projections-in-europe/climate-and-energy-country-profiles</w:t>
        </w:r>
      </w:hyperlink>
    </w:p>
  </w:footnote>
  <w:footnote w:id="28">
    <w:p w14:paraId="10516AF1" w14:textId="77777777" w:rsidR="00607F56" w:rsidRDefault="00607F56">
      <w:pPr>
        <w:pStyle w:val="aa"/>
      </w:pPr>
      <w:r>
        <w:rPr>
          <w:rStyle w:val="FootnoteReference"/>
        </w:rPr>
        <w:footnoteRef/>
      </w:r>
      <w:r>
        <w:t xml:space="preserve"> </w:t>
      </w:r>
      <w:proofErr w:type="spellStart"/>
      <w:r w:rsidRPr="006F72FF">
        <w:rPr>
          <w:rStyle w:val="a1"/>
          <w:i/>
          <w:sz w:val="16"/>
          <w:szCs w:val="16"/>
        </w:rPr>
        <w:t>Country</w:t>
      </w:r>
      <w:proofErr w:type="spellEnd"/>
      <w:r w:rsidRPr="006F72FF">
        <w:rPr>
          <w:rStyle w:val="a1"/>
          <w:i/>
          <w:sz w:val="16"/>
          <w:szCs w:val="16"/>
        </w:rPr>
        <w:t xml:space="preserve"> </w:t>
      </w:r>
      <w:proofErr w:type="spellStart"/>
      <w:r w:rsidRPr="006F72FF">
        <w:rPr>
          <w:rStyle w:val="a1"/>
          <w:i/>
          <w:sz w:val="16"/>
          <w:szCs w:val="16"/>
        </w:rPr>
        <w:t>Profiles</w:t>
      </w:r>
      <w:proofErr w:type="spellEnd"/>
      <w:r w:rsidRPr="006F72FF">
        <w:rPr>
          <w:rStyle w:val="a1"/>
          <w:i/>
          <w:sz w:val="16"/>
          <w:szCs w:val="16"/>
        </w:rPr>
        <w:t xml:space="preserve"> - </w:t>
      </w:r>
      <w:proofErr w:type="spellStart"/>
      <w:r w:rsidRPr="006F72FF">
        <w:rPr>
          <w:rStyle w:val="a1"/>
          <w:i/>
          <w:sz w:val="16"/>
          <w:szCs w:val="16"/>
        </w:rPr>
        <w:t>greenhouse</w:t>
      </w:r>
      <w:proofErr w:type="spellEnd"/>
      <w:r w:rsidRPr="006F72FF">
        <w:rPr>
          <w:rStyle w:val="a1"/>
          <w:i/>
          <w:sz w:val="16"/>
          <w:szCs w:val="16"/>
        </w:rPr>
        <w:t xml:space="preserve"> </w:t>
      </w:r>
      <w:proofErr w:type="spellStart"/>
      <w:r w:rsidRPr="006F72FF">
        <w:rPr>
          <w:rStyle w:val="a1"/>
          <w:i/>
          <w:sz w:val="16"/>
          <w:szCs w:val="16"/>
        </w:rPr>
        <w:t>gases</w:t>
      </w:r>
      <w:proofErr w:type="spellEnd"/>
      <w:r w:rsidRPr="006F72FF">
        <w:rPr>
          <w:rStyle w:val="a1"/>
          <w:i/>
          <w:sz w:val="16"/>
          <w:szCs w:val="16"/>
        </w:rPr>
        <w:t xml:space="preserve"> </w:t>
      </w:r>
      <w:proofErr w:type="spellStart"/>
      <w:r w:rsidRPr="006F72FF">
        <w:rPr>
          <w:rStyle w:val="a1"/>
          <w:i/>
          <w:sz w:val="16"/>
          <w:szCs w:val="16"/>
        </w:rPr>
        <w:t>and</w:t>
      </w:r>
      <w:proofErr w:type="spellEnd"/>
      <w:r w:rsidRPr="006F72FF">
        <w:rPr>
          <w:rStyle w:val="a1"/>
          <w:i/>
          <w:sz w:val="16"/>
          <w:szCs w:val="16"/>
        </w:rPr>
        <w:t xml:space="preserve"> </w:t>
      </w:r>
      <w:proofErr w:type="spellStart"/>
      <w:r w:rsidRPr="006F72FF">
        <w:rPr>
          <w:rStyle w:val="a1"/>
          <w:i/>
          <w:sz w:val="16"/>
          <w:szCs w:val="16"/>
        </w:rPr>
        <w:t>energy</w:t>
      </w:r>
      <w:proofErr w:type="spellEnd"/>
      <w:r w:rsidRPr="006F72FF">
        <w:rPr>
          <w:rStyle w:val="a1"/>
          <w:i/>
          <w:sz w:val="16"/>
          <w:szCs w:val="16"/>
        </w:rPr>
        <w:t xml:space="preserve"> 2019</w:t>
      </w:r>
      <w:r w:rsidRPr="006F72FF">
        <w:rPr>
          <w:sz w:val="16"/>
          <w:szCs w:val="16"/>
        </w:rPr>
        <w:t xml:space="preserve">,  </w:t>
      </w:r>
      <w:hyperlink r:id="rId14" w:history="1">
        <w:r w:rsidRPr="006F72FF">
          <w:rPr>
            <w:rStyle w:val="af8"/>
            <w:sz w:val="16"/>
            <w:szCs w:val="16"/>
          </w:rPr>
          <w:t>https://www.eea.europa.eu/themes/climate/trends-and-projections-in-europe/climate-and-energy-country-profiles</w:t>
        </w:r>
      </w:hyperlink>
    </w:p>
  </w:footnote>
  <w:footnote w:id="29">
    <w:p w14:paraId="1E805653" w14:textId="77777777" w:rsidR="00607F56" w:rsidRDefault="00607F56">
      <w:pPr>
        <w:pStyle w:val="aa"/>
      </w:pPr>
      <w:r>
        <w:rPr>
          <w:rStyle w:val="FootnoteReference"/>
        </w:rPr>
        <w:footnoteRef/>
      </w:r>
      <w:r>
        <w:t xml:space="preserve"> </w:t>
      </w:r>
      <w:r>
        <w:t>https://www.ipcc.ch/report/ar5/</w:t>
      </w:r>
    </w:p>
  </w:footnote>
  <w:footnote w:id="30">
    <w:p w14:paraId="3C7C7F86" w14:textId="77777777" w:rsidR="00607F56" w:rsidRDefault="00607F56">
      <w:pPr>
        <w:pStyle w:val="myfootnotes"/>
      </w:pPr>
      <w:r>
        <w:rPr>
          <w:rStyle w:val="FootnoteReference"/>
        </w:rPr>
        <w:footnoteRef/>
      </w:r>
      <w:r>
        <w:rPr>
          <w:rStyle w:val="a1"/>
          <w:rFonts w:ascii="Times New Roman" w:hAnsi="Times New Roman" w:cs="Times New Roman"/>
          <w:sz w:val="16"/>
          <w:szCs w:val="16"/>
        </w:rPr>
        <w:tab/>
      </w:r>
      <w:r>
        <w:rPr>
          <w:rStyle w:val="a1"/>
          <w:rFonts w:ascii="Times New Roman" w:hAnsi="Times New Roman" w:cs="Times New Roman"/>
          <w:sz w:val="16"/>
          <w:szCs w:val="16"/>
        </w:rPr>
        <w:t>Данните за парниковите газове, които се публикуват в Националния доклад през 2020г. са актуални за емисиите през 2018г., т.е. с две години назад – срок, необходим за верификация на изчисленията.</w:t>
      </w:r>
    </w:p>
  </w:footnote>
  <w:footnote w:id="31">
    <w:p w14:paraId="0F351B90" w14:textId="77777777" w:rsidR="00607F56" w:rsidRDefault="00607F56">
      <w:pPr>
        <w:pStyle w:val="aa"/>
      </w:pPr>
      <w:r>
        <w:rPr>
          <w:rStyle w:val="FootnoteReference"/>
        </w:rPr>
        <w:footnoteRef/>
      </w:r>
      <w:r>
        <w:rPr>
          <w:rStyle w:val="a1"/>
          <w:sz w:val="18"/>
          <w:szCs w:val="18"/>
        </w:rPr>
        <w:t xml:space="preserve"> </w:t>
      </w:r>
      <w:r>
        <w:rPr>
          <w:rStyle w:val="a1"/>
          <w:sz w:val="18"/>
          <w:szCs w:val="18"/>
        </w:rPr>
        <w:t>https://www.mzh.government.bg/media/filer_public/2018/03/02/nacionalna-strategiya-razvitie-gorski-sektor-2013-2020.pdf</w:t>
      </w:r>
    </w:p>
  </w:footnote>
  <w:footnote w:id="32">
    <w:p w14:paraId="036F1BAA" w14:textId="77777777" w:rsidR="00607F56" w:rsidRDefault="00607F56">
      <w:pPr>
        <w:pStyle w:val="fn1"/>
      </w:pPr>
      <w:r>
        <w:rPr>
          <w:rStyle w:val="FootnoteReference"/>
        </w:rPr>
        <w:footnoteRef/>
      </w:r>
      <w:r>
        <w:rPr>
          <w:rStyle w:val="a1"/>
          <w:rFonts w:ascii="Times New Roman" w:hAnsi="Times New Roman"/>
          <w:color w:val="auto"/>
          <w:sz w:val="16"/>
          <w:szCs w:val="16"/>
        </w:rPr>
        <w:t xml:space="preserve"> </w:t>
      </w:r>
      <w:r>
        <w:rPr>
          <w:rStyle w:val="a1"/>
          <w:rFonts w:ascii="Times New Roman" w:hAnsi="Times New Roman"/>
          <w:color w:val="auto"/>
          <w:sz w:val="16"/>
          <w:szCs w:val="16"/>
        </w:rPr>
        <w:t xml:space="preserve">Представената информация е по данни от Общите енергийни баланси на НСИ за 2017 г. 2018 г., SHARES </w:t>
      </w:r>
      <w:proofErr w:type="spellStart"/>
      <w:r>
        <w:rPr>
          <w:rStyle w:val="a1"/>
          <w:rFonts w:ascii="Times New Roman" w:hAnsi="Times New Roman"/>
          <w:color w:val="auto"/>
          <w:sz w:val="16"/>
          <w:szCs w:val="16"/>
        </w:rPr>
        <w:t>tool</w:t>
      </w:r>
      <w:proofErr w:type="spellEnd"/>
      <w:r>
        <w:rPr>
          <w:rStyle w:val="a1"/>
          <w:rFonts w:ascii="Times New Roman" w:hAnsi="Times New Roman"/>
          <w:color w:val="auto"/>
          <w:sz w:val="16"/>
          <w:szCs w:val="16"/>
        </w:rPr>
        <w:t xml:space="preserve"> 2018, </w:t>
      </w:r>
      <w:proofErr w:type="spellStart"/>
      <w:r>
        <w:rPr>
          <w:rStyle w:val="a1"/>
          <w:rFonts w:ascii="Times New Roman" w:hAnsi="Times New Roman"/>
          <w:color w:val="auto"/>
          <w:sz w:val="16"/>
          <w:szCs w:val="16"/>
        </w:rPr>
        <w:t>Eurostat</w:t>
      </w:r>
      <w:proofErr w:type="spellEnd"/>
      <w:r>
        <w:rPr>
          <w:rStyle w:val="a1"/>
          <w:rFonts w:ascii="Times New Roman" w:hAnsi="Times New Roman"/>
          <w:color w:val="auto"/>
          <w:sz w:val="16"/>
          <w:szCs w:val="16"/>
        </w:rPr>
        <w:t xml:space="preserve"> и Интегрирания план в областта на енергетиката и климата на Република България 2021-2030 г., приет от МС през м. февруари 2020 г.</w:t>
      </w:r>
    </w:p>
  </w:footnote>
  <w:footnote w:id="33">
    <w:p w14:paraId="5884ECA6" w14:textId="77777777" w:rsidR="00607F56" w:rsidRPr="002E54A0" w:rsidRDefault="00607F56" w:rsidP="002E54A0">
      <w:pPr>
        <w:pStyle w:val="fn1"/>
        <w:rPr>
          <w:rFonts w:ascii="Times New Roman" w:hAnsi="Times New Roman"/>
          <w:sz w:val="16"/>
          <w:szCs w:val="16"/>
        </w:rPr>
      </w:pPr>
      <w:r w:rsidRPr="002E54A0">
        <w:rPr>
          <w:rStyle w:val="FootnoteReference"/>
          <w:rFonts w:ascii="Times New Roman" w:hAnsi="Times New Roman"/>
          <w:sz w:val="16"/>
          <w:szCs w:val="16"/>
        </w:rPr>
        <w:footnoteRef/>
      </w:r>
      <w:r w:rsidRPr="002E54A0">
        <w:rPr>
          <w:rStyle w:val="a1"/>
          <w:rFonts w:ascii="Times New Roman" w:hAnsi="Times New Roman"/>
          <w:sz w:val="16"/>
          <w:szCs w:val="16"/>
        </w:rPr>
        <w:t xml:space="preserve"> </w:t>
      </w:r>
      <w:r w:rsidRPr="002E54A0">
        <w:rPr>
          <w:rFonts w:ascii="Times New Roman" w:hAnsi="Times New Roman"/>
          <w:sz w:val="16"/>
          <w:szCs w:val="16"/>
        </w:rPr>
        <w:t xml:space="preserve">Приложен е  модел на ЕАОС от </w:t>
      </w:r>
      <w:r w:rsidRPr="002E54A0">
        <w:rPr>
          <w:rStyle w:val="a1"/>
          <w:rFonts w:ascii="Times New Roman" w:eastAsia="Calibri" w:hAnsi="Times New Roman"/>
          <w:sz w:val="16"/>
          <w:szCs w:val="16"/>
        </w:rPr>
        <w:t>Доклад „Околна среда в Европа – състояние и перспективи 2020г.“</w:t>
      </w:r>
      <w:r w:rsidRPr="002E54A0">
        <w:rPr>
          <w:rStyle w:val="a1"/>
          <w:rFonts w:ascii="Times New Roman" w:hAnsi="Times New Roman"/>
          <w:sz w:val="16"/>
          <w:szCs w:val="16"/>
        </w:rPr>
        <w:t>SOER 2020, https://www.eea.europa.eu/publications/soer-2020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94F2D" w14:textId="31ABEE1D" w:rsidR="00607F56" w:rsidRDefault="00607F56" w:rsidP="00607F56">
    <w:pPr>
      <w:tabs>
        <w:tab w:val="left" w:pos="2618"/>
        <w:tab w:val="left" w:pos="4376"/>
        <w:tab w:val="center" w:pos="4680"/>
        <w:tab w:val="right" w:pos="9360"/>
      </w:tabs>
      <w:spacing w:after="0" w:line="240" w:lineRule="auto"/>
      <w:rPr>
        <w:b/>
        <w:lang w:eastAsia="bg-BG"/>
      </w:rPr>
    </w:pPr>
    <w:r>
      <w:rPr>
        <w:noProof/>
        <w:lang w:val="en-GB" w:eastAsia="en-GB"/>
      </w:rPr>
      <w:drawing>
        <wp:inline distT="0" distB="0" distL="0" distR="0" wp14:anchorId="4E2BEF1D" wp14:editId="4E5BC546">
          <wp:extent cx="1874520" cy="78486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4520" cy="784860"/>
                  </a:xfrm>
                  <a:prstGeom prst="rect">
                    <a:avLst/>
                  </a:prstGeom>
                  <a:noFill/>
                  <a:ln>
                    <a:noFill/>
                  </a:ln>
                </pic:spPr>
              </pic:pic>
            </a:graphicData>
          </a:graphic>
        </wp:inline>
      </w:drawing>
    </w:r>
    <w:r>
      <w:rPr>
        <w:b/>
        <w:lang w:eastAsia="bg-BG"/>
      </w:rPr>
      <w:tab/>
    </w:r>
    <w:r>
      <w:rPr>
        <w:b/>
        <w:lang w:eastAsia="bg-BG"/>
      </w:rPr>
      <w:tab/>
    </w:r>
    <w:r>
      <w:rPr>
        <w:b/>
        <w:lang w:eastAsia="bg-BG"/>
      </w:rPr>
      <w:tab/>
    </w:r>
    <w:r>
      <w:rPr>
        <w:noProof/>
        <w:lang w:val="en-GB" w:eastAsia="en-GB"/>
      </w:rPr>
      <w:drawing>
        <wp:inline distT="0" distB="0" distL="0" distR="0" wp14:anchorId="06811257" wp14:editId="171BA5B2">
          <wp:extent cx="1927860" cy="876300"/>
          <wp:effectExtent l="0" t="0" r="0" b="0"/>
          <wp:docPr id="61" name="Picture 61" descr="logo-bg-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bg-right"/>
                  <pic:cNvPicPr>
                    <a:picLocks noChangeAspect="1" noChangeArrowheads="1"/>
                  </pic:cNvPicPr>
                </pic:nvPicPr>
                <pic:blipFill>
                  <a:blip r:embed="rId2">
                    <a:extLst>
                      <a:ext uri="{28A0092B-C50C-407E-A947-70E740481C1C}">
                        <a14:useLocalDpi xmlns:a14="http://schemas.microsoft.com/office/drawing/2010/main" val="0"/>
                      </a:ext>
                    </a:extLst>
                  </a:blip>
                  <a:srcRect r="7172"/>
                  <a:stretch>
                    <a:fillRect/>
                  </a:stretch>
                </pic:blipFill>
                <pic:spPr bwMode="auto">
                  <a:xfrm>
                    <a:off x="0" y="0"/>
                    <a:ext cx="1927860" cy="876300"/>
                  </a:xfrm>
                  <a:prstGeom prst="rect">
                    <a:avLst/>
                  </a:prstGeom>
                  <a:noFill/>
                  <a:ln>
                    <a:noFill/>
                  </a:ln>
                </pic:spPr>
              </pic:pic>
            </a:graphicData>
          </a:graphic>
        </wp:inline>
      </w:drawing>
    </w:r>
  </w:p>
  <w:p w14:paraId="1CD1EBDA" w14:textId="77777777" w:rsidR="00607F56" w:rsidRDefault="00607F5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916DD"/>
    <w:multiLevelType w:val="multilevel"/>
    <w:tmpl w:val="8E362242"/>
    <w:styleLink w:val="WWOutlineListStyle2"/>
    <w:lvl w:ilvl="0">
      <w:start w:val="1"/>
      <w:numFmt w:val="upperRoman"/>
      <w:lvlText w:val="%1."/>
      <w:lvlJc w:val="right"/>
      <w:pPr>
        <w:ind w:left="720" w:hanging="360"/>
      </w:pPr>
    </w:lvl>
    <w:lvl w:ilvl="1">
      <w:start w:val="1"/>
      <w:numFmt w:val="decimal"/>
      <w:lvlText w:val="%1.%2."/>
      <w:lvlJc w:val="left"/>
      <w:pPr>
        <w:ind w:left="780" w:hanging="420"/>
      </w:pPr>
      <w:rPr>
        <w:color w:val="70AD47"/>
      </w:r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 w15:restartNumberingAfterBreak="0">
    <w:nsid w:val="073952A9"/>
    <w:multiLevelType w:val="multilevel"/>
    <w:tmpl w:val="E61C6E24"/>
    <w:styleLink w:val="ImportedStyle1"/>
    <w:lvl w:ilvl="0">
      <w:start w:val="1"/>
      <w:numFmt w:val="decimal"/>
      <w:lvlText w:val="%1."/>
      <w:lvlJc w:val="left"/>
      <w:pPr>
        <w:ind w:left="431" w:hanging="431"/>
      </w:pPr>
      <w:rPr>
        <w:b/>
        <w:bCs/>
        <w:caps w:val="0"/>
        <w:smallCaps w:val="0"/>
        <w:strike w:val="0"/>
        <w:dstrike w:val="0"/>
        <w:color w:val="000000"/>
        <w:spacing w:val="0"/>
        <w:w w:val="100"/>
        <w:kern w:val="0"/>
        <w:position w:val="0"/>
        <w:shd w:val="clear" w:color="auto" w:fill="auto"/>
        <w:vertAlign w:val="baseline"/>
      </w:rPr>
    </w:lvl>
    <w:lvl w:ilvl="1">
      <w:start w:val="1"/>
      <w:numFmt w:val="decimal"/>
      <w:lvlText w:val="%1.%2."/>
      <w:lvlJc w:val="left"/>
      <w:pPr>
        <w:ind w:left="578" w:hanging="578"/>
      </w:pPr>
      <w:rPr>
        <w:b/>
        <w:bCs/>
        <w:caps w:val="0"/>
        <w:smallCaps w:val="0"/>
        <w:strike w:val="0"/>
        <w:dstrike w:val="0"/>
        <w:color w:val="000000"/>
        <w:spacing w:val="0"/>
        <w:w w:val="100"/>
        <w:kern w:val="0"/>
        <w:position w:val="0"/>
        <w:shd w:val="clear" w:color="auto" w:fill="auto"/>
        <w:vertAlign w:val="baseline"/>
      </w:rPr>
    </w:lvl>
    <w:lvl w:ilvl="2">
      <w:start w:val="1"/>
      <w:numFmt w:val="decimal"/>
      <w:lvlText w:val="%1.%2.%3."/>
      <w:lvlJc w:val="left"/>
      <w:pPr>
        <w:ind w:left="720" w:hanging="720"/>
      </w:pPr>
      <w:rPr>
        <w:b/>
        <w:bCs/>
        <w:i/>
        <w:iCs/>
        <w:caps w:val="0"/>
        <w:smallCaps w:val="0"/>
        <w:strike w:val="0"/>
        <w:dstrike w:val="0"/>
        <w:color w:val="000000"/>
        <w:spacing w:val="0"/>
        <w:w w:val="100"/>
        <w:kern w:val="0"/>
        <w:position w:val="0"/>
        <w:shd w:val="clear" w:color="auto" w:fill="auto"/>
        <w:vertAlign w:val="baseline"/>
      </w:rPr>
    </w:lvl>
    <w:lvl w:ilvl="3">
      <w:start w:val="1"/>
      <w:numFmt w:val="decimal"/>
      <w:lvlText w:val="%1.%2.%3.%4."/>
      <w:lvlJc w:val="left"/>
      <w:pPr>
        <w:ind w:left="864" w:hanging="864"/>
      </w:pPr>
      <w:rPr>
        <w:b/>
        <w:bCs/>
        <w:i/>
        <w:iCs/>
        <w:caps w:val="0"/>
        <w:smallCaps w:val="0"/>
        <w:strike w:val="0"/>
        <w:dstrike w:val="0"/>
        <w:color w:val="000000"/>
        <w:spacing w:val="0"/>
        <w:w w:val="100"/>
        <w:kern w:val="0"/>
        <w:position w:val="0"/>
        <w:shd w:val="clear" w:color="auto" w:fill="auto"/>
        <w:vertAlign w:val="baseline"/>
      </w:rPr>
    </w:lvl>
    <w:lvl w:ilvl="4">
      <w:start w:val="1"/>
      <w:numFmt w:val="decimal"/>
      <w:lvlText w:val="%1.%2.%3.%4.%5."/>
      <w:lvlJc w:val="left"/>
      <w:pPr>
        <w:ind w:left="1008" w:hanging="1008"/>
      </w:pPr>
      <w:rPr>
        <w:b/>
        <w:bCs/>
        <w:i/>
        <w:iCs/>
        <w:caps w:val="0"/>
        <w:smallCaps w:val="0"/>
        <w:strike w:val="0"/>
        <w:dstrike w:val="0"/>
        <w:color w:val="000000"/>
        <w:spacing w:val="0"/>
        <w:w w:val="100"/>
        <w:kern w:val="0"/>
        <w:position w:val="0"/>
        <w:shd w:val="clear" w:color="auto" w:fill="auto"/>
        <w:vertAlign w:val="baseline"/>
      </w:rPr>
    </w:lvl>
    <w:lvl w:ilvl="5">
      <w:start w:val="1"/>
      <w:numFmt w:val="decimal"/>
      <w:lvlText w:val="%1.%2.%3.%4.%5.%6."/>
      <w:lvlJc w:val="left"/>
      <w:pPr>
        <w:ind w:left="1152" w:hanging="1152"/>
      </w:pPr>
      <w:rPr>
        <w:b/>
        <w:bCs/>
        <w:i/>
        <w:iCs/>
        <w:caps w:val="0"/>
        <w:smallCaps w:val="0"/>
        <w:strike w:val="0"/>
        <w:dstrike w:val="0"/>
        <w:color w:val="000000"/>
        <w:spacing w:val="0"/>
        <w:w w:val="100"/>
        <w:kern w:val="0"/>
        <w:position w:val="0"/>
        <w:shd w:val="clear" w:color="auto" w:fill="auto"/>
        <w:vertAlign w:val="baseline"/>
      </w:rPr>
    </w:lvl>
    <w:lvl w:ilvl="6">
      <w:start w:val="1"/>
      <w:numFmt w:val="decimal"/>
      <w:lvlText w:val="%1.%2.%3.%4.%5.%6.%7."/>
      <w:lvlJc w:val="left"/>
      <w:pPr>
        <w:ind w:left="1296" w:hanging="1296"/>
      </w:pPr>
      <w:rPr>
        <w:b/>
        <w:bCs/>
        <w:i/>
        <w:iCs/>
        <w:caps w:val="0"/>
        <w:smallCaps w:val="0"/>
        <w:strike w:val="0"/>
        <w:dstrike w:val="0"/>
        <w:color w:val="000000"/>
        <w:spacing w:val="0"/>
        <w:w w:val="100"/>
        <w:kern w:val="0"/>
        <w:position w:val="0"/>
        <w:shd w:val="clear" w:color="auto" w:fill="auto"/>
        <w:vertAlign w:val="baseline"/>
      </w:rPr>
    </w:lvl>
    <w:lvl w:ilvl="7">
      <w:start w:val="1"/>
      <w:numFmt w:val="decimal"/>
      <w:lvlText w:val="%1.%2.%3.%4.%5.%6.%7.%8."/>
      <w:lvlJc w:val="left"/>
      <w:pPr>
        <w:ind w:left="1440" w:hanging="1440"/>
      </w:pPr>
      <w:rPr>
        <w:b/>
        <w:bCs/>
        <w:i/>
        <w:iCs/>
        <w:caps w:val="0"/>
        <w:smallCaps w:val="0"/>
        <w:strike w:val="0"/>
        <w:dstrike w:val="0"/>
        <w:color w:val="000000"/>
        <w:spacing w:val="0"/>
        <w:w w:val="100"/>
        <w:kern w:val="0"/>
        <w:position w:val="0"/>
        <w:shd w:val="clear" w:color="auto" w:fill="auto"/>
        <w:vertAlign w:val="baseline"/>
      </w:rPr>
    </w:lvl>
    <w:lvl w:ilvl="8">
      <w:start w:val="1"/>
      <w:numFmt w:val="decimal"/>
      <w:lvlText w:val="%1.%2.%3.%4.%5.%6.%7.%8.%9."/>
      <w:lvlJc w:val="left"/>
      <w:pPr>
        <w:ind w:left="1584" w:hanging="1584"/>
      </w:pPr>
      <w:rPr>
        <w:b/>
        <w:bCs/>
        <w:i/>
        <w:iCs/>
        <w:caps w:val="0"/>
        <w:smallCaps w:val="0"/>
        <w:strike w:val="0"/>
        <w:dstrike w:val="0"/>
        <w:color w:val="000000"/>
        <w:spacing w:val="0"/>
        <w:w w:val="100"/>
        <w:kern w:val="0"/>
        <w:position w:val="0"/>
        <w:shd w:val="clear" w:color="auto" w:fill="auto"/>
        <w:vertAlign w:val="baseline"/>
      </w:rPr>
    </w:lvl>
  </w:abstractNum>
  <w:abstractNum w:abstractNumId="2" w15:restartNumberingAfterBreak="0">
    <w:nsid w:val="0EE10927"/>
    <w:multiLevelType w:val="multilevel"/>
    <w:tmpl w:val="9E3623DE"/>
    <w:styleLink w:val="LFO15"/>
    <w:lvl w:ilvl="0">
      <w:numFmt w:val="bullet"/>
      <w:pStyle w:val="ListDash4Level4"/>
      <w:lvlText w:val="–"/>
      <w:lvlJc w:val="left"/>
      <w:pPr>
        <w:ind w:left="1485" w:hanging="283"/>
      </w:pPr>
      <w:rPr>
        <w:rFonts w:ascii="Times New Roman" w:hAnsi="Times New Roman"/>
      </w:rPr>
    </w:lvl>
    <w:lvl w:ilvl="1">
      <w:numFmt w:val="bullet"/>
      <w:lvlText w:val="–"/>
      <w:lvlJc w:val="left"/>
      <w:pPr>
        <w:ind w:left="1769" w:hanging="284"/>
      </w:pPr>
      <w:rPr>
        <w:rFonts w:ascii="Times New Roman" w:hAnsi="Times New Roman"/>
      </w:rPr>
    </w:lvl>
    <w:lvl w:ilvl="2">
      <w:numFmt w:val="bullet"/>
      <w:lvlText w:val="–"/>
      <w:lvlJc w:val="left"/>
      <w:pPr>
        <w:ind w:left="2052" w:hanging="283"/>
      </w:pPr>
      <w:rPr>
        <w:rFonts w:ascii="Times New Roman" w:hAnsi="Times New Roman"/>
      </w:rPr>
    </w:lvl>
    <w:lvl w:ilvl="3">
      <w:numFmt w:val="bullet"/>
      <w:lvlText w:val="–"/>
      <w:lvlJc w:val="left"/>
      <w:pPr>
        <w:ind w:left="2336" w:hanging="284"/>
      </w:pPr>
      <w:rPr>
        <w:rFonts w:ascii="Times New Roman" w:hAnsi="Times New Roman"/>
      </w:rPr>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 w15:restartNumberingAfterBreak="0">
    <w:nsid w:val="153D7B93"/>
    <w:multiLevelType w:val="multilevel"/>
    <w:tmpl w:val="0D12E0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A240239"/>
    <w:multiLevelType w:val="multilevel"/>
    <w:tmpl w:val="DA14C0B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15:restartNumberingAfterBreak="0">
    <w:nsid w:val="1AD17657"/>
    <w:multiLevelType w:val="multilevel"/>
    <w:tmpl w:val="80B41200"/>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6" w15:restartNumberingAfterBreak="0">
    <w:nsid w:val="21B606C2"/>
    <w:multiLevelType w:val="multilevel"/>
    <w:tmpl w:val="EA5EC28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26316CF0"/>
    <w:multiLevelType w:val="multilevel"/>
    <w:tmpl w:val="E1F4D77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29F13FF3"/>
    <w:multiLevelType w:val="multilevel"/>
    <w:tmpl w:val="F90AA982"/>
    <w:lvl w:ilvl="0">
      <w:numFmt w:val="bullet"/>
      <w:lvlText w:val=""/>
      <w:lvlJc w:val="left"/>
      <w:pPr>
        <w:ind w:left="1069" w:hanging="360"/>
      </w:pPr>
      <w:rPr>
        <w:rFonts w:ascii="Symbol" w:hAnsi="Symbol"/>
      </w:rPr>
    </w:lvl>
    <w:lvl w:ilvl="1">
      <w:numFmt w:val="bullet"/>
      <w:lvlText w:val="o"/>
      <w:lvlJc w:val="left"/>
      <w:pPr>
        <w:ind w:left="1789" w:hanging="360"/>
      </w:pPr>
      <w:rPr>
        <w:rFonts w:ascii="Courier New" w:hAnsi="Courier New" w:cs="Courier New"/>
      </w:rPr>
    </w:lvl>
    <w:lvl w:ilvl="2">
      <w:numFmt w:val="bullet"/>
      <w:lvlText w:val=""/>
      <w:lvlJc w:val="left"/>
      <w:pPr>
        <w:ind w:left="2509" w:hanging="360"/>
      </w:pPr>
      <w:rPr>
        <w:rFonts w:ascii="Wingdings" w:hAnsi="Wingdings"/>
      </w:rPr>
    </w:lvl>
    <w:lvl w:ilvl="3">
      <w:numFmt w:val="bullet"/>
      <w:lvlText w:val=""/>
      <w:lvlJc w:val="left"/>
      <w:pPr>
        <w:ind w:left="3229" w:hanging="360"/>
      </w:pPr>
      <w:rPr>
        <w:rFonts w:ascii="Symbol" w:hAnsi="Symbol"/>
      </w:rPr>
    </w:lvl>
    <w:lvl w:ilvl="4">
      <w:numFmt w:val="bullet"/>
      <w:lvlText w:val="o"/>
      <w:lvlJc w:val="left"/>
      <w:pPr>
        <w:ind w:left="3949" w:hanging="360"/>
      </w:pPr>
      <w:rPr>
        <w:rFonts w:ascii="Courier New" w:hAnsi="Courier New" w:cs="Courier New"/>
      </w:rPr>
    </w:lvl>
    <w:lvl w:ilvl="5">
      <w:numFmt w:val="bullet"/>
      <w:lvlText w:val=""/>
      <w:lvlJc w:val="left"/>
      <w:pPr>
        <w:ind w:left="4669" w:hanging="360"/>
      </w:pPr>
      <w:rPr>
        <w:rFonts w:ascii="Wingdings" w:hAnsi="Wingdings"/>
      </w:rPr>
    </w:lvl>
    <w:lvl w:ilvl="6">
      <w:numFmt w:val="bullet"/>
      <w:lvlText w:val=""/>
      <w:lvlJc w:val="left"/>
      <w:pPr>
        <w:ind w:left="5389" w:hanging="360"/>
      </w:pPr>
      <w:rPr>
        <w:rFonts w:ascii="Symbol" w:hAnsi="Symbol"/>
      </w:rPr>
    </w:lvl>
    <w:lvl w:ilvl="7">
      <w:numFmt w:val="bullet"/>
      <w:lvlText w:val="o"/>
      <w:lvlJc w:val="left"/>
      <w:pPr>
        <w:ind w:left="6109" w:hanging="360"/>
      </w:pPr>
      <w:rPr>
        <w:rFonts w:ascii="Courier New" w:hAnsi="Courier New" w:cs="Courier New"/>
      </w:rPr>
    </w:lvl>
    <w:lvl w:ilvl="8">
      <w:numFmt w:val="bullet"/>
      <w:lvlText w:val=""/>
      <w:lvlJc w:val="left"/>
      <w:pPr>
        <w:ind w:left="6829" w:hanging="360"/>
      </w:pPr>
      <w:rPr>
        <w:rFonts w:ascii="Wingdings" w:hAnsi="Wingdings"/>
      </w:rPr>
    </w:lvl>
  </w:abstractNum>
  <w:abstractNum w:abstractNumId="9" w15:restartNumberingAfterBreak="0">
    <w:nsid w:val="30514F6A"/>
    <w:multiLevelType w:val="multilevel"/>
    <w:tmpl w:val="A5DC8680"/>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10" w15:restartNumberingAfterBreak="0">
    <w:nsid w:val="359D186A"/>
    <w:multiLevelType w:val="multilevel"/>
    <w:tmpl w:val="A06A989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374D5411"/>
    <w:multiLevelType w:val="multilevel"/>
    <w:tmpl w:val="C10EB18C"/>
    <w:styleLink w:val="WWOutlineListStyle4"/>
    <w:lvl w:ilvl="0">
      <w:start w:val="1"/>
      <w:numFmt w:val="upperRoman"/>
      <w:pStyle w:val="Heading11"/>
      <w:lvlText w:val="%1."/>
      <w:lvlJc w:val="right"/>
      <w:pPr>
        <w:ind w:left="720" w:hanging="360"/>
      </w:pPr>
    </w:lvl>
    <w:lvl w:ilvl="1">
      <w:start w:val="1"/>
      <w:numFmt w:val="decimal"/>
      <w:pStyle w:val="Heading21"/>
      <w:lvlText w:val="%1.%2."/>
      <w:lvlJc w:val="left"/>
      <w:pPr>
        <w:ind w:left="780" w:hanging="420"/>
      </w:pPr>
      <w:rPr>
        <w:color w:val="70AD47"/>
      </w:r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 w15:restartNumberingAfterBreak="0">
    <w:nsid w:val="39553D99"/>
    <w:multiLevelType w:val="multilevel"/>
    <w:tmpl w:val="C9A8DBE0"/>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13" w15:restartNumberingAfterBreak="0">
    <w:nsid w:val="3B7D57F9"/>
    <w:multiLevelType w:val="multilevel"/>
    <w:tmpl w:val="8AB024E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479271F6"/>
    <w:multiLevelType w:val="multilevel"/>
    <w:tmpl w:val="788277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 w15:restartNumberingAfterBreak="0">
    <w:nsid w:val="4ECC36E6"/>
    <w:multiLevelType w:val="multilevel"/>
    <w:tmpl w:val="9F9CC542"/>
    <w:styleLink w:val="WWOutlineListStyle"/>
    <w:lvl w:ilvl="0">
      <w:start w:val="1"/>
      <w:numFmt w:val="upperRoman"/>
      <w:lvlText w:val="%1."/>
      <w:lvlJc w:val="right"/>
      <w:pPr>
        <w:ind w:left="720" w:hanging="360"/>
      </w:pPr>
    </w:lvl>
    <w:lvl w:ilvl="1">
      <w:start w:val="1"/>
      <w:numFmt w:val="decimal"/>
      <w:lvlText w:val="%1.%2."/>
      <w:lvlJc w:val="left"/>
      <w:pPr>
        <w:ind w:left="780" w:hanging="420"/>
      </w:pPr>
      <w:rPr>
        <w:color w:val="70AD47"/>
      </w:r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6" w15:restartNumberingAfterBreak="0">
    <w:nsid w:val="4ED332F0"/>
    <w:multiLevelType w:val="multilevel"/>
    <w:tmpl w:val="B2DE808A"/>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17" w15:restartNumberingAfterBreak="0">
    <w:nsid w:val="518C230A"/>
    <w:multiLevelType w:val="multilevel"/>
    <w:tmpl w:val="F9DCEE40"/>
    <w:styleLink w:val="WWOutlineListStyle1"/>
    <w:lvl w:ilvl="0">
      <w:start w:val="1"/>
      <w:numFmt w:val="upperRoman"/>
      <w:lvlText w:val="%1."/>
      <w:lvlJc w:val="right"/>
      <w:pPr>
        <w:ind w:left="720" w:hanging="360"/>
      </w:pPr>
    </w:lvl>
    <w:lvl w:ilvl="1">
      <w:start w:val="1"/>
      <w:numFmt w:val="decimal"/>
      <w:lvlText w:val="%1.%2."/>
      <w:lvlJc w:val="left"/>
      <w:pPr>
        <w:ind w:left="780" w:hanging="420"/>
      </w:pPr>
      <w:rPr>
        <w:color w:val="70AD47"/>
      </w:r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8" w15:restartNumberingAfterBreak="0">
    <w:nsid w:val="56E604ED"/>
    <w:multiLevelType w:val="multilevel"/>
    <w:tmpl w:val="4F7EF75A"/>
    <w:lvl w:ilvl="0">
      <w:numFmt w:val="bullet"/>
      <w:lvlText w:val=""/>
      <w:lvlJc w:val="left"/>
      <w:pPr>
        <w:ind w:left="778" w:hanging="360"/>
      </w:pPr>
      <w:rPr>
        <w:rFonts w:ascii="Symbol" w:hAnsi="Symbol"/>
      </w:rPr>
    </w:lvl>
    <w:lvl w:ilvl="1">
      <w:numFmt w:val="bullet"/>
      <w:lvlText w:val="o"/>
      <w:lvlJc w:val="left"/>
      <w:pPr>
        <w:ind w:left="1498" w:hanging="360"/>
      </w:pPr>
      <w:rPr>
        <w:rFonts w:ascii="Courier New" w:hAnsi="Courier New" w:cs="Courier New"/>
      </w:rPr>
    </w:lvl>
    <w:lvl w:ilvl="2">
      <w:numFmt w:val="bullet"/>
      <w:lvlText w:val=""/>
      <w:lvlJc w:val="left"/>
      <w:pPr>
        <w:ind w:left="2218" w:hanging="360"/>
      </w:pPr>
      <w:rPr>
        <w:rFonts w:ascii="Wingdings" w:hAnsi="Wingdings"/>
      </w:rPr>
    </w:lvl>
    <w:lvl w:ilvl="3">
      <w:numFmt w:val="bullet"/>
      <w:lvlText w:val=""/>
      <w:lvlJc w:val="left"/>
      <w:pPr>
        <w:ind w:left="2938" w:hanging="360"/>
      </w:pPr>
      <w:rPr>
        <w:rFonts w:ascii="Symbol" w:hAnsi="Symbol"/>
      </w:rPr>
    </w:lvl>
    <w:lvl w:ilvl="4">
      <w:numFmt w:val="bullet"/>
      <w:lvlText w:val="o"/>
      <w:lvlJc w:val="left"/>
      <w:pPr>
        <w:ind w:left="3658" w:hanging="360"/>
      </w:pPr>
      <w:rPr>
        <w:rFonts w:ascii="Courier New" w:hAnsi="Courier New" w:cs="Courier New"/>
      </w:rPr>
    </w:lvl>
    <w:lvl w:ilvl="5">
      <w:numFmt w:val="bullet"/>
      <w:lvlText w:val=""/>
      <w:lvlJc w:val="left"/>
      <w:pPr>
        <w:ind w:left="4378" w:hanging="360"/>
      </w:pPr>
      <w:rPr>
        <w:rFonts w:ascii="Wingdings" w:hAnsi="Wingdings"/>
      </w:rPr>
    </w:lvl>
    <w:lvl w:ilvl="6">
      <w:numFmt w:val="bullet"/>
      <w:lvlText w:val=""/>
      <w:lvlJc w:val="left"/>
      <w:pPr>
        <w:ind w:left="5098" w:hanging="360"/>
      </w:pPr>
      <w:rPr>
        <w:rFonts w:ascii="Symbol" w:hAnsi="Symbol"/>
      </w:rPr>
    </w:lvl>
    <w:lvl w:ilvl="7">
      <w:numFmt w:val="bullet"/>
      <w:lvlText w:val="o"/>
      <w:lvlJc w:val="left"/>
      <w:pPr>
        <w:ind w:left="5818" w:hanging="360"/>
      </w:pPr>
      <w:rPr>
        <w:rFonts w:ascii="Courier New" w:hAnsi="Courier New" w:cs="Courier New"/>
      </w:rPr>
    </w:lvl>
    <w:lvl w:ilvl="8">
      <w:numFmt w:val="bullet"/>
      <w:lvlText w:val=""/>
      <w:lvlJc w:val="left"/>
      <w:pPr>
        <w:ind w:left="6538" w:hanging="360"/>
      </w:pPr>
      <w:rPr>
        <w:rFonts w:ascii="Wingdings" w:hAnsi="Wingdings"/>
      </w:rPr>
    </w:lvl>
  </w:abstractNum>
  <w:abstractNum w:abstractNumId="19" w15:restartNumberingAfterBreak="0">
    <w:nsid w:val="62DF54E2"/>
    <w:multiLevelType w:val="multilevel"/>
    <w:tmpl w:val="708294BC"/>
    <w:lvl w:ilvl="0">
      <w:numFmt w:val="bullet"/>
      <w:lvlText w:val=""/>
      <w:lvlJc w:val="left"/>
      <w:pPr>
        <w:ind w:left="1069" w:hanging="360"/>
      </w:pPr>
      <w:rPr>
        <w:rFonts w:ascii="Symbol" w:hAnsi="Symbol"/>
      </w:rPr>
    </w:lvl>
    <w:lvl w:ilvl="1">
      <w:numFmt w:val="bullet"/>
      <w:lvlText w:val="o"/>
      <w:lvlJc w:val="left"/>
      <w:pPr>
        <w:ind w:left="1789" w:hanging="360"/>
      </w:pPr>
      <w:rPr>
        <w:rFonts w:ascii="Courier New" w:hAnsi="Courier New" w:cs="Courier New"/>
      </w:rPr>
    </w:lvl>
    <w:lvl w:ilvl="2">
      <w:numFmt w:val="bullet"/>
      <w:lvlText w:val=""/>
      <w:lvlJc w:val="left"/>
      <w:pPr>
        <w:ind w:left="2509" w:hanging="360"/>
      </w:pPr>
      <w:rPr>
        <w:rFonts w:ascii="Wingdings" w:hAnsi="Wingdings"/>
      </w:rPr>
    </w:lvl>
    <w:lvl w:ilvl="3">
      <w:numFmt w:val="bullet"/>
      <w:lvlText w:val=""/>
      <w:lvlJc w:val="left"/>
      <w:pPr>
        <w:ind w:left="3229" w:hanging="360"/>
      </w:pPr>
      <w:rPr>
        <w:rFonts w:ascii="Symbol" w:hAnsi="Symbol"/>
      </w:rPr>
    </w:lvl>
    <w:lvl w:ilvl="4">
      <w:numFmt w:val="bullet"/>
      <w:lvlText w:val="o"/>
      <w:lvlJc w:val="left"/>
      <w:pPr>
        <w:ind w:left="3949" w:hanging="360"/>
      </w:pPr>
      <w:rPr>
        <w:rFonts w:ascii="Courier New" w:hAnsi="Courier New" w:cs="Courier New"/>
      </w:rPr>
    </w:lvl>
    <w:lvl w:ilvl="5">
      <w:numFmt w:val="bullet"/>
      <w:lvlText w:val=""/>
      <w:lvlJc w:val="left"/>
      <w:pPr>
        <w:ind w:left="4669" w:hanging="360"/>
      </w:pPr>
      <w:rPr>
        <w:rFonts w:ascii="Wingdings" w:hAnsi="Wingdings"/>
      </w:rPr>
    </w:lvl>
    <w:lvl w:ilvl="6">
      <w:numFmt w:val="bullet"/>
      <w:lvlText w:val=""/>
      <w:lvlJc w:val="left"/>
      <w:pPr>
        <w:ind w:left="5389" w:hanging="360"/>
      </w:pPr>
      <w:rPr>
        <w:rFonts w:ascii="Symbol" w:hAnsi="Symbol"/>
      </w:rPr>
    </w:lvl>
    <w:lvl w:ilvl="7">
      <w:numFmt w:val="bullet"/>
      <w:lvlText w:val="o"/>
      <w:lvlJc w:val="left"/>
      <w:pPr>
        <w:ind w:left="6109" w:hanging="360"/>
      </w:pPr>
      <w:rPr>
        <w:rFonts w:ascii="Courier New" w:hAnsi="Courier New" w:cs="Courier New"/>
      </w:rPr>
    </w:lvl>
    <w:lvl w:ilvl="8">
      <w:numFmt w:val="bullet"/>
      <w:lvlText w:val=""/>
      <w:lvlJc w:val="left"/>
      <w:pPr>
        <w:ind w:left="6829" w:hanging="360"/>
      </w:pPr>
      <w:rPr>
        <w:rFonts w:ascii="Wingdings" w:hAnsi="Wingdings"/>
      </w:rPr>
    </w:lvl>
  </w:abstractNum>
  <w:abstractNum w:abstractNumId="20" w15:restartNumberingAfterBreak="0">
    <w:nsid w:val="65C450D6"/>
    <w:multiLevelType w:val="multilevel"/>
    <w:tmpl w:val="D6DA2C5C"/>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21" w15:restartNumberingAfterBreak="0">
    <w:nsid w:val="6898635D"/>
    <w:multiLevelType w:val="multilevel"/>
    <w:tmpl w:val="7CE492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690947B4"/>
    <w:multiLevelType w:val="multilevel"/>
    <w:tmpl w:val="2EEC5CF2"/>
    <w:styleLink w:val="WWOutlineListStyle3"/>
    <w:lvl w:ilvl="0">
      <w:start w:val="1"/>
      <w:numFmt w:val="upperRoman"/>
      <w:lvlText w:val="%1."/>
      <w:lvlJc w:val="right"/>
      <w:pPr>
        <w:ind w:left="720" w:hanging="360"/>
      </w:pPr>
    </w:lvl>
    <w:lvl w:ilvl="1">
      <w:start w:val="1"/>
      <w:numFmt w:val="decimal"/>
      <w:lvlText w:val="%1.%2."/>
      <w:lvlJc w:val="left"/>
      <w:pPr>
        <w:ind w:left="780" w:hanging="420"/>
      </w:pPr>
      <w:rPr>
        <w:color w:val="70AD47"/>
      </w:r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 w15:restartNumberingAfterBreak="0">
    <w:nsid w:val="692A3E5D"/>
    <w:multiLevelType w:val="multilevel"/>
    <w:tmpl w:val="8A2E9CF0"/>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24" w15:restartNumberingAfterBreak="0">
    <w:nsid w:val="6E174335"/>
    <w:multiLevelType w:val="multilevel"/>
    <w:tmpl w:val="0C06A7D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5" w15:restartNumberingAfterBreak="0">
    <w:nsid w:val="76E803A6"/>
    <w:multiLevelType w:val="multilevel"/>
    <w:tmpl w:val="2A4CEC9E"/>
    <w:styleLink w:val="LFO2"/>
    <w:lvl w:ilvl="0">
      <w:numFmt w:val="bullet"/>
      <w:pStyle w:val="a"/>
      <w:lvlText w:val=""/>
      <w:lvlJc w:val="left"/>
      <w:pPr>
        <w:ind w:left="36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 w15:restartNumberingAfterBreak="0">
    <w:nsid w:val="7DDB0D1C"/>
    <w:multiLevelType w:val="multilevel"/>
    <w:tmpl w:val="3E0CB31A"/>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num w:numId="1">
    <w:abstractNumId w:val="11"/>
  </w:num>
  <w:num w:numId="2">
    <w:abstractNumId w:val="22"/>
  </w:num>
  <w:num w:numId="3">
    <w:abstractNumId w:val="0"/>
  </w:num>
  <w:num w:numId="4">
    <w:abstractNumId w:val="17"/>
  </w:num>
  <w:num w:numId="5">
    <w:abstractNumId w:val="15"/>
  </w:num>
  <w:num w:numId="6">
    <w:abstractNumId w:val="1"/>
  </w:num>
  <w:num w:numId="7">
    <w:abstractNumId w:val="25"/>
  </w:num>
  <w:num w:numId="8">
    <w:abstractNumId w:val="2"/>
  </w:num>
  <w:num w:numId="9">
    <w:abstractNumId w:val="8"/>
  </w:num>
  <w:num w:numId="10">
    <w:abstractNumId w:val="16"/>
  </w:num>
  <w:num w:numId="11">
    <w:abstractNumId w:val="18"/>
  </w:num>
  <w:num w:numId="12">
    <w:abstractNumId w:val="24"/>
  </w:num>
  <w:num w:numId="13">
    <w:abstractNumId w:val="20"/>
  </w:num>
  <w:num w:numId="14">
    <w:abstractNumId w:val="5"/>
  </w:num>
  <w:num w:numId="15">
    <w:abstractNumId w:val="26"/>
  </w:num>
  <w:num w:numId="16">
    <w:abstractNumId w:val="9"/>
  </w:num>
  <w:num w:numId="17">
    <w:abstractNumId w:val="12"/>
  </w:num>
  <w:num w:numId="18">
    <w:abstractNumId w:val="23"/>
  </w:num>
  <w:num w:numId="19">
    <w:abstractNumId w:val="4"/>
  </w:num>
  <w:num w:numId="20">
    <w:abstractNumId w:val="6"/>
  </w:num>
  <w:num w:numId="21">
    <w:abstractNumId w:val="13"/>
  </w:num>
  <w:num w:numId="22">
    <w:abstractNumId w:val="19"/>
  </w:num>
  <w:num w:numId="23">
    <w:abstractNumId w:val="10"/>
  </w:num>
  <w:num w:numId="24">
    <w:abstractNumId w:val="7"/>
  </w:num>
  <w:num w:numId="25">
    <w:abstractNumId w:val="14"/>
  </w:num>
  <w:num w:numId="26">
    <w:abstractNumId w:val="21"/>
  </w:num>
  <w:num w:numId="2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1EFF"/>
    <w:rsid w:val="000223CA"/>
    <w:rsid w:val="000374D8"/>
    <w:rsid w:val="00045B92"/>
    <w:rsid w:val="000B6889"/>
    <w:rsid w:val="000C34CE"/>
    <w:rsid w:val="000E03C5"/>
    <w:rsid w:val="0013024E"/>
    <w:rsid w:val="001345CA"/>
    <w:rsid w:val="001B4346"/>
    <w:rsid w:val="001B5283"/>
    <w:rsid w:val="00226F9D"/>
    <w:rsid w:val="002700D9"/>
    <w:rsid w:val="002D3EDD"/>
    <w:rsid w:val="002E46C4"/>
    <w:rsid w:val="002E54A0"/>
    <w:rsid w:val="003D3F7E"/>
    <w:rsid w:val="003D77A7"/>
    <w:rsid w:val="003E0B09"/>
    <w:rsid w:val="00412247"/>
    <w:rsid w:val="0042190C"/>
    <w:rsid w:val="00482CAB"/>
    <w:rsid w:val="00482CCE"/>
    <w:rsid w:val="004932F3"/>
    <w:rsid w:val="004A5DAD"/>
    <w:rsid w:val="004A7521"/>
    <w:rsid w:val="004B62DB"/>
    <w:rsid w:val="004F49F9"/>
    <w:rsid w:val="0054381A"/>
    <w:rsid w:val="005C087E"/>
    <w:rsid w:val="00607F56"/>
    <w:rsid w:val="006219BF"/>
    <w:rsid w:val="006264BE"/>
    <w:rsid w:val="0065423F"/>
    <w:rsid w:val="00676364"/>
    <w:rsid w:val="00682667"/>
    <w:rsid w:val="006A29F5"/>
    <w:rsid w:val="006C5FD5"/>
    <w:rsid w:val="006D6D46"/>
    <w:rsid w:val="006F39DB"/>
    <w:rsid w:val="006F72FF"/>
    <w:rsid w:val="00701288"/>
    <w:rsid w:val="00703167"/>
    <w:rsid w:val="0074796B"/>
    <w:rsid w:val="00755448"/>
    <w:rsid w:val="00757026"/>
    <w:rsid w:val="00781C1A"/>
    <w:rsid w:val="007A192E"/>
    <w:rsid w:val="007A513E"/>
    <w:rsid w:val="007C2C00"/>
    <w:rsid w:val="007C5265"/>
    <w:rsid w:val="007D1A72"/>
    <w:rsid w:val="008059A7"/>
    <w:rsid w:val="008945B5"/>
    <w:rsid w:val="008949C7"/>
    <w:rsid w:val="00896D13"/>
    <w:rsid w:val="008B1EFF"/>
    <w:rsid w:val="008B75C0"/>
    <w:rsid w:val="008D6C6C"/>
    <w:rsid w:val="00903A42"/>
    <w:rsid w:val="0096448F"/>
    <w:rsid w:val="00984BC4"/>
    <w:rsid w:val="00996346"/>
    <w:rsid w:val="009B6FC8"/>
    <w:rsid w:val="009E6AAA"/>
    <w:rsid w:val="00A122BB"/>
    <w:rsid w:val="00A468E5"/>
    <w:rsid w:val="00A83A4E"/>
    <w:rsid w:val="00AD3607"/>
    <w:rsid w:val="00AE1795"/>
    <w:rsid w:val="00AE3900"/>
    <w:rsid w:val="00B4253B"/>
    <w:rsid w:val="00B50428"/>
    <w:rsid w:val="00BB35C8"/>
    <w:rsid w:val="00BC0778"/>
    <w:rsid w:val="00BD4B17"/>
    <w:rsid w:val="00BF061B"/>
    <w:rsid w:val="00C20E6C"/>
    <w:rsid w:val="00C4667C"/>
    <w:rsid w:val="00C574C2"/>
    <w:rsid w:val="00C66894"/>
    <w:rsid w:val="00CB2222"/>
    <w:rsid w:val="00CD264F"/>
    <w:rsid w:val="00D02689"/>
    <w:rsid w:val="00D1534D"/>
    <w:rsid w:val="00D428D6"/>
    <w:rsid w:val="00D54145"/>
    <w:rsid w:val="00D5703A"/>
    <w:rsid w:val="00D86DF4"/>
    <w:rsid w:val="00D91FDC"/>
    <w:rsid w:val="00DB1AF0"/>
    <w:rsid w:val="00DB28E3"/>
    <w:rsid w:val="00DC16E7"/>
    <w:rsid w:val="00DC367C"/>
    <w:rsid w:val="00DD39C7"/>
    <w:rsid w:val="00E54A5E"/>
    <w:rsid w:val="00E87FE0"/>
    <w:rsid w:val="00EA14C1"/>
    <w:rsid w:val="00EB53B2"/>
    <w:rsid w:val="00EB7581"/>
    <w:rsid w:val="00EE0946"/>
    <w:rsid w:val="00F20B84"/>
    <w:rsid w:val="00F6662B"/>
    <w:rsid w:val="00F74A49"/>
    <w:rsid w:val="00FB1508"/>
    <w:rsid w:val="00FD7BA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0F92DF"/>
  <w15:docId w15:val="{DDFFD5D1-2539-44EA-B107-C7233F35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n-US" w:eastAsia="en-US" w:bidi="ar-SA"/>
      </w:rPr>
    </w:rPrDefault>
    <w:pPrDefault>
      <w:pPr>
        <w:autoSpaceDN w:val="0"/>
        <w:spacing w:after="160" w:line="247"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2"/>
    <w:uiPriority w:val="9"/>
    <w:qFormat/>
    <w:rsid w:val="002700D9"/>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Heading2">
    <w:name w:val="heading 2"/>
    <w:basedOn w:val="Normal"/>
    <w:next w:val="Normal"/>
    <w:link w:val="Heading2Char2"/>
    <w:uiPriority w:val="9"/>
    <w:unhideWhenUsed/>
    <w:qFormat/>
    <w:rsid w:val="00607F56"/>
    <w:pPr>
      <w:keepNext/>
      <w:keepLines/>
      <w:spacing w:before="200" w:after="0"/>
      <w:outlineLvl w:val="1"/>
    </w:pPr>
    <w:rPr>
      <w:rFonts w:ascii="Times New Roman" w:eastAsiaTheme="majorEastAsia" w:hAnsi="Times New Roman"/>
      <w:b/>
      <w:bCs/>
      <w:color w:val="4472C4" w:themeColor="accen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WWOutlineListStyle4">
    <w:name w:val="WW_OutlineListStyle_4"/>
    <w:basedOn w:val="NoList"/>
    <w:pPr>
      <w:numPr>
        <w:numId w:val="1"/>
      </w:numPr>
    </w:pPr>
  </w:style>
  <w:style w:type="paragraph" w:customStyle="1" w:styleId="Heading11">
    <w:name w:val="Heading 11"/>
    <w:basedOn w:val="a0"/>
    <w:next w:val="a0"/>
    <w:pPr>
      <w:keepNext/>
      <w:keepLines/>
      <w:numPr>
        <w:numId w:val="1"/>
      </w:numPr>
      <w:spacing w:before="240" w:after="240"/>
      <w:outlineLvl w:val="0"/>
    </w:pPr>
    <w:rPr>
      <w:rFonts w:ascii="Calibri Light" w:hAnsi="Calibri Light"/>
      <w:color w:val="2F5496"/>
      <w:sz w:val="32"/>
      <w:szCs w:val="32"/>
    </w:rPr>
  </w:style>
  <w:style w:type="paragraph" w:customStyle="1" w:styleId="Heading21">
    <w:name w:val="Heading 21"/>
    <w:basedOn w:val="a0"/>
    <w:next w:val="a0"/>
    <w:pPr>
      <w:keepNext/>
      <w:keepLines/>
      <w:widowControl w:val="0"/>
      <w:numPr>
        <w:ilvl w:val="1"/>
        <w:numId w:val="1"/>
      </w:numPr>
      <w:spacing w:before="100" w:after="100" w:line="276" w:lineRule="auto"/>
      <w:jc w:val="both"/>
      <w:outlineLvl w:val="1"/>
    </w:pPr>
    <w:rPr>
      <w:b/>
      <w:color w:val="70AD47"/>
      <w:lang w:bidi="bg-BG"/>
    </w:rPr>
  </w:style>
  <w:style w:type="paragraph" w:customStyle="1" w:styleId="Heading31">
    <w:name w:val="Heading 31"/>
    <w:basedOn w:val="a0"/>
    <w:next w:val="a0"/>
    <w:pPr>
      <w:keepNext/>
      <w:keepLines/>
      <w:spacing w:before="40"/>
      <w:outlineLvl w:val="2"/>
    </w:pPr>
    <w:rPr>
      <w:rFonts w:ascii="Calibri Light" w:hAnsi="Calibri Light"/>
      <w:color w:val="1F4D78"/>
    </w:rPr>
  </w:style>
  <w:style w:type="paragraph" w:customStyle="1" w:styleId="Heading41">
    <w:name w:val="Heading 41"/>
    <w:basedOn w:val="a0"/>
    <w:next w:val="a0"/>
    <w:pPr>
      <w:keepNext/>
      <w:keepLines/>
      <w:spacing w:before="40"/>
      <w:outlineLvl w:val="3"/>
    </w:pPr>
    <w:rPr>
      <w:rFonts w:ascii="Calibri Light" w:hAnsi="Calibri Light"/>
      <w:i/>
      <w:iCs/>
      <w:color w:val="2E74B5"/>
    </w:rPr>
  </w:style>
  <w:style w:type="paragraph" w:customStyle="1" w:styleId="Heading51">
    <w:name w:val="Heading 51"/>
    <w:basedOn w:val="a0"/>
    <w:next w:val="a0"/>
    <w:pPr>
      <w:keepNext/>
      <w:keepLines/>
      <w:spacing w:before="40"/>
      <w:outlineLvl w:val="4"/>
    </w:pPr>
    <w:rPr>
      <w:rFonts w:ascii="Calibri Light" w:hAnsi="Calibri Light"/>
      <w:color w:val="2E74B5"/>
    </w:rPr>
  </w:style>
  <w:style w:type="paragraph" w:customStyle="1" w:styleId="Heading61">
    <w:name w:val="Heading 61"/>
    <w:basedOn w:val="a0"/>
    <w:next w:val="a0"/>
    <w:pPr>
      <w:keepNext/>
      <w:keepLines/>
      <w:spacing w:before="40"/>
      <w:outlineLvl w:val="5"/>
    </w:pPr>
    <w:rPr>
      <w:rFonts w:ascii="Calibri Light" w:hAnsi="Calibri Light"/>
      <w:color w:val="1F4D78"/>
    </w:rPr>
  </w:style>
  <w:style w:type="paragraph" w:customStyle="1" w:styleId="Heading71">
    <w:name w:val="Heading 71"/>
    <w:basedOn w:val="a0"/>
    <w:next w:val="a0"/>
    <w:pPr>
      <w:keepNext/>
      <w:keepLines/>
      <w:spacing w:before="40"/>
      <w:outlineLvl w:val="6"/>
    </w:pPr>
    <w:rPr>
      <w:rFonts w:ascii="Calibri Light" w:hAnsi="Calibri Light"/>
      <w:i/>
      <w:iCs/>
      <w:color w:val="1F4D78"/>
    </w:rPr>
  </w:style>
  <w:style w:type="paragraph" w:customStyle="1" w:styleId="Heading81">
    <w:name w:val="Heading 81"/>
    <w:basedOn w:val="a0"/>
    <w:next w:val="a0"/>
    <w:pPr>
      <w:keepNext/>
      <w:keepLines/>
      <w:spacing w:before="40"/>
      <w:outlineLvl w:val="7"/>
    </w:pPr>
    <w:rPr>
      <w:rFonts w:ascii="Calibri Light" w:hAnsi="Calibri Light"/>
      <w:color w:val="272727"/>
      <w:sz w:val="21"/>
      <w:szCs w:val="21"/>
    </w:rPr>
  </w:style>
  <w:style w:type="paragraph" w:customStyle="1" w:styleId="Heading91">
    <w:name w:val="Heading 91"/>
    <w:basedOn w:val="a0"/>
    <w:next w:val="a0"/>
    <w:pPr>
      <w:keepNext/>
      <w:keepLines/>
      <w:spacing w:before="40"/>
      <w:outlineLvl w:val="8"/>
    </w:pPr>
    <w:rPr>
      <w:rFonts w:ascii="Calibri Light" w:hAnsi="Calibri Light"/>
      <w:i/>
      <w:iCs/>
      <w:color w:val="272727"/>
      <w:sz w:val="21"/>
      <w:szCs w:val="21"/>
    </w:rPr>
  </w:style>
  <w:style w:type="paragraph" w:customStyle="1" w:styleId="a0">
    <w:name w:val="Нормален"/>
    <w:pPr>
      <w:suppressAutoHyphens/>
      <w:autoSpaceDE w:val="0"/>
      <w:spacing w:after="0" w:line="240" w:lineRule="auto"/>
    </w:pPr>
    <w:rPr>
      <w:rFonts w:ascii="Times New Roman" w:eastAsia="Times New Roman" w:hAnsi="Times New Roman"/>
      <w:sz w:val="24"/>
      <w:szCs w:val="24"/>
      <w:lang w:val="bg-BG" w:eastAsia="bg-BG"/>
    </w:rPr>
  </w:style>
  <w:style w:type="paragraph" w:customStyle="1" w:styleId="1">
    <w:name w:val="Заглавие 1"/>
    <w:basedOn w:val="a0"/>
    <w:next w:val="a0"/>
    <w:pPr>
      <w:keepNext/>
      <w:keepLines/>
      <w:spacing w:before="240"/>
      <w:outlineLvl w:val="0"/>
    </w:pPr>
    <w:rPr>
      <w:rFonts w:ascii="Calibri Light" w:hAnsi="Calibri Light"/>
      <w:color w:val="2F5496"/>
      <w:sz w:val="32"/>
      <w:szCs w:val="32"/>
    </w:rPr>
  </w:style>
  <w:style w:type="paragraph" w:customStyle="1" w:styleId="2">
    <w:name w:val="Заглавие 2"/>
    <w:basedOn w:val="a0"/>
    <w:next w:val="a0"/>
    <w:pPr>
      <w:keepNext/>
      <w:keepLines/>
      <w:spacing w:before="40"/>
      <w:outlineLvl w:val="1"/>
    </w:pPr>
    <w:rPr>
      <w:b/>
      <w:color w:val="70AD47"/>
      <w:lang w:bidi="bg-BG"/>
    </w:rPr>
  </w:style>
  <w:style w:type="paragraph" w:customStyle="1" w:styleId="3">
    <w:name w:val="Заглавие 3"/>
    <w:basedOn w:val="a0"/>
    <w:next w:val="a0"/>
    <w:pPr>
      <w:keepNext/>
      <w:keepLines/>
      <w:spacing w:before="40"/>
      <w:outlineLvl w:val="2"/>
    </w:pPr>
    <w:rPr>
      <w:rFonts w:ascii="Calibri Light" w:hAnsi="Calibri Light"/>
      <w:color w:val="1F4D78"/>
    </w:rPr>
  </w:style>
  <w:style w:type="paragraph" w:customStyle="1" w:styleId="4">
    <w:name w:val="Заглавие 4"/>
    <w:basedOn w:val="a0"/>
    <w:next w:val="a0"/>
    <w:pPr>
      <w:keepNext/>
      <w:keepLines/>
      <w:spacing w:before="200"/>
      <w:outlineLvl w:val="3"/>
    </w:pPr>
    <w:rPr>
      <w:rFonts w:ascii="Calibri Light" w:hAnsi="Calibri Light"/>
      <w:i/>
      <w:iCs/>
      <w:color w:val="2E74B5"/>
    </w:rPr>
  </w:style>
  <w:style w:type="paragraph" w:customStyle="1" w:styleId="5">
    <w:name w:val="Заглавие 5"/>
    <w:basedOn w:val="a0"/>
    <w:next w:val="a0"/>
    <w:pPr>
      <w:keepNext/>
      <w:keepLines/>
      <w:spacing w:before="200"/>
      <w:outlineLvl w:val="4"/>
    </w:pPr>
    <w:rPr>
      <w:rFonts w:ascii="Calibri Light" w:hAnsi="Calibri Light"/>
      <w:color w:val="2E74B5"/>
    </w:rPr>
  </w:style>
  <w:style w:type="paragraph" w:customStyle="1" w:styleId="6">
    <w:name w:val="Заглавие 6"/>
    <w:basedOn w:val="a0"/>
    <w:next w:val="a0"/>
    <w:pPr>
      <w:keepNext/>
      <w:keepLines/>
      <w:spacing w:before="200"/>
      <w:outlineLvl w:val="5"/>
    </w:pPr>
    <w:rPr>
      <w:rFonts w:ascii="Calibri Light" w:hAnsi="Calibri Light"/>
      <w:color w:val="1F4D78"/>
    </w:rPr>
  </w:style>
  <w:style w:type="paragraph" w:customStyle="1" w:styleId="7">
    <w:name w:val="Заглавие 7"/>
    <w:basedOn w:val="a0"/>
    <w:next w:val="a0"/>
    <w:pPr>
      <w:keepNext/>
      <w:keepLines/>
      <w:spacing w:before="200"/>
      <w:outlineLvl w:val="6"/>
    </w:pPr>
    <w:rPr>
      <w:rFonts w:ascii="Calibri Light" w:hAnsi="Calibri Light"/>
      <w:i/>
      <w:iCs/>
      <w:color w:val="1F4D78"/>
    </w:rPr>
  </w:style>
  <w:style w:type="paragraph" w:customStyle="1" w:styleId="8">
    <w:name w:val="Заглавие 8"/>
    <w:basedOn w:val="a0"/>
    <w:next w:val="a0"/>
    <w:pPr>
      <w:keepNext/>
      <w:keepLines/>
      <w:spacing w:before="200"/>
      <w:outlineLvl w:val="7"/>
    </w:pPr>
    <w:rPr>
      <w:rFonts w:ascii="Calibri Light" w:hAnsi="Calibri Light"/>
      <w:color w:val="272727"/>
      <w:sz w:val="21"/>
      <w:szCs w:val="21"/>
    </w:rPr>
  </w:style>
  <w:style w:type="paragraph" w:customStyle="1" w:styleId="9">
    <w:name w:val="Заглавие 9"/>
    <w:basedOn w:val="a0"/>
    <w:next w:val="a0"/>
    <w:pPr>
      <w:keepNext/>
      <w:keepLines/>
      <w:spacing w:before="200"/>
      <w:outlineLvl w:val="8"/>
    </w:pPr>
    <w:rPr>
      <w:rFonts w:ascii="Calibri Light" w:hAnsi="Calibri Light"/>
      <w:i/>
      <w:iCs/>
      <w:color w:val="272727"/>
      <w:sz w:val="21"/>
      <w:szCs w:val="21"/>
    </w:rPr>
  </w:style>
  <w:style w:type="character" w:customStyle="1" w:styleId="a1">
    <w:name w:val="Шрифт на абзаца по подразбиране"/>
  </w:style>
  <w:style w:type="paragraph" w:styleId="BalloonText">
    <w:name w:val="Balloon Text"/>
    <w:basedOn w:val="Normal"/>
    <w:pPr>
      <w:spacing w:after="0" w:line="240" w:lineRule="auto"/>
    </w:pPr>
    <w:rPr>
      <w:rFonts w:ascii="Segoe UI" w:hAnsi="Segoe UI" w:cs="Segoe UI"/>
      <w:sz w:val="18"/>
      <w:szCs w:val="18"/>
    </w:rPr>
  </w:style>
  <w:style w:type="character" w:customStyle="1" w:styleId="Heading1Char">
    <w:name w:val="Heading 1 Char"/>
    <w:basedOn w:val="a1"/>
    <w:rPr>
      <w:rFonts w:ascii="Calibri Light" w:eastAsia="Times New Roman" w:hAnsi="Calibri Light" w:cs="Times New Roman"/>
      <w:color w:val="2F5496"/>
      <w:sz w:val="32"/>
      <w:szCs w:val="32"/>
    </w:rPr>
  </w:style>
  <w:style w:type="character" w:customStyle="1" w:styleId="Heading2Char">
    <w:name w:val="Heading 2 Char"/>
    <w:basedOn w:val="a1"/>
    <w:rPr>
      <w:rFonts w:ascii="Times New Roman" w:eastAsia="Times New Roman" w:hAnsi="Times New Roman" w:cs="Times New Roman"/>
      <w:b/>
      <w:color w:val="70AD47"/>
      <w:lang w:val="bg-BG" w:bidi="bg-BG"/>
    </w:rPr>
  </w:style>
  <w:style w:type="character" w:customStyle="1" w:styleId="Heading3Char">
    <w:name w:val="Heading 3 Char"/>
    <w:basedOn w:val="a1"/>
    <w:rPr>
      <w:rFonts w:ascii="Calibri Light" w:eastAsia="Times New Roman" w:hAnsi="Calibri Light" w:cs="Times New Roman"/>
      <w:color w:val="1F4D78"/>
      <w:sz w:val="24"/>
      <w:szCs w:val="24"/>
      <w:lang w:val="bg-BG"/>
    </w:rPr>
  </w:style>
  <w:style w:type="character" w:customStyle="1" w:styleId="Heading4Char">
    <w:name w:val="Heading 4 Char"/>
    <w:basedOn w:val="a1"/>
    <w:rPr>
      <w:rFonts w:ascii="Calibri Light" w:eastAsia="Times New Roman" w:hAnsi="Calibri Light" w:cs="Times New Roman"/>
      <w:i/>
      <w:iCs/>
      <w:color w:val="2E74B5"/>
      <w:lang w:val="bg-BG"/>
    </w:rPr>
  </w:style>
  <w:style w:type="character" w:customStyle="1" w:styleId="Heading5Char">
    <w:name w:val="Heading 5 Char"/>
    <w:basedOn w:val="a1"/>
    <w:rPr>
      <w:rFonts w:ascii="Calibri Light" w:eastAsia="Times New Roman" w:hAnsi="Calibri Light" w:cs="Times New Roman"/>
      <w:color w:val="2E74B5"/>
      <w:lang w:val="bg-BG"/>
    </w:rPr>
  </w:style>
  <w:style w:type="character" w:customStyle="1" w:styleId="Heading6Char">
    <w:name w:val="Heading 6 Char"/>
    <w:basedOn w:val="a1"/>
    <w:rPr>
      <w:rFonts w:ascii="Calibri Light" w:eastAsia="Times New Roman" w:hAnsi="Calibri Light" w:cs="Times New Roman"/>
      <w:color w:val="1F4D78"/>
      <w:lang w:val="bg-BG"/>
    </w:rPr>
  </w:style>
  <w:style w:type="character" w:customStyle="1" w:styleId="Heading7Char">
    <w:name w:val="Heading 7 Char"/>
    <w:basedOn w:val="a1"/>
    <w:rPr>
      <w:rFonts w:ascii="Calibri Light" w:eastAsia="Times New Roman" w:hAnsi="Calibri Light" w:cs="Times New Roman"/>
      <w:i/>
      <w:iCs/>
      <w:color w:val="1F4D78"/>
      <w:lang w:val="bg-BG"/>
    </w:rPr>
  </w:style>
  <w:style w:type="character" w:customStyle="1" w:styleId="Heading8Char">
    <w:name w:val="Heading 8 Char"/>
    <w:basedOn w:val="a1"/>
    <w:rPr>
      <w:rFonts w:ascii="Calibri Light" w:eastAsia="Times New Roman" w:hAnsi="Calibri Light" w:cs="Times New Roman"/>
      <w:color w:val="272727"/>
      <w:sz w:val="21"/>
      <w:szCs w:val="21"/>
      <w:lang w:val="bg-BG"/>
    </w:rPr>
  </w:style>
  <w:style w:type="character" w:customStyle="1" w:styleId="Heading9Char">
    <w:name w:val="Heading 9 Char"/>
    <w:basedOn w:val="a1"/>
    <w:rPr>
      <w:rFonts w:ascii="Calibri Light" w:eastAsia="Times New Roman" w:hAnsi="Calibri Light" w:cs="Times New Roman"/>
      <w:i/>
      <w:iCs/>
      <w:color w:val="272727"/>
      <w:sz w:val="21"/>
      <w:szCs w:val="21"/>
      <w:lang w:val="bg-BG"/>
    </w:rPr>
  </w:style>
  <w:style w:type="paragraph" w:customStyle="1" w:styleId="a2">
    <w:name w:val="Нормален (уеб)"/>
    <w:basedOn w:val="a0"/>
    <w:pPr>
      <w:spacing w:before="100" w:after="100"/>
    </w:pPr>
  </w:style>
  <w:style w:type="paragraph" w:customStyle="1" w:styleId="a3">
    <w:name w:val="Изнесен текст"/>
    <w:basedOn w:val="a0"/>
    <w:rPr>
      <w:rFonts w:ascii="Segoe UI" w:hAnsi="Segoe UI" w:cs="Segoe UI"/>
      <w:sz w:val="18"/>
      <w:szCs w:val="18"/>
    </w:rPr>
  </w:style>
  <w:style w:type="character" w:customStyle="1" w:styleId="BalloonTextChar">
    <w:name w:val="Balloon Text Char"/>
    <w:basedOn w:val="a1"/>
    <w:rPr>
      <w:rFonts w:ascii="Segoe UI" w:hAnsi="Segoe UI" w:cs="Segoe UI"/>
      <w:sz w:val="18"/>
      <w:szCs w:val="18"/>
    </w:rPr>
  </w:style>
  <w:style w:type="paragraph" w:customStyle="1" w:styleId="NoSpacing1">
    <w:name w:val="No Spacing1"/>
    <w:next w:val="a4"/>
    <w:pPr>
      <w:suppressAutoHyphens/>
      <w:spacing w:after="0" w:line="240" w:lineRule="auto"/>
    </w:pPr>
    <w:rPr>
      <w:rFonts w:eastAsia="Times New Roman"/>
    </w:rPr>
  </w:style>
  <w:style w:type="character" w:customStyle="1" w:styleId="NoSpacingChar">
    <w:name w:val="No Spacing Char"/>
    <w:basedOn w:val="a1"/>
    <w:rPr>
      <w:rFonts w:eastAsia="Times New Roman"/>
    </w:rPr>
  </w:style>
  <w:style w:type="paragraph" w:customStyle="1" w:styleId="a5">
    <w:name w:val="Горен колонтитул"/>
    <w:basedOn w:val="a0"/>
    <w:pPr>
      <w:tabs>
        <w:tab w:val="center" w:pos="4703"/>
        <w:tab w:val="right" w:pos="9406"/>
      </w:tabs>
    </w:pPr>
  </w:style>
  <w:style w:type="character" w:customStyle="1" w:styleId="HeaderChar">
    <w:name w:val="Header Char"/>
    <w:basedOn w:val="a1"/>
    <w:rPr>
      <w:lang w:val="bg-BG"/>
    </w:rPr>
  </w:style>
  <w:style w:type="paragraph" w:customStyle="1" w:styleId="a6">
    <w:name w:val="Долен колонтитул"/>
    <w:basedOn w:val="a0"/>
    <w:pPr>
      <w:tabs>
        <w:tab w:val="center" w:pos="4703"/>
        <w:tab w:val="right" w:pos="9406"/>
      </w:tabs>
    </w:pPr>
  </w:style>
  <w:style w:type="character" w:customStyle="1" w:styleId="FooterChar">
    <w:name w:val="Footer Char"/>
    <w:basedOn w:val="a1"/>
    <w:uiPriority w:val="99"/>
    <w:rPr>
      <w:lang w:val="bg-BG"/>
    </w:rPr>
  </w:style>
  <w:style w:type="paragraph" w:customStyle="1" w:styleId="a7">
    <w:name w:val="Списък на абзаци"/>
    <w:basedOn w:val="a0"/>
    <w:pPr>
      <w:ind w:left="720"/>
    </w:pPr>
  </w:style>
  <w:style w:type="character" w:customStyle="1" w:styleId="50">
    <w:name w:val="Основен текст (5)_"/>
    <w:basedOn w:val="a1"/>
    <w:rPr>
      <w:rFonts w:ascii="Times New Roman" w:eastAsia="Times New Roman" w:hAnsi="Times New Roman" w:cs="Times New Roman"/>
      <w:i/>
      <w:iCs/>
      <w:shd w:val="clear" w:color="auto" w:fill="FFFFFF"/>
    </w:rPr>
  </w:style>
  <w:style w:type="paragraph" w:customStyle="1" w:styleId="51">
    <w:name w:val="Основен текст (5)1"/>
    <w:basedOn w:val="a0"/>
    <w:pPr>
      <w:widowControl w:val="0"/>
      <w:shd w:val="clear" w:color="auto" w:fill="FFFFFF"/>
      <w:spacing w:before="480" w:after="60" w:line="331" w:lineRule="exact"/>
    </w:pPr>
    <w:rPr>
      <w:i/>
      <w:iCs/>
    </w:rPr>
  </w:style>
  <w:style w:type="character" w:customStyle="1" w:styleId="Heading1Char1">
    <w:name w:val="Heading 1 Char1"/>
    <w:basedOn w:val="a1"/>
    <w:rPr>
      <w:rFonts w:ascii="Calibri Light" w:eastAsia="Times New Roman" w:hAnsi="Calibri Light" w:cs="Times New Roman"/>
      <w:color w:val="2F5496"/>
      <w:sz w:val="32"/>
      <w:szCs w:val="32"/>
    </w:rPr>
  </w:style>
  <w:style w:type="paragraph" w:customStyle="1" w:styleId="a8">
    <w:name w:val="Заглавие от съдържание"/>
    <w:basedOn w:val="1"/>
    <w:next w:val="a0"/>
    <w:pPr>
      <w:spacing w:after="240"/>
      <w:ind w:left="720" w:hanging="360"/>
    </w:pPr>
    <w:rPr>
      <w:rFonts w:ascii="Times New Roman" w:hAnsi="Times New Roman"/>
      <w:b/>
      <w:color w:val="70AD47"/>
      <w:sz w:val="22"/>
      <w:szCs w:val="22"/>
      <w:lang w:bidi="bg-BG"/>
    </w:rPr>
  </w:style>
  <w:style w:type="paragraph" w:customStyle="1" w:styleId="TOC21">
    <w:name w:val="TOC 21"/>
    <w:basedOn w:val="a0"/>
    <w:next w:val="a0"/>
    <w:autoRedefine/>
    <w:pPr>
      <w:spacing w:after="100"/>
      <w:ind w:left="220"/>
    </w:pPr>
  </w:style>
  <w:style w:type="paragraph" w:customStyle="1" w:styleId="TOC11">
    <w:name w:val="TOC 11"/>
    <w:basedOn w:val="a0"/>
    <w:next w:val="a0"/>
    <w:autoRedefine/>
    <w:pPr>
      <w:spacing w:after="100"/>
    </w:pPr>
  </w:style>
  <w:style w:type="paragraph" w:customStyle="1" w:styleId="TOC31">
    <w:name w:val="TOC 31"/>
    <w:basedOn w:val="a0"/>
    <w:next w:val="a0"/>
    <w:autoRedefine/>
    <w:pPr>
      <w:spacing w:after="100"/>
      <w:ind w:left="440"/>
    </w:pPr>
  </w:style>
  <w:style w:type="character" w:customStyle="1" w:styleId="Hyperlink1">
    <w:name w:val="Hyperlink1"/>
    <w:basedOn w:val="a1"/>
    <w:rPr>
      <w:color w:val="0563C1"/>
      <w:u w:val="single"/>
    </w:rPr>
  </w:style>
  <w:style w:type="character" w:customStyle="1" w:styleId="ListParagraphChar">
    <w:name w:val="List Paragraph Char"/>
    <w:rPr>
      <w:lang w:val="bg-BG"/>
    </w:rPr>
  </w:style>
  <w:style w:type="paragraph" w:customStyle="1" w:styleId="a9">
    <w:name w:val="Надпис"/>
    <w:basedOn w:val="a0"/>
    <w:next w:val="a0"/>
    <w:pPr>
      <w:keepNext/>
      <w:spacing w:before="240" w:after="60" w:line="280" w:lineRule="atLeast"/>
    </w:pPr>
    <w:rPr>
      <w:rFonts w:eastAsia="Calibri" w:cs="Calibri"/>
      <w:b/>
      <w:bCs/>
      <w:sz w:val="20"/>
      <w:szCs w:val="20"/>
      <w:lang w:eastAsia="ar-SA"/>
    </w:rPr>
  </w:style>
  <w:style w:type="paragraph" w:customStyle="1" w:styleId="fn1">
    <w:name w:val="fn1"/>
    <w:basedOn w:val="a0"/>
    <w:next w:val="aa"/>
    <w:pPr>
      <w:jc w:val="both"/>
    </w:pPr>
    <w:rPr>
      <w:rFonts w:ascii="Calibri Light" w:hAnsi="Calibri Light"/>
      <w:color w:val="0070C0"/>
      <w:sz w:val="20"/>
      <w:szCs w:val="20"/>
    </w:rPr>
  </w:style>
  <w:style w:type="character" w:customStyle="1" w:styleId="FootnoteTextChar">
    <w:name w:val="Footnote Text Char"/>
    <w:basedOn w:val="a1"/>
    <w:rPr>
      <w:rFonts w:ascii="Calibri Light" w:eastAsia="Times New Roman" w:hAnsi="Calibri Light" w:cs="Times New Roman"/>
      <w:color w:val="0070C0"/>
      <w:sz w:val="20"/>
      <w:szCs w:val="20"/>
      <w:lang w:val="bg-BG"/>
    </w:rPr>
  </w:style>
  <w:style w:type="character" w:customStyle="1" w:styleId="ab">
    <w:name w:val="Препратка към бележка под линия"/>
    <w:basedOn w:val="a1"/>
    <w:rPr>
      <w:position w:val="0"/>
      <w:vertAlign w:val="superscript"/>
    </w:rPr>
  </w:style>
  <w:style w:type="character" w:customStyle="1" w:styleId="CaptionChar">
    <w:name w:val="Caption Char"/>
    <w:rPr>
      <w:rFonts w:ascii="Times New Roman" w:eastAsia="Calibri" w:hAnsi="Times New Roman" w:cs="Calibri"/>
      <w:b/>
      <w:bCs/>
      <w:sz w:val="20"/>
      <w:szCs w:val="20"/>
      <w:lang w:val="bg-BG" w:eastAsia="ar-SA"/>
    </w:rPr>
  </w:style>
  <w:style w:type="character" w:customStyle="1" w:styleId="CommentTextChar">
    <w:name w:val="Comment Text Char"/>
    <w:basedOn w:val="a1"/>
    <w:rPr>
      <w:b/>
      <w:sz w:val="20"/>
      <w:szCs w:val="20"/>
    </w:rPr>
  </w:style>
  <w:style w:type="paragraph" w:styleId="CommentText">
    <w:name w:val="annotation text"/>
    <w:basedOn w:val="a0"/>
    <w:rPr>
      <w:b/>
      <w:sz w:val="20"/>
      <w:szCs w:val="20"/>
    </w:rPr>
  </w:style>
  <w:style w:type="character" w:customStyle="1" w:styleId="CommentTextChar1">
    <w:name w:val="Comment Text Char1"/>
    <w:basedOn w:val="a1"/>
    <w:rPr>
      <w:sz w:val="20"/>
      <w:szCs w:val="20"/>
    </w:rPr>
  </w:style>
  <w:style w:type="character" w:styleId="CommentReference">
    <w:name w:val="annotation reference"/>
    <w:basedOn w:val="a1"/>
    <w:rPr>
      <w:sz w:val="16"/>
      <w:szCs w:val="16"/>
    </w:rPr>
  </w:style>
  <w:style w:type="paragraph" w:styleId="CommentSubject">
    <w:name w:val="annotation subject"/>
    <w:basedOn w:val="CommentText"/>
    <w:next w:val="CommentText"/>
    <w:rPr>
      <w:bCs/>
    </w:rPr>
  </w:style>
  <w:style w:type="character" w:customStyle="1" w:styleId="CommentSubjectChar">
    <w:name w:val="Comment Subject Char"/>
    <w:basedOn w:val="CommentTextChar1"/>
    <w:rPr>
      <w:b/>
      <w:bCs/>
      <w:sz w:val="20"/>
      <w:szCs w:val="20"/>
      <w:lang w:val="bg-BG"/>
    </w:rPr>
  </w:style>
  <w:style w:type="character" w:customStyle="1" w:styleId="FooterChar1">
    <w:name w:val="Footer Char1"/>
    <w:basedOn w:val="a1"/>
    <w:rPr>
      <w:lang w:val="bg-BG"/>
    </w:rPr>
  </w:style>
  <w:style w:type="character" w:customStyle="1" w:styleId="10">
    <w:name w:val="Текст на коментар Знак1"/>
    <w:basedOn w:val="a1"/>
    <w:rPr>
      <w:sz w:val="20"/>
      <w:szCs w:val="20"/>
      <w:lang w:val="bg-BG"/>
    </w:rPr>
  </w:style>
  <w:style w:type="character" w:customStyle="1" w:styleId="BodyTextChar">
    <w:name w:val="Body Text Char"/>
    <w:basedOn w:val="a1"/>
    <w:rPr>
      <w:rFonts w:ascii="Calibri" w:eastAsia="Calibri" w:hAnsi="Calibri" w:cs="Times New Roman"/>
      <w:b/>
    </w:rPr>
  </w:style>
  <w:style w:type="paragraph" w:customStyle="1" w:styleId="ac">
    <w:name w:val="Основен текст"/>
    <w:basedOn w:val="a0"/>
    <w:pPr>
      <w:spacing w:after="120" w:line="276" w:lineRule="auto"/>
    </w:pPr>
    <w:rPr>
      <w:rFonts w:ascii="Calibri" w:eastAsia="Calibri" w:hAnsi="Calibri"/>
      <w:b/>
    </w:rPr>
  </w:style>
  <w:style w:type="character" w:customStyle="1" w:styleId="BodyTextChar1">
    <w:name w:val="Body Text Char1"/>
    <w:basedOn w:val="a1"/>
  </w:style>
  <w:style w:type="character" w:customStyle="1" w:styleId="11">
    <w:name w:val="Основен текст Знак1"/>
    <w:basedOn w:val="a1"/>
    <w:rPr>
      <w:lang w:val="bg-BG"/>
    </w:rPr>
  </w:style>
  <w:style w:type="paragraph" w:customStyle="1" w:styleId="Default">
    <w:name w:val="Default"/>
    <w:pPr>
      <w:suppressAutoHyphens/>
      <w:autoSpaceDE w:val="0"/>
      <w:spacing w:after="0" w:line="240" w:lineRule="auto"/>
    </w:pPr>
    <w:rPr>
      <w:rFonts w:ascii="Times New Roman" w:hAnsi="Times New Roman"/>
      <w:color w:val="000000"/>
      <w:sz w:val="24"/>
      <w:szCs w:val="24"/>
      <w:lang w:val="bg-BG" w:eastAsia="bg-BG"/>
    </w:rPr>
  </w:style>
  <w:style w:type="paragraph" w:customStyle="1" w:styleId="a">
    <w:name w:val="Списък с водещи символи"/>
    <w:basedOn w:val="a0"/>
    <w:pPr>
      <w:numPr>
        <w:numId w:val="7"/>
      </w:numPr>
      <w:spacing w:after="240"/>
      <w:jc w:val="both"/>
    </w:pPr>
    <w:rPr>
      <w:lang w:val="en-GB"/>
    </w:rPr>
  </w:style>
  <w:style w:type="character" w:customStyle="1" w:styleId="40">
    <w:name w:val="Основен текст (4)_"/>
    <w:basedOn w:val="a1"/>
    <w:rPr>
      <w:rFonts w:ascii="Times New Roman" w:eastAsia="Times New Roman" w:hAnsi="Times New Roman" w:cs="Times New Roman"/>
      <w:sz w:val="17"/>
      <w:szCs w:val="17"/>
      <w:shd w:val="clear" w:color="auto" w:fill="FFFFFF"/>
    </w:rPr>
  </w:style>
  <w:style w:type="paragraph" w:customStyle="1" w:styleId="41">
    <w:name w:val="Основен текст (4)1"/>
    <w:basedOn w:val="a0"/>
    <w:pPr>
      <w:widowControl w:val="0"/>
      <w:shd w:val="clear" w:color="auto" w:fill="FFFFFF"/>
      <w:spacing w:before="60" w:after="1020" w:line="269" w:lineRule="exact"/>
      <w:jc w:val="center"/>
    </w:pPr>
    <w:rPr>
      <w:sz w:val="17"/>
      <w:szCs w:val="17"/>
    </w:rPr>
  </w:style>
  <w:style w:type="paragraph" w:customStyle="1" w:styleId="firstline">
    <w:name w:val="firstline"/>
    <w:basedOn w:val="a0"/>
    <w:pPr>
      <w:spacing w:line="240" w:lineRule="atLeast"/>
      <w:ind w:firstLine="640"/>
      <w:jc w:val="both"/>
    </w:pPr>
    <w:rPr>
      <w:rFonts w:ascii="Arial" w:hAnsi="Arial" w:cs="Arial"/>
      <w:color w:val="000000"/>
    </w:rPr>
  </w:style>
  <w:style w:type="character" w:customStyle="1" w:styleId="30">
    <w:name w:val="Основен текст (3)_"/>
    <w:basedOn w:val="a1"/>
    <w:rPr>
      <w:rFonts w:ascii="Times New Roman" w:eastAsia="Times New Roman" w:hAnsi="Times New Roman" w:cs="Times New Roman"/>
      <w:b/>
      <w:bCs/>
      <w:shd w:val="clear" w:color="auto" w:fill="FFFFFF"/>
    </w:rPr>
  </w:style>
  <w:style w:type="paragraph" w:customStyle="1" w:styleId="31">
    <w:name w:val="Основен текст (3)1"/>
    <w:basedOn w:val="a0"/>
    <w:pPr>
      <w:widowControl w:val="0"/>
      <w:shd w:val="clear" w:color="auto" w:fill="FFFFFF"/>
      <w:spacing w:before="60" w:after="60" w:line="0" w:lineRule="atLeast"/>
      <w:jc w:val="center"/>
    </w:pPr>
    <w:rPr>
      <w:b/>
      <w:bCs/>
    </w:rPr>
  </w:style>
  <w:style w:type="character" w:customStyle="1" w:styleId="12">
    <w:name w:val="Предмет на коментар Знак1"/>
    <w:basedOn w:val="10"/>
    <w:rPr>
      <w:b/>
      <w:bCs/>
      <w:sz w:val="20"/>
      <w:szCs w:val="20"/>
      <w:lang w:val="bg-BG"/>
    </w:rPr>
  </w:style>
  <w:style w:type="character" w:customStyle="1" w:styleId="20">
    <w:name w:val="Основен текст (2)_"/>
    <w:basedOn w:val="a1"/>
    <w:rPr>
      <w:rFonts w:ascii="Times New Roman" w:eastAsia="Times New Roman" w:hAnsi="Times New Roman" w:cs="Times New Roman"/>
      <w:shd w:val="clear" w:color="auto" w:fill="FFFFFF"/>
    </w:rPr>
  </w:style>
  <w:style w:type="paragraph" w:customStyle="1" w:styleId="21">
    <w:name w:val="Основен текст (2)1"/>
    <w:basedOn w:val="a0"/>
    <w:pPr>
      <w:widowControl w:val="0"/>
      <w:shd w:val="clear" w:color="auto" w:fill="FFFFFF"/>
      <w:spacing w:before="480" w:line="274" w:lineRule="exact"/>
      <w:ind w:hanging="380"/>
    </w:pPr>
  </w:style>
  <w:style w:type="paragraph" w:customStyle="1" w:styleId="ad">
    <w:name w:val="формула"/>
    <w:basedOn w:val="a0"/>
    <w:next w:val="a0"/>
    <w:pPr>
      <w:spacing w:before="360" w:after="360" w:line="242" w:lineRule="auto"/>
      <w:jc w:val="center"/>
    </w:pPr>
    <w:rPr>
      <w:rFonts w:ascii="Cambria Math" w:eastAsia="Calibri" w:hAnsi="Cambria Math"/>
      <w:color w:val="3B3838"/>
    </w:rPr>
  </w:style>
  <w:style w:type="paragraph" w:customStyle="1" w:styleId="13">
    <w:name w:val="Списък на абзаци1"/>
    <w:basedOn w:val="a0"/>
    <w:pPr>
      <w:ind w:left="720"/>
    </w:pPr>
    <w:rPr>
      <w:rFonts w:ascii="Calibri" w:hAnsi="Calibri"/>
    </w:rPr>
  </w:style>
  <w:style w:type="paragraph" w:customStyle="1" w:styleId="CharChar7CharChar">
    <w:name w:val="Char Char7 Char Char"/>
    <w:basedOn w:val="a0"/>
    <w:pPr>
      <w:tabs>
        <w:tab w:val="left" w:pos="709"/>
      </w:tabs>
    </w:pPr>
    <w:rPr>
      <w:rFonts w:ascii="Tahoma" w:hAnsi="Tahoma"/>
      <w:lang w:val="pl-PL" w:eastAsia="pl-PL"/>
    </w:rPr>
  </w:style>
  <w:style w:type="paragraph" w:customStyle="1" w:styleId="CVNormal">
    <w:name w:val="CV Normal"/>
    <w:basedOn w:val="a0"/>
    <w:pPr>
      <w:ind w:left="113" w:right="113"/>
    </w:pPr>
    <w:rPr>
      <w:rFonts w:ascii="Arial Narrow" w:hAnsi="Arial Narrow"/>
      <w:sz w:val="20"/>
      <w:szCs w:val="20"/>
      <w:lang w:eastAsia="ar-SA"/>
    </w:rPr>
  </w:style>
  <w:style w:type="paragraph" w:customStyle="1" w:styleId="normaltableau">
    <w:name w:val="normal_tableau"/>
    <w:basedOn w:val="a0"/>
    <w:pPr>
      <w:spacing w:before="120" w:after="120"/>
      <w:jc w:val="both"/>
    </w:pPr>
    <w:rPr>
      <w:rFonts w:ascii="Optima" w:hAnsi="Optima"/>
      <w:szCs w:val="20"/>
      <w:lang w:val="en-GB" w:eastAsia="ar-SA"/>
    </w:rPr>
  </w:style>
  <w:style w:type="paragraph" w:customStyle="1" w:styleId="OiaeaeiYiio2">
    <w:name w:val="O?ia eaeiYiio 2"/>
    <w:basedOn w:val="a0"/>
    <w:pPr>
      <w:widowControl w:val="0"/>
      <w:snapToGrid w:val="0"/>
      <w:jc w:val="right"/>
    </w:pPr>
    <w:rPr>
      <w:i/>
      <w:iCs/>
      <w:sz w:val="16"/>
      <w:szCs w:val="16"/>
    </w:rPr>
  </w:style>
  <w:style w:type="paragraph" w:customStyle="1" w:styleId="Eaoaeaa">
    <w:name w:val="Eaoae?aa"/>
    <w:basedOn w:val="a0"/>
    <w:pPr>
      <w:widowControl w:val="0"/>
      <w:tabs>
        <w:tab w:val="center" w:pos="4153"/>
        <w:tab w:val="right" w:pos="8306"/>
      </w:tabs>
      <w:snapToGrid w:val="0"/>
    </w:pPr>
    <w:rPr>
      <w:sz w:val="20"/>
      <w:szCs w:val="20"/>
    </w:rPr>
  </w:style>
  <w:style w:type="character" w:customStyle="1" w:styleId="hps">
    <w:name w:val="hps"/>
    <w:basedOn w:val="a1"/>
  </w:style>
  <w:style w:type="character" w:customStyle="1" w:styleId="atn">
    <w:name w:val="atn"/>
    <w:basedOn w:val="a1"/>
  </w:style>
  <w:style w:type="character" w:customStyle="1" w:styleId="hpsatn">
    <w:name w:val="hps atn"/>
    <w:basedOn w:val="a1"/>
  </w:style>
  <w:style w:type="paragraph" w:customStyle="1" w:styleId="Title1">
    <w:name w:val="Title1"/>
    <w:basedOn w:val="a0"/>
    <w:next w:val="a0"/>
    <w:rPr>
      <w:rFonts w:ascii="Calibri Light" w:hAnsi="Calibri Light"/>
      <w:spacing w:val="-10"/>
      <w:kern w:val="3"/>
      <w:sz w:val="56"/>
      <w:szCs w:val="56"/>
    </w:rPr>
  </w:style>
  <w:style w:type="character" w:customStyle="1" w:styleId="TitleChar">
    <w:name w:val="Title Char"/>
    <w:basedOn w:val="a1"/>
    <w:rPr>
      <w:rFonts w:ascii="Calibri Light" w:eastAsia="Times New Roman" w:hAnsi="Calibri Light" w:cs="Times New Roman"/>
      <w:spacing w:val="-10"/>
      <w:kern w:val="3"/>
      <w:sz w:val="56"/>
      <w:szCs w:val="56"/>
      <w:lang w:val="bg-BG"/>
    </w:rPr>
  </w:style>
  <w:style w:type="paragraph" w:customStyle="1" w:styleId="Subtitle1">
    <w:name w:val="Subtitle1"/>
    <w:basedOn w:val="a0"/>
    <w:next w:val="a0"/>
    <w:rPr>
      <w:color w:val="5A5A5A"/>
      <w:spacing w:val="15"/>
    </w:rPr>
  </w:style>
  <w:style w:type="character" w:customStyle="1" w:styleId="SubtitleChar">
    <w:name w:val="Subtitle Char"/>
    <w:basedOn w:val="a1"/>
    <w:rPr>
      <w:rFonts w:eastAsia="Times New Roman"/>
      <w:color w:val="5A5A5A"/>
      <w:spacing w:val="15"/>
      <w:lang w:val="bg-BG"/>
    </w:rPr>
  </w:style>
  <w:style w:type="character" w:customStyle="1" w:styleId="ae">
    <w:name w:val="Строг"/>
    <w:basedOn w:val="a1"/>
    <w:rPr>
      <w:b/>
      <w:bCs/>
    </w:rPr>
  </w:style>
  <w:style w:type="character" w:customStyle="1" w:styleId="af">
    <w:name w:val="Акцентиран"/>
    <w:basedOn w:val="a1"/>
    <w:rPr>
      <w:i/>
      <w:iCs/>
    </w:rPr>
  </w:style>
  <w:style w:type="paragraph" w:customStyle="1" w:styleId="Quote1">
    <w:name w:val="Quote1"/>
    <w:basedOn w:val="a0"/>
    <w:next w:val="a0"/>
    <w:pPr>
      <w:spacing w:before="200"/>
      <w:ind w:left="864" w:right="864"/>
      <w:jc w:val="center"/>
    </w:pPr>
    <w:rPr>
      <w:i/>
      <w:iCs/>
      <w:color w:val="404040"/>
    </w:rPr>
  </w:style>
  <w:style w:type="character" w:customStyle="1" w:styleId="QuoteChar">
    <w:name w:val="Quote Char"/>
    <w:basedOn w:val="a1"/>
    <w:rPr>
      <w:i/>
      <w:iCs/>
      <w:color w:val="404040"/>
      <w:lang w:val="bg-BG"/>
    </w:rPr>
  </w:style>
  <w:style w:type="paragraph" w:customStyle="1" w:styleId="IntenseQuote1">
    <w:name w:val="Intense Quote1"/>
    <w:basedOn w:val="a0"/>
    <w:next w:val="a0"/>
    <w:pPr>
      <w:pBdr>
        <w:top w:val="single" w:sz="4" w:space="10" w:color="5B9BD5"/>
        <w:bottom w:val="single" w:sz="4" w:space="10" w:color="5B9BD5"/>
      </w:pBdr>
      <w:spacing w:before="360" w:after="360"/>
      <w:ind w:left="864" w:right="864"/>
      <w:jc w:val="center"/>
    </w:pPr>
    <w:rPr>
      <w:i/>
      <w:iCs/>
      <w:color w:val="5B9BD5"/>
    </w:rPr>
  </w:style>
  <w:style w:type="character" w:customStyle="1" w:styleId="IntenseQuoteChar">
    <w:name w:val="Intense Quote Char"/>
    <w:basedOn w:val="a1"/>
    <w:rPr>
      <w:i/>
      <w:iCs/>
      <w:color w:val="5B9BD5"/>
      <w:lang w:val="bg-BG"/>
    </w:rPr>
  </w:style>
  <w:style w:type="character" w:customStyle="1" w:styleId="SubtleEmphasis1">
    <w:name w:val="Subtle Emphasis1"/>
    <w:basedOn w:val="a1"/>
    <w:rPr>
      <w:i/>
      <w:iCs/>
      <w:color w:val="404040"/>
    </w:rPr>
  </w:style>
  <w:style w:type="character" w:customStyle="1" w:styleId="IntenseEmphasis1">
    <w:name w:val="Intense Emphasis1"/>
    <w:basedOn w:val="a1"/>
    <w:rPr>
      <w:i/>
      <w:iCs/>
      <w:color w:val="5B9BD5"/>
    </w:rPr>
  </w:style>
  <w:style w:type="character" w:customStyle="1" w:styleId="SubtleReference1">
    <w:name w:val="Subtle Reference1"/>
    <w:basedOn w:val="a1"/>
    <w:rPr>
      <w:smallCaps/>
      <w:color w:val="5A5A5A"/>
    </w:rPr>
  </w:style>
  <w:style w:type="character" w:customStyle="1" w:styleId="IntenseReference1">
    <w:name w:val="Intense Reference1"/>
    <w:basedOn w:val="a1"/>
    <w:rPr>
      <w:b/>
      <w:bCs/>
      <w:smallCaps/>
      <w:color w:val="5B9BD5"/>
      <w:spacing w:val="5"/>
    </w:rPr>
  </w:style>
  <w:style w:type="character" w:customStyle="1" w:styleId="af0">
    <w:name w:val="Заглавие на книга"/>
    <w:basedOn w:val="a1"/>
    <w:rPr>
      <w:b/>
      <w:bCs/>
      <w:i/>
      <w:iCs/>
      <w:spacing w:val="5"/>
    </w:rPr>
  </w:style>
  <w:style w:type="paragraph" w:customStyle="1" w:styleId="CVNormal-FirstLine">
    <w:name w:val="CV Normal - First Line"/>
    <w:basedOn w:val="CVNormal"/>
    <w:next w:val="CVNormal"/>
    <w:pPr>
      <w:spacing w:before="74"/>
    </w:pPr>
  </w:style>
  <w:style w:type="character" w:customStyle="1" w:styleId="Heading4Char1">
    <w:name w:val="Heading 4 Char1"/>
    <w:basedOn w:val="a1"/>
    <w:rPr>
      <w:rFonts w:ascii="Calibri Light" w:eastAsia="Times New Roman" w:hAnsi="Calibri Light" w:cs="Times New Roman"/>
      <w:b/>
      <w:bCs/>
      <w:i/>
      <w:iCs/>
      <w:color w:val="5B9BD5"/>
      <w:lang w:val="bg-BG"/>
    </w:rPr>
  </w:style>
  <w:style w:type="character" w:customStyle="1" w:styleId="Heading5Char1">
    <w:name w:val="Heading 5 Char1"/>
    <w:basedOn w:val="a1"/>
    <w:rPr>
      <w:rFonts w:ascii="Calibri Light" w:eastAsia="Times New Roman" w:hAnsi="Calibri Light" w:cs="Times New Roman"/>
      <w:color w:val="1F4D78"/>
      <w:lang w:val="bg-BG"/>
    </w:rPr>
  </w:style>
  <w:style w:type="character" w:customStyle="1" w:styleId="Heading6Char1">
    <w:name w:val="Heading 6 Char1"/>
    <w:basedOn w:val="a1"/>
    <w:rPr>
      <w:rFonts w:ascii="Calibri Light" w:eastAsia="Times New Roman" w:hAnsi="Calibri Light" w:cs="Times New Roman"/>
      <w:i/>
      <w:iCs/>
      <w:color w:val="1F4D78"/>
      <w:lang w:val="bg-BG"/>
    </w:rPr>
  </w:style>
  <w:style w:type="character" w:customStyle="1" w:styleId="Heading7Char1">
    <w:name w:val="Heading 7 Char1"/>
    <w:basedOn w:val="a1"/>
    <w:rPr>
      <w:rFonts w:ascii="Calibri Light" w:eastAsia="Times New Roman" w:hAnsi="Calibri Light" w:cs="Times New Roman"/>
      <w:i/>
      <w:iCs/>
      <w:color w:val="404040"/>
      <w:lang w:val="bg-BG"/>
    </w:rPr>
  </w:style>
  <w:style w:type="character" w:customStyle="1" w:styleId="Heading8Char1">
    <w:name w:val="Heading 8 Char1"/>
    <w:basedOn w:val="a1"/>
    <w:rPr>
      <w:rFonts w:ascii="Calibri Light" w:eastAsia="Times New Roman" w:hAnsi="Calibri Light" w:cs="Times New Roman"/>
      <w:color w:val="404040"/>
      <w:sz w:val="20"/>
      <w:szCs w:val="20"/>
      <w:lang w:val="bg-BG"/>
    </w:rPr>
  </w:style>
  <w:style w:type="character" w:customStyle="1" w:styleId="Heading9Char1">
    <w:name w:val="Heading 9 Char1"/>
    <w:basedOn w:val="a1"/>
    <w:rPr>
      <w:rFonts w:ascii="Calibri Light" w:eastAsia="Times New Roman" w:hAnsi="Calibri Light" w:cs="Times New Roman"/>
      <w:i/>
      <w:iCs/>
      <w:color w:val="404040"/>
      <w:sz w:val="20"/>
      <w:szCs w:val="20"/>
      <w:lang w:val="bg-BG"/>
    </w:rPr>
  </w:style>
  <w:style w:type="paragraph" w:customStyle="1" w:styleId="Title2">
    <w:name w:val="Title2"/>
    <w:basedOn w:val="a0"/>
    <w:next w:val="a0"/>
    <w:pPr>
      <w:pBdr>
        <w:bottom w:val="single" w:sz="8" w:space="4" w:color="5B9BD5"/>
      </w:pBdr>
      <w:spacing w:after="300"/>
    </w:pPr>
    <w:rPr>
      <w:rFonts w:ascii="Calibri Light" w:hAnsi="Calibri Light"/>
      <w:spacing w:val="-10"/>
      <w:kern w:val="3"/>
      <w:sz w:val="56"/>
      <w:szCs w:val="56"/>
    </w:rPr>
  </w:style>
  <w:style w:type="character" w:customStyle="1" w:styleId="TitleChar1">
    <w:name w:val="Title Char1"/>
    <w:basedOn w:val="a1"/>
    <w:rPr>
      <w:rFonts w:ascii="Calibri Light" w:eastAsia="Times New Roman" w:hAnsi="Calibri Light" w:cs="Times New Roman"/>
      <w:color w:val="323E4F"/>
      <w:spacing w:val="5"/>
      <w:kern w:val="3"/>
      <w:sz w:val="52"/>
      <w:szCs w:val="52"/>
      <w:lang w:val="bg-BG"/>
    </w:rPr>
  </w:style>
  <w:style w:type="paragraph" w:customStyle="1" w:styleId="af1">
    <w:name w:val="Подзаглавие"/>
    <w:basedOn w:val="a0"/>
    <w:next w:val="a0"/>
    <w:rPr>
      <w:color w:val="5A5A5A"/>
      <w:spacing w:val="15"/>
    </w:rPr>
  </w:style>
  <w:style w:type="character" w:customStyle="1" w:styleId="SubtitleChar1">
    <w:name w:val="Subtitle Char1"/>
    <w:basedOn w:val="a1"/>
    <w:rPr>
      <w:rFonts w:eastAsia="Times New Roman"/>
      <w:color w:val="5A5A5A"/>
      <w:spacing w:val="15"/>
    </w:rPr>
  </w:style>
  <w:style w:type="paragraph" w:customStyle="1" w:styleId="af2">
    <w:name w:val="Цитат"/>
    <w:basedOn w:val="a0"/>
    <w:next w:val="a0"/>
    <w:rPr>
      <w:i/>
      <w:iCs/>
      <w:color w:val="404040"/>
    </w:rPr>
  </w:style>
  <w:style w:type="character" w:customStyle="1" w:styleId="QuoteChar1">
    <w:name w:val="Quote Char1"/>
    <w:basedOn w:val="a1"/>
    <w:rPr>
      <w:i/>
      <w:iCs/>
      <w:color w:val="404040"/>
    </w:rPr>
  </w:style>
  <w:style w:type="paragraph" w:customStyle="1" w:styleId="IntenseQuote2">
    <w:name w:val="Intense Quote2"/>
    <w:basedOn w:val="a0"/>
    <w:next w:val="a0"/>
    <w:pPr>
      <w:pBdr>
        <w:bottom w:val="single" w:sz="4" w:space="4" w:color="5B9BD5"/>
      </w:pBdr>
      <w:spacing w:before="200" w:after="280"/>
      <w:ind w:left="936" w:right="936"/>
    </w:pPr>
    <w:rPr>
      <w:i/>
      <w:iCs/>
      <w:color w:val="5B9BD5"/>
    </w:rPr>
  </w:style>
  <w:style w:type="character" w:customStyle="1" w:styleId="IntenseQuoteChar1">
    <w:name w:val="Intense Quote Char1"/>
    <w:basedOn w:val="a1"/>
    <w:rPr>
      <w:b/>
      <w:bCs/>
      <w:i/>
      <w:iCs/>
      <w:color w:val="5B9BD5"/>
      <w:lang w:val="bg-BG"/>
    </w:rPr>
  </w:style>
  <w:style w:type="character" w:customStyle="1" w:styleId="SubtleEmphasis2">
    <w:name w:val="Subtle Emphasis2"/>
    <w:basedOn w:val="a1"/>
    <w:rPr>
      <w:i/>
      <w:iCs/>
      <w:color w:val="808080"/>
    </w:rPr>
  </w:style>
  <w:style w:type="character" w:customStyle="1" w:styleId="IntenseEmphasis2">
    <w:name w:val="Intense Emphasis2"/>
    <w:basedOn w:val="a1"/>
    <w:rPr>
      <w:b/>
      <w:bCs/>
      <w:i/>
      <w:iCs/>
      <w:color w:val="5B9BD5"/>
    </w:rPr>
  </w:style>
  <w:style w:type="character" w:customStyle="1" w:styleId="SubtleReference2">
    <w:name w:val="Subtle Reference2"/>
    <w:basedOn w:val="a1"/>
    <w:rPr>
      <w:smallCaps/>
      <w:color w:val="ED7D31"/>
      <w:u w:val="single"/>
    </w:rPr>
  </w:style>
  <w:style w:type="character" w:customStyle="1" w:styleId="IntenseReference2">
    <w:name w:val="Intense Reference2"/>
    <w:basedOn w:val="a1"/>
    <w:rPr>
      <w:b/>
      <w:bCs/>
      <w:smallCaps/>
      <w:color w:val="ED7D31"/>
      <w:spacing w:val="5"/>
      <w:u w:val="single"/>
    </w:rPr>
  </w:style>
  <w:style w:type="character" w:customStyle="1" w:styleId="newdocreference">
    <w:name w:val="newdocreference"/>
    <w:basedOn w:val="a1"/>
  </w:style>
  <w:style w:type="character" w:customStyle="1" w:styleId="FollowedHyperlink1">
    <w:name w:val="FollowedHyperlink1"/>
    <w:basedOn w:val="a1"/>
    <w:rPr>
      <w:color w:val="954F72"/>
      <w:u w:val="single"/>
    </w:rPr>
  </w:style>
  <w:style w:type="paragraph" w:customStyle="1" w:styleId="m8169465353677236707gmail-msolistparagraph">
    <w:name w:val="m_8169465353677236707gmail-msolistparagraph"/>
    <w:basedOn w:val="a0"/>
    <w:pPr>
      <w:spacing w:before="100" w:after="100"/>
    </w:pPr>
  </w:style>
  <w:style w:type="character" w:customStyle="1" w:styleId="Bodytext">
    <w:name w:val="Body text_"/>
    <w:basedOn w:val="a1"/>
    <w:rPr>
      <w:rFonts w:ascii="Calibri" w:eastAsia="Calibri" w:hAnsi="Calibri" w:cs="Calibri"/>
      <w:sz w:val="19"/>
      <w:szCs w:val="19"/>
      <w:shd w:val="clear" w:color="auto" w:fill="FFFFFF"/>
    </w:rPr>
  </w:style>
  <w:style w:type="paragraph" w:customStyle="1" w:styleId="BodyText1">
    <w:name w:val="Body Text1"/>
    <w:basedOn w:val="a0"/>
    <w:pPr>
      <w:widowControl w:val="0"/>
      <w:shd w:val="clear" w:color="auto" w:fill="FFFFFF"/>
      <w:spacing w:before="180" w:after="540" w:line="0" w:lineRule="atLeast"/>
      <w:jc w:val="right"/>
    </w:pPr>
    <w:rPr>
      <w:rFonts w:ascii="Calibri" w:eastAsia="Calibri" w:hAnsi="Calibri" w:cs="Calibri"/>
      <w:sz w:val="19"/>
      <w:szCs w:val="19"/>
    </w:rPr>
  </w:style>
  <w:style w:type="paragraph" w:customStyle="1" w:styleId="internormal">
    <w:name w:val="internormal"/>
    <w:basedOn w:val="a0"/>
    <w:pPr>
      <w:ind w:left="1701"/>
      <w:jc w:val="both"/>
    </w:pPr>
    <w:rPr>
      <w:rFonts w:ascii="Optima" w:hAnsi="Optima"/>
      <w:szCs w:val="20"/>
      <w:lang w:val="en-GB"/>
    </w:rPr>
  </w:style>
  <w:style w:type="character" w:customStyle="1" w:styleId="FontStyle18">
    <w:name w:val="Font Style18"/>
    <w:rPr>
      <w:rFonts w:ascii="Arial" w:hAnsi="Arial" w:cs="Arial"/>
      <w:sz w:val="20"/>
      <w:szCs w:val="20"/>
    </w:rPr>
  </w:style>
  <w:style w:type="paragraph" w:customStyle="1" w:styleId="af3">
    <w:name w:val="Списък на фигурите"/>
    <w:basedOn w:val="a0"/>
    <w:next w:val="a0"/>
  </w:style>
  <w:style w:type="paragraph" w:customStyle="1" w:styleId="af4">
    <w:name w:val="Редакция"/>
    <w:pPr>
      <w:suppressAutoHyphens/>
      <w:spacing w:after="0" w:line="240" w:lineRule="auto"/>
    </w:pPr>
    <w:rPr>
      <w:lang w:val="bg-BG"/>
    </w:rPr>
  </w:style>
  <w:style w:type="paragraph" w:customStyle="1" w:styleId="soerkeyblue">
    <w:name w:val="soerkeyblue"/>
    <w:basedOn w:val="a0"/>
    <w:pPr>
      <w:spacing w:before="100" w:after="100"/>
    </w:pPr>
  </w:style>
  <w:style w:type="paragraph" w:customStyle="1" w:styleId="FootnotesymbolCarZchn">
    <w:name w:val="Footnote symbol Car Zchn"/>
    <w:basedOn w:val="a0"/>
    <w:pPr>
      <w:spacing w:line="240" w:lineRule="exact"/>
      <w:jc w:val="both"/>
    </w:pPr>
    <w:rPr>
      <w:vertAlign w:val="superscript"/>
    </w:rPr>
  </w:style>
  <w:style w:type="paragraph" w:customStyle="1" w:styleId="myfootnotes">
    <w:name w:val="my footnotes"/>
    <w:basedOn w:val="aa"/>
    <w:pPr>
      <w:ind w:left="284" w:hanging="284"/>
      <w:jc w:val="both"/>
    </w:pPr>
    <w:rPr>
      <w:rFonts w:ascii="Arial" w:hAnsi="Arial" w:cs="Arial"/>
    </w:rPr>
  </w:style>
  <w:style w:type="character" w:customStyle="1" w:styleId="news-item-body">
    <w:name w:val="news-item-body"/>
    <w:basedOn w:val="a1"/>
  </w:style>
  <w:style w:type="paragraph" w:customStyle="1" w:styleId="stylenheading2">
    <w:name w:val="stylenheading2"/>
    <w:basedOn w:val="a0"/>
    <w:pPr>
      <w:spacing w:before="100" w:after="100"/>
    </w:pPr>
    <w:rPr>
      <w:lang w:val="en-GB" w:eastAsia="en-GB"/>
    </w:rPr>
  </w:style>
  <w:style w:type="paragraph" w:customStyle="1" w:styleId="CharCharCharCharCharChar1Char1CharCharCharCharCharCharCharCharChar">
    <w:name w:val="Char Char Char Char Char Char1 Char1 Char Char Char Char Char Char Char Char Char"/>
    <w:basedOn w:val="a0"/>
    <w:pPr>
      <w:spacing w:line="240" w:lineRule="exact"/>
      <w:jc w:val="both"/>
    </w:pPr>
    <w:rPr>
      <w:rFonts w:ascii="Tahoma" w:hAnsi="Tahoma"/>
      <w:sz w:val="20"/>
      <w:szCs w:val="20"/>
    </w:rPr>
  </w:style>
  <w:style w:type="paragraph" w:customStyle="1" w:styleId="af5">
    <w:name w:val="Текст на бележка в края"/>
    <w:basedOn w:val="a0"/>
    <w:rPr>
      <w:rFonts w:ascii="Calibri" w:eastAsia="Calibri" w:hAnsi="Calibri" w:cs="Calibri"/>
      <w:sz w:val="20"/>
      <w:szCs w:val="20"/>
    </w:rPr>
  </w:style>
  <w:style w:type="character" w:customStyle="1" w:styleId="EndnoteTextChar">
    <w:name w:val="Endnote Text Char"/>
    <w:basedOn w:val="a1"/>
    <w:rPr>
      <w:rFonts w:ascii="Calibri" w:eastAsia="Calibri" w:hAnsi="Calibri" w:cs="Calibri"/>
      <w:sz w:val="20"/>
      <w:szCs w:val="20"/>
      <w:lang w:val="bg-BG"/>
    </w:rPr>
  </w:style>
  <w:style w:type="paragraph" w:customStyle="1" w:styleId="lead">
    <w:name w:val="lead"/>
    <w:basedOn w:val="a0"/>
    <w:pPr>
      <w:spacing w:before="100" w:after="100"/>
    </w:pPr>
    <w:rPr>
      <w:lang w:val="en-GB" w:eastAsia="en-GB"/>
    </w:rPr>
  </w:style>
  <w:style w:type="character" w:customStyle="1" w:styleId="highlight">
    <w:name w:val="highlight"/>
    <w:basedOn w:val="a1"/>
  </w:style>
  <w:style w:type="paragraph" w:customStyle="1" w:styleId="CharCharCharCharCarChar">
    <w:name w:val="Char Char Char Char Car Char"/>
    <w:basedOn w:val="a0"/>
    <w:next w:val="a0"/>
    <w:pPr>
      <w:spacing w:line="240" w:lineRule="exact"/>
    </w:pPr>
    <w:rPr>
      <w:vertAlign w:val="superscript"/>
    </w:rPr>
  </w:style>
  <w:style w:type="character" w:customStyle="1" w:styleId="A20">
    <w:name w:val="A2"/>
    <w:rPr>
      <w:rFonts w:cs="EC Square Sans Pro"/>
      <w:color w:val="000000"/>
      <w:sz w:val="22"/>
      <w:szCs w:val="22"/>
    </w:rPr>
  </w:style>
  <w:style w:type="character" w:customStyle="1" w:styleId="Bodytext10">
    <w:name w:val="Body text (10)_"/>
    <w:basedOn w:val="a1"/>
    <w:rPr>
      <w:rFonts w:ascii="Times New Roman" w:eastAsia="Times New Roman" w:hAnsi="Times New Roman" w:cs="Times New Roman"/>
      <w:b/>
      <w:bCs/>
      <w:shd w:val="clear" w:color="auto" w:fill="FFFFFF"/>
    </w:rPr>
  </w:style>
  <w:style w:type="paragraph" w:customStyle="1" w:styleId="Bodytext100">
    <w:name w:val="Body text (10)"/>
    <w:basedOn w:val="a0"/>
    <w:pPr>
      <w:widowControl w:val="0"/>
      <w:shd w:val="clear" w:color="auto" w:fill="FFFFFF"/>
      <w:spacing w:before="1380" w:after="420" w:line="0" w:lineRule="atLeast"/>
      <w:jc w:val="center"/>
    </w:pPr>
    <w:rPr>
      <w:b/>
      <w:bCs/>
    </w:rPr>
  </w:style>
  <w:style w:type="paragraph" w:customStyle="1" w:styleId="txt">
    <w:name w:val="txt"/>
    <w:basedOn w:val="a0"/>
    <w:pPr>
      <w:spacing w:before="100" w:after="100"/>
    </w:pPr>
    <w:rPr>
      <w:lang w:val="en-GB" w:eastAsia="en-GB"/>
    </w:rPr>
  </w:style>
  <w:style w:type="character" w:customStyle="1" w:styleId="Bodytext2">
    <w:name w:val="Body text (2)_"/>
    <w:basedOn w:val="a1"/>
    <w:rPr>
      <w:rFonts w:ascii="Arial" w:eastAsia="Arial" w:hAnsi="Arial" w:cs="Arial"/>
      <w:shd w:val="clear" w:color="auto" w:fill="FFFFFF"/>
    </w:rPr>
  </w:style>
  <w:style w:type="paragraph" w:customStyle="1" w:styleId="Bodytext20">
    <w:name w:val="Body text (2)"/>
    <w:basedOn w:val="a0"/>
    <w:pPr>
      <w:widowControl w:val="0"/>
      <w:shd w:val="clear" w:color="auto" w:fill="FFFFFF"/>
      <w:spacing w:line="270" w:lineRule="exact"/>
      <w:ind w:firstLine="320"/>
      <w:jc w:val="both"/>
    </w:pPr>
    <w:rPr>
      <w:rFonts w:ascii="Arial" w:eastAsia="Arial" w:hAnsi="Arial" w:cs="Arial"/>
    </w:rPr>
  </w:style>
  <w:style w:type="character" w:customStyle="1" w:styleId="viiyi">
    <w:name w:val="viiyi"/>
    <w:basedOn w:val="a1"/>
  </w:style>
  <w:style w:type="character" w:customStyle="1" w:styleId="jlqj4b">
    <w:name w:val="jlqj4b"/>
    <w:basedOn w:val="a1"/>
  </w:style>
  <w:style w:type="paragraph" w:customStyle="1" w:styleId="3vff3xh4yd">
    <w:name w:val="_3vff3xh4yd"/>
    <w:basedOn w:val="a0"/>
    <w:pPr>
      <w:spacing w:before="100" w:after="100"/>
    </w:pPr>
  </w:style>
  <w:style w:type="paragraph" w:customStyle="1" w:styleId="Normal1">
    <w:name w:val="Normal1"/>
    <w:basedOn w:val="a0"/>
    <w:pPr>
      <w:spacing w:before="100" w:after="100"/>
    </w:pPr>
  </w:style>
  <w:style w:type="paragraph" w:customStyle="1" w:styleId="ti-chapter">
    <w:name w:val="ti-chapter"/>
    <w:basedOn w:val="a0"/>
    <w:pPr>
      <w:spacing w:before="100" w:after="100"/>
    </w:pPr>
  </w:style>
  <w:style w:type="paragraph" w:customStyle="1" w:styleId="DecimalAligned">
    <w:name w:val="Decimal Aligned"/>
    <w:basedOn w:val="a0"/>
    <w:pPr>
      <w:tabs>
        <w:tab w:val="left" w:pos="360"/>
      </w:tabs>
      <w:spacing w:after="200" w:line="276" w:lineRule="auto"/>
    </w:pPr>
  </w:style>
  <w:style w:type="character" w:customStyle="1" w:styleId="bold">
    <w:name w:val="bold"/>
    <w:basedOn w:val="a1"/>
  </w:style>
  <w:style w:type="paragraph" w:customStyle="1" w:styleId="22">
    <w:name w:val="Основен текст с отстъп 2"/>
    <w:basedOn w:val="a0"/>
    <w:pPr>
      <w:spacing w:before="120" w:after="120"/>
      <w:ind w:firstLine="720"/>
      <w:jc w:val="both"/>
    </w:pPr>
    <w:rPr>
      <w:rFonts w:ascii="Arial" w:hAnsi="Arial"/>
      <w:b/>
      <w:szCs w:val="20"/>
    </w:rPr>
  </w:style>
  <w:style w:type="character" w:customStyle="1" w:styleId="BodyTextIndent2Char">
    <w:name w:val="Body Text Indent 2 Char"/>
    <w:basedOn w:val="a1"/>
    <w:rPr>
      <w:rFonts w:ascii="Arial" w:eastAsia="Times New Roman" w:hAnsi="Arial" w:cs="Times New Roman"/>
      <w:b/>
      <w:sz w:val="24"/>
      <w:szCs w:val="20"/>
      <w:lang w:val="bg-BG" w:eastAsia="bg-BG"/>
    </w:rPr>
  </w:style>
  <w:style w:type="character" w:customStyle="1" w:styleId="UnresolvedMention1">
    <w:name w:val="Unresolved Mention1"/>
    <w:basedOn w:val="a1"/>
    <w:rPr>
      <w:color w:val="605E5C"/>
      <w:shd w:val="clear" w:color="auto" w:fill="E1DFDD"/>
    </w:rPr>
  </w:style>
  <w:style w:type="paragraph" w:customStyle="1" w:styleId="visualclear">
    <w:name w:val="visualclear"/>
    <w:basedOn w:val="a0"/>
    <w:pPr>
      <w:spacing w:before="100" w:after="100"/>
    </w:pPr>
    <w:rPr>
      <w:lang w:val="en-GB" w:eastAsia="en-GB"/>
    </w:rPr>
  </w:style>
  <w:style w:type="paragraph" w:customStyle="1" w:styleId="Pa9">
    <w:name w:val="Pa9"/>
    <w:basedOn w:val="a0"/>
    <w:next w:val="a0"/>
    <w:pPr>
      <w:spacing w:line="181" w:lineRule="atLeast"/>
    </w:pPr>
    <w:rPr>
      <w:rFonts w:ascii="Open Sans" w:hAnsi="Open Sans"/>
      <w:lang w:val="en-GB"/>
    </w:rPr>
  </w:style>
  <w:style w:type="character" w:customStyle="1" w:styleId="A60">
    <w:name w:val="A6"/>
    <w:rPr>
      <w:rFonts w:cs="Open Sans"/>
      <w:color w:val="000000"/>
      <w:sz w:val="10"/>
      <w:szCs w:val="10"/>
    </w:rPr>
  </w:style>
  <w:style w:type="paragraph" w:customStyle="1" w:styleId="Pa23">
    <w:name w:val="Pa23"/>
    <w:basedOn w:val="a0"/>
    <w:next w:val="a0"/>
    <w:pPr>
      <w:spacing w:line="181" w:lineRule="atLeast"/>
    </w:pPr>
    <w:rPr>
      <w:rFonts w:ascii="Open Sans" w:hAnsi="Open Sans"/>
      <w:lang w:val="en-GB"/>
    </w:rPr>
  </w:style>
  <w:style w:type="paragraph" w:customStyle="1" w:styleId="ManualConsidrant">
    <w:name w:val="Manual Considérant"/>
    <w:basedOn w:val="a0"/>
    <w:pPr>
      <w:spacing w:before="120" w:after="120"/>
      <w:ind w:left="709" w:hanging="709"/>
      <w:jc w:val="both"/>
    </w:pPr>
  </w:style>
  <w:style w:type="paragraph" w:customStyle="1" w:styleId="Point1">
    <w:name w:val="Point 1"/>
    <w:basedOn w:val="a0"/>
    <w:pPr>
      <w:spacing w:before="120" w:after="120"/>
      <w:ind w:left="1417" w:hanging="567"/>
      <w:jc w:val="both"/>
    </w:pPr>
  </w:style>
  <w:style w:type="paragraph" w:customStyle="1" w:styleId="ManualNumPar1">
    <w:name w:val="Manual NumPar 1"/>
    <w:basedOn w:val="a0"/>
    <w:next w:val="a0"/>
    <w:pPr>
      <w:spacing w:before="120" w:after="120"/>
      <w:ind w:left="850" w:hanging="850"/>
      <w:jc w:val="both"/>
    </w:pPr>
  </w:style>
  <w:style w:type="paragraph" w:customStyle="1" w:styleId="CharCharCharCharCharChar">
    <w:name w:val="Char Char Char Char Char Char"/>
    <w:basedOn w:val="a0"/>
    <w:pPr>
      <w:spacing w:line="240" w:lineRule="exact"/>
      <w:jc w:val="both"/>
    </w:pPr>
    <w:rPr>
      <w:rFonts w:ascii="Tahoma" w:hAnsi="Tahoma"/>
      <w:sz w:val="20"/>
      <w:szCs w:val="20"/>
    </w:rPr>
  </w:style>
  <w:style w:type="paragraph" w:customStyle="1" w:styleId="af6">
    <w:name w:val="Основен текст с отстъп"/>
    <w:basedOn w:val="a0"/>
    <w:pPr>
      <w:spacing w:after="120" w:line="276" w:lineRule="auto"/>
      <w:ind w:left="283"/>
    </w:pPr>
    <w:rPr>
      <w:rFonts w:ascii="Trebuchet MS" w:hAnsi="Trebuchet MS"/>
      <w:color w:val="000000"/>
    </w:rPr>
  </w:style>
  <w:style w:type="character" w:customStyle="1" w:styleId="BodyTextIndentChar">
    <w:name w:val="Body Text Indent Char"/>
    <w:basedOn w:val="a1"/>
    <w:rPr>
      <w:rFonts w:ascii="Trebuchet MS" w:eastAsia="Times New Roman" w:hAnsi="Trebuchet MS" w:cs="Times New Roman"/>
      <w:color w:val="000000"/>
      <w:sz w:val="24"/>
      <w:szCs w:val="24"/>
    </w:rPr>
  </w:style>
  <w:style w:type="character" w:customStyle="1" w:styleId="220">
    <w:name w:val="Основен текст (22)"/>
    <w:basedOn w:val="a1"/>
    <w:rPr>
      <w:rFonts w:ascii="Arial Unicode MS" w:eastAsia="Arial Unicode MS" w:hAnsi="Arial Unicode MS" w:cs="Arial Unicode MS"/>
      <w:b/>
      <w:bCs/>
      <w:i w:val="0"/>
      <w:iCs w:val="0"/>
      <w:strike w:val="0"/>
      <w:dstrike w:val="0"/>
      <w:color w:val="000000"/>
      <w:spacing w:val="0"/>
      <w:w w:val="100"/>
      <w:position w:val="0"/>
      <w:sz w:val="16"/>
      <w:szCs w:val="16"/>
      <w:u w:val="none"/>
      <w:vertAlign w:val="baseline"/>
      <w:lang w:val="bg-BG" w:eastAsia="bg-BG" w:bidi="bg-BG"/>
    </w:rPr>
  </w:style>
  <w:style w:type="character" w:customStyle="1" w:styleId="af7">
    <w:name w:val="Препратка към бележка в края"/>
    <w:basedOn w:val="a1"/>
    <w:rPr>
      <w:position w:val="0"/>
      <w:vertAlign w:val="superscript"/>
    </w:rPr>
  </w:style>
  <w:style w:type="character" w:customStyle="1" w:styleId="Picturecaption3Exact">
    <w:name w:val="Picture caption (3) Exact"/>
    <w:basedOn w:val="a1"/>
    <w:rPr>
      <w:rFonts w:ascii="Times New Roman" w:eastAsia="Times New Roman" w:hAnsi="Times New Roman" w:cs="Times New Roman"/>
      <w:b/>
      <w:bCs/>
      <w:i w:val="0"/>
      <w:iCs w:val="0"/>
      <w:strike w:val="0"/>
      <w:dstrike w:val="0"/>
      <w:u w:val="none"/>
    </w:rPr>
  </w:style>
  <w:style w:type="character" w:customStyle="1" w:styleId="Picturecaption3ItalicExact">
    <w:name w:val="Picture caption (3) + Italic Exact"/>
    <w:basedOn w:val="a1"/>
    <w:rPr>
      <w:rFonts w:ascii="Times New Roman" w:eastAsia="Times New Roman" w:hAnsi="Times New Roman" w:cs="Times New Roman"/>
      <w:b/>
      <w:bCs/>
      <w:i/>
      <w:iCs/>
      <w:strike w:val="0"/>
      <w:dstrike w:val="0"/>
      <w:color w:val="000000"/>
      <w:spacing w:val="0"/>
      <w:w w:val="100"/>
      <w:position w:val="0"/>
      <w:sz w:val="24"/>
      <w:szCs w:val="24"/>
      <w:u w:val="none"/>
      <w:vertAlign w:val="baseline"/>
      <w:lang w:val="en-GB" w:eastAsia="en-GB" w:bidi="en-GB"/>
    </w:rPr>
  </w:style>
  <w:style w:type="character" w:customStyle="1" w:styleId="Picturecaption4Exact">
    <w:name w:val="Picture caption (4) Exact"/>
    <w:basedOn w:val="a1"/>
    <w:rPr>
      <w:rFonts w:ascii="Times New Roman" w:eastAsia="Times New Roman" w:hAnsi="Times New Roman" w:cs="Times New Roman"/>
      <w:b w:val="0"/>
      <w:bCs w:val="0"/>
      <w:i w:val="0"/>
      <w:iCs w:val="0"/>
      <w:strike w:val="0"/>
      <w:dstrike w:val="0"/>
      <w:u w:val="none"/>
    </w:rPr>
  </w:style>
  <w:style w:type="character" w:customStyle="1" w:styleId="Picturecaption26Exact">
    <w:name w:val="Picture caption (26) Exact"/>
    <w:basedOn w:val="a1"/>
    <w:rPr>
      <w:rFonts w:ascii="Times New Roman" w:eastAsia="Times New Roman" w:hAnsi="Times New Roman" w:cs="Times New Roman"/>
      <w:b w:val="0"/>
      <w:bCs w:val="0"/>
      <w:i/>
      <w:iCs/>
      <w:strike w:val="0"/>
      <w:dstrike w:val="0"/>
      <w:u w:val="none"/>
    </w:rPr>
  </w:style>
  <w:style w:type="character" w:customStyle="1" w:styleId="Picturecaption26">
    <w:name w:val="Picture caption (26)_"/>
    <w:basedOn w:val="a1"/>
    <w:rPr>
      <w:rFonts w:ascii="Times New Roman" w:eastAsia="Times New Roman" w:hAnsi="Times New Roman" w:cs="Times New Roman"/>
      <w:i/>
      <w:iCs/>
      <w:shd w:val="clear" w:color="auto" w:fill="FFFFFF"/>
    </w:rPr>
  </w:style>
  <w:style w:type="paragraph" w:customStyle="1" w:styleId="Picturecaption260">
    <w:name w:val="Picture caption (26)"/>
    <w:basedOn w:val="a0"/>
    <w:pPr>
      <w:widowControl w:val="0"/>
      <w:shd w:val="clear" w:color="auto" w:fill="FFFFFF"/>
      <w:spacing w:line="82" w:lineRule="exact"/>
      <w:jc w:val="both"/>
    </w:pPr>
    <w:rPr>
      <w:i/>
      <w:iCs/>
    </w:rPr>
  </w:style>
  <w:style w:type="character" w:customStyle="1" w:styleId="Bodytext65">
    <w:name w:val="Body text (65)_"/>
    <w:basedOn w:val="a1"/>
    <w:rPr>
      <w:rFonts w:ascii="Times New Roman" w:eastAsia="Times New Roman" w:hAnsi="Times New Roman" w:cs="Times New Roman"/>
      <w:b/>
      <w:bCs/>
      <w:shd w:val="clear" w:color="auto" w:fill="FFFFFF"/>
    </w:rPr>
  </w:style>
  <w:style w:type="character" w:customStyle="1" w:styleId="Bodytext65Constantia">
    <w:name w:val="Body text (65) + Constantia"/>
    <w:basedOn w:val="Bodytext65"/>
    <w:rPr>
      <w:rFonts w:ascii="Constantia" w:eastAsia="Constantia" w:hAnsi="Constantia" w:cs="Constantia"/>
      <w:b/>
      <w:bCs/>
      <w:i/>
      <w:iCs/>
      <w:color w:val="000000"/>
      <w:spacing w:val="0"/>
      <w:w w:val="100"/>
      <w:shd w:val="clear" w:color="auto" w:fill="FFFFFF"/>
      <w:lang w:val="en-GB" w:eastAsia="en-GB" w:bidi="en-GB"/>
    </w:rPr>
  </w:style>
  <w:style w:type="paragraph" w:customStyle="1" w:styleId="Bodytext650">
    <w:name w:val="Body text (65)"/>
    <w:basedOn w:val="a0"/>
    <w:pPr>
      <w:widowControl w:val="0"/>
      <w:shd w:val="clear" w:color="auto" w:fill="FFFFFF"/>
      <w:spacing w:line="0" w:lineRule="atLeast"/>
      <w:jc w:val="center"/>
    </w:pPr>
    <w:rPr>
      <w:b/>
      <w:bCs/>
    </w:rPr>
  </w:style>
  <w:style w:type="character" w:customStyle="1" w:styleId="Bodytext2Bold">
    <w:name w:val="Body text (2) + Bold"/>
    <w:basedOn w:val="Bodytext2"/>
    <w:rPr>
      <w:rFonts w:ascii="Times New Roman" w:eastAsia="Times New Roman" w:hAnsi="Times New Roman" w:cs="Times New Roman"/>
      <w:b/>
      <w:bCs/>
      <w:i w:val="0"/>
      <w:iCs w:val="0"/>
      <w:strike w:val="0"/>
      <w:dstrike w:val="0"/>
      <w:color w:val="000000"/>
      <w:spacing w:val="0"/>
      <w:w w:val="100"/>
      <w:position w:val="0"/>
      <w:sz w:val="24"/>
      <w:szCs w:val="24"/>
      <w:u w:val="none"/>
      <w:shd w:val="clear" w:color="auto" w:fill="FFFFFF"/>
      <w:vertAlign w:val="baseline"/>
      <w:lang w:val="bg-BG" w:eastAsia="bg-BG" w:bidi="bg-BG"/>
    </w:rPr>
  </w:style>
  <w:style w:type="character" w:customStyle="1" w:styleId="Heading6Italic">
    <w:name w:val="Heading #6 + Italic"/>
    <w:basedOn w:val="a1"/>
    <w:rPr>
      <w:rFonts w:ascii="Times New Roman" w:eastAsia="Times New Roman" w:hAnsi="Times New Roman" w:cs="Times New Roman"/>
      <w:b/>
      <w:bCs/>
      <w:i/>
      <w:iCs/>
      <w:color w:val="000000"/>
      <w:spacing w:val="0"/>
      <w:w w:val="100"/>
      <w:position w:val="0"/>
      <w:sz w:val="24"/>
      <w:szCs w:val="24"/>
      <w:shd w:val="clear" w:color="auto" w:fill="FFFFFF"/>
      <w:vertAlign w:val="baseline"/>
      <w:lang w:val="en-GB" w:eastAsia="en-GB" w:bidi="en-GB"/>
    </w:rPr>
  </w:style>
  <w:style w:type="character" w:customStyle="1" w:styleId="Headerorfooter">
    <w:name w:val="Header or footer_"/>
    <w:basedOn w:val="a1"/>
    <w:rPr>
      <w:rFonts w:ascii="Times New Roman" w:eastAsia="Times New Roman" w:hAnsi="Times New Roman" w:cs="Times New Roman"/>
      <w:shd w:val="clear" w:color="auto" w:fill="FFFFFF"/>
    </w:rPr>
  </w:style>
  <w:style w:type="paragraph" w:customStyle="1" w:styleId="Headerorfooter0">
    <w:name w:val="Header or footer"/>
    <w:basedOn w:val="a0"/>
    <w:pPr>
      <w:widowControl w:val="0"/>
      <w:shd w:val="clear" w:color="auto" w:fill="FFFFFF"/>
      <w:spacing w:line="0" w:lineRule="atLeast"/>
    </w:pPr>
  </w:style>
  <w:style w:type="paragraph" w:customStyle="1" w:styleId="msonormal0">
    <w:name w:val="msonormal"/>
    <w:basedOn w:val="a0"/>
    <w:pPr>
      <w:spacing w:before="100" w:after="100"/>
    </w:pPr>
    <w:rPr>
      <w:lang w:val="en-GB" w:eastAsia="en-GB"/>
    </w:rPr>
  </w:style>
  <w:style w:type="paragraph" w:customStyle="1" w:styleId="Pa33">
    <w:name w:val="Pa33"/>
    <w:basedOn w:val="a0"/>
    <w:next w:val="a0"/>
    <w:pPr>
      <w:spacing w:line="181" w:lineRule="atLeast"/>
    </w:pPr>
    <w:rPr>
      <w:rFonts w:ascii="Open Sans" w:hAnsi="Open Sans"/>
      <w:lang w:val="en-GB"/>
    </w:rPr>
  </w:style>
  <w:style w:type="paragraph" w:customStyle="1" w:styleId="Pa31">
    <w:name w:val="Pa31"/>
    <w:basedOn w:val="a0"/>
    <w:next w:val="a0"/>
    <w:pPr>
      <w:spacing w:line="181" w:lineRule="atLeast"/>
    </w:pPr>
    <w:rPr>
      <w:rFonts w:ascii="Open Sans" w:hAnsi="Open Sans"/>
      <w:lang w:val="en-GB"/>
    </w:rPr>
  </w:style>
  <w:style w:type="character" w:customStyle="1" w:styleId="samedocreference">
    <w:name w:val="samedocreference"/>
    <w:basedOn w:val="a1"/>
  </w:style>
  <w:style w:type="character" w:customStyle="1" w:styleId="Tablecaption16">
    <w:name w:val="Table caption (16)_"/>
    <w:basedOn w:val="a1"/>
    <w:rPr>
      <w:rFonts w:ascii="Times New Roman" w:eastAsia="Times New Roman" w:hAnsi="Times New Roman" w:cs="Times New Roman"/>
      <w:i/>
      <w:iCs/>
      <w:shd w:val="clear" w:color="auto" w:fill="FFFFFF"/>
    </w:rPr>
  </w:style>
  <w:style w:type="paragraph" w:customStyle="1" w:styleId="Tablecaption160">
    <w:name w:val="Table caption (16)"/>
    <w:basedOn w:val="a0"/>
    <w:pPr>
      <w:widowControl w:val="0"/>
      <w:shd w:val="clear" w:color="auto" w:fill="FFFFFF"/>
      <w:spacing w:line="0" w:lineRule="atLeast"/>
    </w:pPr>
    <w:rPr>
      <w:i/>
      <w:iCs/>
    </w:rPr>
  </w:style>
  <w:style w:type="character" w:customStyle="1" w:styleId="Footnote3">
    <w:name w:val="Footnote (3)_"/>
    <w:basedOn w:val="a1"/>
    <w:rPr>
      <w:rFonts w:ascii="Arial" w:eastAsia="Arial" w:hAnsi="Arial" w:cs="Arial"/>
      <w:sz w:val="16"/>
      <w:szCs w:val="16"/>
      <w:shd w:val="clear" w:color="auto" w:fill="FFFFFF"/>
    </w:rPr>
  </w:style>
  <w:style w:type="character" w:customStyle="1" w:styleId="Heading6">
    <w:name w:val="Heading #6_"/>
    <w:basedOn w:val="a1"/>
    <w:rPr>
      <w:rFonts w:ascii="Times New Roman" w:eastAsia="Times New Roman" w:hAnsi="Times New Roman" w:cs="Times New Roman"/>
      <w:b/>
      <w:bCs/>
      <w:shd w:val="clear" w:color="auto" w:fill="FFFFFF"/>
    </w:rPr>
  </w:style>
  <w:style w:type="paragraph" w:customStyle="1" w:styleId="Footnote30">
    <w:name w:val="Footnote (3)"/>
    <w:basedOn w:val="a0"/>
    <w:pPr>
      <w:widowControl w:val="0"/>
      <w:shd w:val="clear" w:color="auto" w:fill="FFFFFF"/>
      <w:spacing w:line="182" w:lineRule="exact"/>
    </w:pPr>
    <w:rPr>
      <w:rFonts w:ascii="Arial" w:eastAsia="Arial" w:hAnsi="Arial" w:cs="Arial"/>
      <w:sz w:val="16"/>
      <w:szCs w:val="16"/>
    </w:rPr>
  </w:style>
  <w:style w:type="paragraph" w:customStyle="1" w:styleId="Heading60">
    <w:name w:val="Heading #6"/>
    <w:basedOn w:val="a0"/>
    <w:pPr>
      <w:widowControl w:val="0"/>
      <w:shd w:val="clear" w:color="auto" w:fill="FFFFFF"/>
      <w:spacing w:line="274" w:lineRule="exact"/>
      <w:ind w:hanging="460"/>
      <w:jc w:val="both"/>
      <w:outlineLvl w:val="5"/>
    </w:pPr>
    <w:rPr>
      <w:b/>
      <w:bCs/>
    </w:rPr>
  </w:style>
  <w:style w:type="character" w:customStyle="1" w:styleId="Bodytext5">
    <w:name w:val="Body text (5)_"/>
    <w:basedOn w:val="a1"/>
    <w:rPr>
      <w:rFonts w:ascii="Times New Roman" w:eastAsia="Times New Roman" w:hAnsi="Times New Roman" w:cs="Times New Roman"/>
      <w:b/>
      <w:bCs/>
      <w:shd w:val="clear" w:color="auto" w:fill="FFFFFF"/>
    </w:rPr>
  </w:style>
  <w:style w:type="character" w:customStyle="1" w:styleId="Heading62">
    <w:name w:val="Heading #6 (2)_"/>
    <w:basedOn w:val="a1"/>
    <w:rPr>
      <w:rFonts w:ascii="Times New Roman" w:eastAsia="Times New Roman" w:hAnsi="Times New Roman" w:cs="Times New Roman"/>
      <w:b w:val="0"/>
      <w:bCs w:val="0"/>
      <w:i w:val="0"/>
      <w:iCs w:val="0"/>
      <w:strike w:val="0"/>
      <w:dstrike w:val="0"/>
      <w:u w:val="none"/>
    </w:rPr>
  </w:style>
  <w:style w:type="character" w:customStyle="1" w:styleId="Heading620">
    <w:name w:val="Heading #6 (2)"/>
    <w:basedOn w:val="Heading62"/>
    <w:rPr>
      <w:rFonts w:ascii="Times New Roman" w:eastAsia="Times New Roman" w:hAnsi="Times New Roman" w:cs="Times New Roman"/>
      <w:b w:val="0"/>
      <w:bCs w:val="0"/>
      <w:i w:val="0"/>
      <w:iCs w:val="0"/>
      <w:strike w:val="0"/>
      <w:dstrike w:val="0"/>
      <w:color w:val="000000"/>
      <w:spacing w:val="0"/>
      <w:w w:val="100"/>
      <w:position w:val="0"/>
      <w:sz w:val="24"/>
      <w:szCs w:val="24"/>
      <w:u w:val="none"/>
      <w:vertAlign w:val="baseline"/>
      <w:lang w:val="bg-BG" w:eastAsia="bg-BG" w:bidi="bg-BG"/>
    </w:rPr>
  </w:style>
  <w:style w:type="paragraph" w:customStyle="1" w:styleId="Bodytext50">
    <w:name w:val="Body text (5)"/>
    <w:basedOn w:val="a0"/>
    <w:pPr>
      <w:widowControl w:val="0"/>
      <w:shd w:val="clear" w:color="auto" w:fill="FFFFFF"/>
      <w:spacing w:after="240" w:line="274" w:lineRule="exact"/>
      <w:ind w:hanging="460"/>
      <w:jc w:val="both"/>
    </w:pPr>
    <w:rPr>
      <w:b/>
      <w:bCs/>
    </w:rPr>
  </w:style>
  <w:style w:type="character" w:customStyle="1" w:styleId="Footnote">
    <w:name w:val="Footnote_"/>
    <w:basedOn w:val="a1"/>
    <w:rPr>
      <w:rFonts w:ascii="Times New Roman" w:eastAsia="Times New Roman" w:hAnsi="Times New Roman" w:cs="Times New Roman"/>
      <w:b w:val="0"/>
      <w:bCs w:val="0"/>
      <w:i w:val="0"/>
      <w:iCs w:val="0"/>
      <w:strike w:val="0"/>
      <w:dstrike w:val="0"/>
      <w:sz w:val="19"/>
      <w:szCs w:val="19"/>
      <w:u w:val="none"/>
      <w:lang w:val="en-US" w:eastAsia="en-US" w:bidi="en-US"/>
    </w:rPr>
  </w:style>
  <w:style w:type="paragraph" w:customStyle="1" w:styleId="TableParagraph">
    <w:name w:val="Table Paragraph"/>
    <w:basedOn w:val="a0"/>
    <w:pPr>
      <w:widowControl w:val="0"/>
      <w:jc w:val="right"/>
    </w:pPr>
    <w:rPr>
      <w:rFonts w:ascii="Arial MT" w:eastAsia="Arial MT" w:hAnsi="Arial MT" w:cs="Arial MT"/>
    </w:rPr>
  </w:style>
  <w:style w:type="character" w:customStyle="1" w:styleId="a21">
    <w:name w:val="a2"/>
    <w:basedOn w:val="a1"/>
  </w:style>
  <w:style w:type="character" w:customStyle="1" w:styleId="Heading4">
    <w:name w:val="Heading #4_"/>
    <w:basedOn w:val="a1"/>
    <w:rPr>
      <w:rFonts w:ascii="Times New Roman" w:eastAsia="Times New Roman" w:hAnsi="Times New Roman" w:cs="Times New Roman"/>
      <w:b/>
      <w:bCs/>
      <w:sz w:val="20"/>
      <w:szCs w:val="20"/>
      <w:shd w:val="clear" w:color="auto" w:fill="FFFFFF"/>
    </w:rPr>
  </w:style>
  <w:style w:type="character" w:customStyle="1" w:styleId="Bodytext2Italic">
    <w:name w:val="Body text (2) + Italic"/>
    <w:basedOn w:val="Bodytext2"/>
    <w:rPr>
      <w:rFonts w:ascii="Times New Roman" w:eastAsia="Times New Roman" w:hAnsi="Times New Roman" w:cs="Times New Roman"/>
      <w:b w:val="0"/>
      <w:bCs w:val="0"/>
      <w:i/>
      <w:iCs/>
      <w:strike w:val="0"/>
      <w:dstrike w:val="0"/>
      <w:color w:val="000000"/>
      <w:spacing w:val="0"/>
      <w:w w:val="100"/>
      <w:position w:val="0"/>
      <w:sz w:val="20"/>
      <w:szCs w:val="20"/>
      <w:u w:val="none"/>
      <w:shd w:val="clear" w:color="auto" w:fill="FFFFFF"/>
      <w:vertAlign w:val="baseline"/>
      <w:lang w:val="en-GB" w:eastAsia="en-GB" w:bidi="en-GB"/>
    </w:rPr>
  </w:style>
  <w:style w:type="character" w:customStyle="1" w:styleId="Tablecaption2">
    <w:name w:val="Table caption (2)_"/>
    <w:basedOn w:val="a1"/>
    <w:rPr>
      <w:rFonts w:ascii="Times New Roman" w:eastAsia="Times New Roman" w:hAnsi="Times New Roman" w:cs="Times New Roman"/>
      <w:i/>
      <w:iCs/>
      <w:sz w:val="20"/>
      <w:szCs w:val="20"/>
      <w:shd w:val="clear" w:color="auto" w:fill="FFFFFF"/>
    </w:rPr>
  </w:style>
  <w:style w:type="character" w:customStyle="1" w:styleId="Bodytext285pt">
    <w:name w:val="Body text (2) + 8.5 pt"/>
    <w:basedOn w:val="Bodytext2"/>
    <w:rPr>
      <w:rFonts w:ascii="Times New Roman" w:eastAsia="Times New Roman" w:hAnsi="Times New Roman" w:cs="Times New Roman"/>
      <w:b w:val="0"/>
      <w:bCs w:val="0"/>
      <w:i w:val="0"/>
      <w:iCs w:val="0"/>
      <w:strike w:val="0"/>
      <w:dstrike w:val="0"/>
      <w:color w:val="000000"/>
      <w:spacing w:val="0"/>
      <w:w w:val="100"/>
      <w:position w:val="0"/>
      <w:sz w:val="17"/>
      <w:szCs w:val="17"/>
      <w:u w:val="none"/>
      <w:shd w:val="clear" w:color="auto" w:fill="FFFFFF"/>
      <w:vertAlign w:val="baseline"/>
      <w:lang w:val="bg-BG" w:eastAsia="bg-BG" w:bidi="bg-BG"/>
    </w:rPr>
  </w:style>
  <w:style w:type="paragraph" w:customStyle="1" w:styleId="Heading40">
    <w:name w:val="Heading #4"/>
    <w:basedOn w:val="a0"/>
    <w:pPr>
      <w:widowControl w:val="0"/>
      <w:shd w:val="clear" w:color="auto" w:fill="FFFFFF"/>
      <w:spacing w:line="250" w:lineRule="exact"/>
      <w:jc w:val="both"/>
      <w:outlineLvl w:val="3"/>
    </w:pPr>
    <w:rPr>
      <w:b/>
      <w:bCs/>
      <w:sz w:val="20"/>
      <w:szCs w:val="20"/>
    </w:rPr>
  </w:style>
  <w:style w:type="paragraph" w:customStyle="1" w:styleId="Tablecaption20">
    <w:name w:val="Table caption (2)"/>
    <w:basedOn w:val="a0"/>
    <w:pPr>
      <w:widowControl w:val="0"/>
      <w:shd w:val="clear" w:color="auto" w:fill="FFFFFF"/>
      <w:spacing w:line="0" w:lineRule="atLeast"/>
      <w:jc w:val="right"/>
    </w:pPr>
    <w:rPr>
      <w:i/>
      <w:iCs/>
      <w:sz w:val="20"/>
      <w:szCs w:val="20"/>
    </w:rPr>
  </w:style>
  <w:style w:type="character" w:customStyle="1" w:styleId="link-external">
    <w:name w:val="link-external"/>
    <w:basedOn w:val="a1"/>
  </w:style>
  <w:style w:type="paragraph" w:customStyle="1" w:styleId="stylensource">
    <w:name w:val="stylensource"/>
    <w:basedOn w:val="a0"/>
    <w:pPr>
      <w:spacing w:before="100" w:after="100"/>
    </w:pPr>
    <w:rPr>
      <w:lang w:val="en-GB" w:eastAsia="en-GB"/>
    </w:rPr>
  </w:style>
  <w:style w:type="character" w:customStyle="1" w:styleId="Picturecaption4">
    <w:name w:val="Picture caption (4)_"/>
    <w:basedOn w:val="a1"/>
    <w:rPr>
      <w:rFonts w:ascii="Times New Roman" w:eastAsia="Times New Roman" w:hAnsi="Times New Roman" w:cs="Times New Roman"/>
      <w:shd w:val="clear" w:color="auto" w:fill="FFFFFF"/>
    </w:rPr>
  </w:style>
  <w:style w:type="paragraph" w:customStyle="1" w:styleId="Picturecaption40">
    <w:name w:val="Picture caption (4)"/>
    <w:basedOn w:val="a0"/>
    <w:pPr>
      <w:widowControl w:val="0"/>
      <w:shd w:val="clear" w:color="auto" w:fill="FFFFFF"/>
      <w:spacing w:line="245" w:lineRule="exact"/>
      <w:jc w:val="both"/>
    </w:pPr>
  </w:style>
  <w:style w:type="character" w:customStyle="1" w:styleId="Bodytext7">
    <w:name w:val="Body text (7)_"/>
    <w:basedOn w:val="a1"/>
    <w:rPr>
      <w:rFonts w:ascii="Times New Roman" w:eastAsia="Times New Roman" w:hAnsi="Times New Roman" w:cs="Times New Roman"/>
      <w:i/>
      <w:iCs/>
      <w:sz w:val="21"/>
      <w:szCs w:val="21"/>
      <w:shd w:val="clear" w:color="auto" w:fill="FFFFFF"/>
    </w:rPr>
  </w:style>
  <w:style w:type="paragraph" w:customStyle="1" w:styleId="Bodytext70">
    <w:name w:val="Body text (7)"/>
    <w:basedOn w:val="a0"/>
    <w:pPr>
      <w:widowControl w:val="0"/>
      <w:shd w:val="clear" w:color="auto" w:fill="FFFFFF"/>
      <w:spacing w:line="0" w:lineRule="atLeast"/>
      <w:jc w:val="both"/>
    </w:pPr>
    <w:rPr>
      <w:i/>
      <w:iCs/>
      <w:sz w:val="21"/>
      <w:szCs w:val="21"/>
    </w:rPr>
  </w:style>
  <w:style w:type="character" w:customStyle="1" w:styleId="UnresolvedMention2">
    <w:name w:val="Unresolved Mention2"/>
    <w:basedOn w:val="a1"/>
    <w:rPr>
      <w:color w:val="605E5C"/>
      <w:shd w:val="clear" w:color="auto" w:fill="E1DFDD"/>
    </w:rPr>
  </w:style>
  <w:style w:type="paragraph" w:customStyle="1" w:styleId="Text1">
    <w:name w:val="Text 1"/>
    <w:basedOn w:val="a0"/>
    <w:pPr>
      <w:spacing w:after="240"/>
      <w:ind w:left="482"/>
      <w:jc w:val="both"/>
    </w:pPr>
    <w:rPr>
      <w:szCs w:val="20"/>
      <w:lang w:bidi="bg-BG"/>
    </w:rPr>
  </w:style>
  <w:style w:type="paragraph" w:customStyle="1" w:styleId="doc-ti">
    <w:name w:val="doc-ti"/>
    <w:basedOn w:val="a0"/>
    <w:pPr>
      <w:spacing w:before="100" w:after="100"/>
    </w:pPr>
  </w:style>
  <w:style w:type="paragraph" w:customStyle="1" w:styleId="title-doc-first">
    <w:name w:val="title-doc-first"/>
    <w:basedOn w:val="a0"/>
    <w:pPr>
      <w:spacing w:before="100" w:after="100"/>
    </w:pPr>
  </w:style>
  <w:style w:type="paragraph" w:customStyle="1" w:styleId="title-doc-last">
    <w:name w:val="title-doc-last"/>
    <w:basedOn w:val="a0"/>
    <w:pPr>
      <w:spacing w:before="100" w:after="100"/>
    </w:pPr>
  </w:style>
  <w:style w:type="paragraph" w:customStyle="1" w:styleId="title-doc-oj-reference">
    <w:name w:val="title-doc-oj-reference"/>
    <w:basedOn w:val="a0"/>
    <w:pPr>
      <w:spacing w:before="100" w:after="100"/>
    </w:pPr>
  </w:style>
  <w:style w:type="paragraph" w:customStyle="1" w:styleId="title-division-1">
    <w:name w:val="title-division-1"/>
    <w:basedOn w:val="a0"/>
    <w:pPr>
      <w:spacing w:before="100" w:after="100"/>
    </w:pPr>
  </w:style>
  <w:style w:type="paragraph" w:customStyle="1" w:styleId="title-division-2">
    <w:name w:val="title-division-2"/>
    <w:basedOn w:val="a0"/>
    <w:pPr>
      <w:spacing w:before="100" w:after="100"/>
    </w:pPr>
  </w:style>
  <w:style w:type="paragraph" w:customStyle="1" w:styleId="title-article-norm">
    <w:name w:val="title-article-norm"/>
    <w:basedOn w:val="a0"/>
    <w:pPr>
      <w:spacing w:before="100" w:after="100"/>
    </w:pPr>
  </w:style>
  <w:style w:type="paragraph" w:customStyle="1" w:styleId="stitle-article-norm">
    <w:name w:val="stitle-article-norm"/>
    <w:basedOn w:val="a0"/>
    <w:pPr>
      <w:spacing w:before="100" w:after="100"/>
    </w:pPr>
  </w:style>
  <w:style w:type="paragraph" w:customStyle="1" w:styleId="norm">
    <w:name w:val="norm"/>
    <w:basedOn w:val="a0"/>
    <w:pPr>
      <w:spacing w:before="100" w:after="100"/>
    </w:pPr>
  </w:style>
  <w:style w:type="paragraph" w:customStyle="1" w:styleId="moifootnote">
    <w:name w:val="moi footnote"/>
    <w:basedOn w:val="aa"/>
    <w:pPr>
      <w:spacing w:after="40"/>
      <w:ind w:left="210" w:hanging="210"/>
      <w:jc w:val="both"/>
    </w:pPr>
    <w:rPr>
      <w:rFonts w:ascii="Arial" w:eastAsia="Calibri" w:hAnsi="Arial" w:cs="Arial"/>
      <w:sz w:val="18"/>
    </w:rPr>
  </w:style>
  <w:style w:type="character" w:customStyle="1" w:styleId="moifootnoteChar">
    <w:name w:val="moi footnote Char"/>
    <w:rPr>
      <w:rFonts w:ascii="Arial" w:eastAsia="Calibri" w:hAnsi="Arial" w:cs="Arial"/>
      <w:sz w:val="18"/>
      <w:szCs w:val="20"/>
      <w:lang w:val="bg-BG"/>
    </w:rPr>
  </w:style>
  <w:style w:type="paragraph" w:customStyle="1" w:styleId="FootnoteReferenceCharCarCharCharCarCharCarCharCarCharCarCharCharCarCarCharCharCharCharCharCarCharCarCharCharCarCharCar">
    <w:name w:val="Footnote Reference Char Car Char Char Car Char Car Char Car Char Car Char Char Car Car Char Char Char Char Char Car Char Car Char Char Car Char Car"/>
    <w:basedOn w:val="a0"/>
    <w:pPr>
      <w:spacing w:line="240" w:lineRule="exact"/>
    </w:pPr>
    <w:rPr>
      <w:vertAlign w:val="superscript"/>
    </w:rPr>
  </w:style>
  <w:style w:type="paragraph" w:customStyle="1" w:styleId="Textbody">
    <w:name w:val="Text body"/>
    <w:basedOn w:val="a0"/>
    <w:pPr>
      <w:spacing w:before="240" w:after="120" w:line="260" w:lineRule="exact"/>
      <w:jc w:val="both"/>
    </w:pPr>
    <w:rPr>
      <w:color w:val="000000"/>
    </w:rPr>
  </w:style>
  <w:style w:type="character" w:customStyle="1" w:styleId="TextbodyChar">
    <w:name w:val="Text body Char"/>
    <w:basedOn w:val="a1"/>
    <w:rPr>
      <w:rFonts w:ascii="Times New Roman" w:hAnsi="Times New Roman" w:cs="Times New Roman"/>
      <w:color w:val="000000"/>
      <w:lang w:val="bg-BG"/>
    </w:rPr>
  </w:style>
  <w:style w:type="character" w:customStyle="1" w:styleId="charoverride-4">
    <w:name w:val="charoverride-4"/>
    <w:basedOn w:val="a1"/>
  </w:style>
  <w:style w:type="character" w:customStyle="1" w:styleId="legaldocreference">
    <w:name w:val="legaldocreference"/>
    <w:basedOn w:val="a1"/>
  </w:style>
  <w:style w:type="paragraph" w:customStyle="1" w:styleId="Text2">
    <w:name w:val="Text 2"/>
    <w:basedOn w:val="a0"/>
    <w:pPr>
      <w:spacing w:after="240"/>
      <w:ind w:left="1202"/>
      <w:jc w:val="both"/>
    </w:pPr>
    <w:rPr>
      <w:szCs w:val="20"/>
      <w:lang w:eastAsia="en-IE"/>
    </w:rPr>
  </w:style>
  <w:style w:type="paragraph" w:customStyle="1" w:styleId="ListDash4">
    <w:name w:val="List Dash 4"/>
    <w:basedOn w:val="a0"/>
    <w:pPr>
      <w:spacing w:after="240"/>
      <w:jc w:val="both"/>
    </w:pPr>
    <w:rPr>
      <w:szCs w:val="20"/>
      <w:lang w:eastAsia="en-IE"/>
    </w:rPr>
  </w:style>
  <w:style w:type="paragraph" w:customStyle="1" w:styleId="ListDash4Level2">
    <w:name w:val="List Dash 4 (Level 2)"/>
    <w:basedOn w:val="a0"/>
    <w:pPr>
      <w:spacing w:after="240"/>
      <w:jc w:val="both"/>
    </w:pPr>
    <w:rPr>
      <w:szCs w:val="20"/>
      <w:lang w:eastAsia="en-IE"/>
    </w:rPr>
  </w:style>
  <w:style w:type="paragraph" w:customStyle="1" w:styleId="ListDash4Level3">
    <w:name w:val="List Dash 4 (Level 3)"/>
    <w:basedOn w:val="a0"/>
    <w:pPr>
      <w:spacing w:after="240"/>
      <w:jc w:val="both"/>
    </w:pPr>
    <w:rPr>
      <w:szCs w:val="20"/>
      <w:lang w:eastAsia="en-IE"/>
    </w:rPr>
  </w:style>
  <w:style w:type="paragraph" w:customStyle="1" w:styleId="ListDash4Level4">
    <w:name w:val="List Dash 4 (Level 4)"/>
    <w:basedOn w:val="a0"/>
    <w:pPr>
      <w:numPr>
        <w:numId w:val="8"/>
      </w:numPr>
      <w:spacing w:after="240"/>
      <w:jc w:val="both"/>
    </w:pPr>
    <w:rPr>
      <w:szCs w:val="20"/>
      <w:lang w:eastAsia="en-IE"/>
    </w:rPr>
  </w:style>
  <w:style w:type="paragraph" w:customStyle="1" w:styleId="SUPERSCharCharCharCharCharCharCharChar">
    <w:name w:val="SUPERS Char Char Char Char Char Char Char Char"/>
    <w:basedOn w:val="a0"/>
    <w:pPr>
      <w:spacing w:line="240" w:lineRule="exact"/>
      <w:jc w:val="both"/>
    </w:pPr>
    <w:rPr>
      <w:vertAlign w:val="superscript"/>
    </w:rPr>
  </w:style>
  <w:style w:type="character" w:customStyle="1" w:styleId="UnresolvedMention3">
    <w:name w:val="Unresolved Mention3"/>
    <w:basedOn w:val="a1"/>
    <w:rPr>
      <w:color w:val="605E5C"/>
      <w:shd w:val="clear" w:color="auto" w:fill="E1DFDD"/>
    </w:rPr>
  </w:style>
  <w:style w:type="paragraph" w:customStyle="1" w:styleId="a4">
    <w:name w:val="Без разредка"/>
    <w:pPr>
      <w:suppressAutoHyphens/>
      <w:spacing w:after="0" w:line="240" w:lineRule="auto"/>
    </w:pPr>
  </w:style>
  <w:style w:type="character" w:customStyle="1" w:styleId="Heading2Char1">
    <w:name w:val="Heading 2 Char1"/>
    <w:basedOn w:val="a1"/>
    <w:rPr>
      <w:rFonts w:ascii="Calibri Light" w:eastAsia="Times New Roman" w:hAnsi="Calibri Light" w:cs="Times New Roman"/>
      <w:color w:val="2F5496"/>
      <w:sz w:val="26"/>
      <w:szCs w:val="26"/>
    </w:rPr>
  </w:style>
  <w:style w:type="character" w:customStyle="1" w:styleId="Heading3Char1">
    <w:name w:val="Heading 3 Char1"/>
    <w:basedOn w:val="a1"/>
    <w:rPr>
      <w:rFonts w:ascii="Calibri Light" w:eastAsia="Times New Roman" w:hAnsi="Calibri Light" w:cs="Times New Roman"/>
      <w:color w:val="1F3763"/>
      <w:sz w:val="24"/>
      <w:szCs w:val="24"/>
    </w:rPr>
  </w:style>
  <w:style w:type="character" w:customStyle="1" w:styleId="af8">
    <w:name w:val="Хипервръзка"/>
    <w:basedOn w:val="a1"/>
    <w:rPr>
      <w:color w:val="0563C1"/>
      <w:u w:val="single"/>
    </w:rPr>
  </w:style>
  <w:style w:type="paragraph" w:customStyle="1" w:styleId="aa">
    <w:name w:val="Текст под линия"/>
    <w:basedOn w:val="a0"/>
    <w:rPr>
      <w:sz w:val="20"/>
      <w:szCs w:val="20"/>
    </w:rPr>
  </w:style>
  <w:style w:type="character" w:customStyle="1" w:styleId="FootnoteTextChar1">
    <w:name w:val="Footnote Text Char1"/>
    <w:basedOn w:val="a1"/>
    <w:rPr>
      <w:sz w:val="20"/>
      <w:szCs w:val="20"/>
    </w:rPr>
  </w:style>
  <w:style w:type="paragraph" w:customStyle="1" w:styleId="af9">
    <w:name w:val="Заглавие"/>
    <w:basedOn w:val="a0"/>
    <w:next w:val="a0"/>
    <w:rPr>
      <w:rFonts w:ascii="Calibri Light" w:hAnsi="Calibri Light"/>
      <w:spacing w:val="-10"/>
      <w:kern w:val="3"/>
      <w:sz w:val="56"/>
      <w:szCs w:val="56"/>
    </w:rPr>
  </w:style>
  <w:style w:type="character" w:customStyle="1" w:styleId="TitleChar2">
    <w:name w:val="Title Char2"/>
    <w:basedOn w:val="a1"/>
    <w:rPr>
      <w:rFonts w:ascii="Calibri Light" w:eastAsia="Times New Roman" w:hAnsi="Calibri Light" w:cs="Times New Roman"/>
      <w:spacing w:val="-10"/>
      <w:kern w:val="3"/>
      <w:sz w:val="56"/>
      <w:szCs w:val="56"/>
    </w:rPr>
  </w:style>
  <w:style w:type="paragraph" w:customStyle="1" w:styleId="afa">
    <w:name w:val="Интензивно цитиране"/>
    <w:basedOn w:val="a0"/>
    <w:next w:val="a0"/>
    <w:pPr>
      <w:pBdr>
        <w:top w:val="single" w:sz="4" w:space="10" w:color="4472C4"/>
        <w:bottom w:val="single" w:sz="4" w:space="10" w:color="4472C4"/>
      </w:pBdr>
      <w:spacing w:before="360" w:after="360"/>
      <w:ind w:left="864" w:right="864"/>
      <w:jc w:val="center"/>
    </w:pPr>
    <w:rPr>
      <w:i/>
      <w:iCs/>
      <w:color w:val="5B9BD5"/>
    </w:rPr>
  </w:style>
  <w:style w:type="character" w:customStyle="1" w:styleId="IntenseQuoteChar2">
    <w:name w:val="Intense Quote Char2"/>
    <w:basedOn w:val="a1"/>
    <w:rPr>
      <w:i/>
      <w:iCs/>
      <w:color w:val="4472C4"/>
    </w:rPr>
  </w:style>
  <w:style w:type="character" w:customStyle="1" w:styleId="afb">
    <w:name w:val="Бледо акцентиран"/>
    <w:basedOn w:val="a1"/>
    <w:rPr>
      <w:i/>
      <w:iCs/>
      <w:color w:val="404040"/>
    </w:rPr>
  </w:style>
  <w:style w:type="character" w:customStyle="1" w:styleId="afc">
    <w:name w:val="Интензивно акцентиран"/>
    <w:basedOn w:val="a1"/>
    <w:rPr>
      <w:i/>
      <w:iCs/>
      <w:color w:val="4472C4"/>
    </w:rPr>
  </w:style>
  <w:style w:type="character" w:customStyle="1" w:styleId="afd">
    <w:name w:val="Бледа препратка"/>
    <w:basedOn w:val="a1"/>
    <w:rPr>
      <w:smallCaps/>
      <w:color w:val="5A5A5A"/>
    </w:rPr>
  </w:style>
  <w:style w:type="character" w:customStyle="1" w:styleId="afe">
    <w:name w:val="Интензивна препратка"/>
    <w:basedOn w:val="a1"/>
    <w:rPr>
      <w:b/>
      <w:bCs/>
      <w:smallCaps/>
      <w:color w:val="4472C4"/>
      <w:spacing w:val="5"/>
    </w:rPr>
  </w:style>
  <w:style w:type="character" w:customStyle="1" w:styleId="aff">
    <w:name w:val="Прегледана хипервръзка"/>
    <w:basedOn w:val="a1"/>
    <w:rPr>
      <w:color w:val="954F72"/>
      <w:u w:val="single"/>
    </w:rPr>
  </w:style>
  <w:style w:type="paragraph" w:customStyle="1" w:styleId="TOC22">
    <w:name w:val="TOC 22"/>
    <w:basedOn w:val="a0"/>
    <w:next w:val="a0"/>
    <w:autoRedefine/>
    <w:pPr>
      <w:spacing w:after="100"/>
      <w:ind w:left="220"/>
    </w:pPr>
  </w:style>
  <w:style w:type="paragraph" w:customStyle="1" w:styleId="TOC12">
    <w:name w:val="TOC 12"/>
    <w:basedOn w:val="a0"/>
    <w:next w:val="a0"/>
    <w:autoRedefine/>
    <w:pPr>
      <w:spacing w:after="100"/>
    </w:pPr>
  </w:style>
  <w:style w:type="paragraph" w:customStyle="1" w:styleId="TOC32">
    <w:name w:val="TOC 32"/>
    <w:basedOn w:val="a0"/>
    <w:next w:val="a0"/>
    <w:autoRedefine/>
    <w:pPr>
      <w:spacing w:after="100"/>
      <w:ind w:left="440"/>
    </w:pPr>
  </w:style>
  <w:style w:type="paragraph" w:customStyle="1" w:styleId="TOC23">
    <w:name w:val="TOC 23"/>
    <w:basedOn w:val="a0"/>
    <w:next w:val="a0"/>
    <w:autoRedefine/>
    <w:pPr>
      <w:spacing w:after="100"/>
      <w:ind w:left="220"/>
    </w:pPr>
  </w:style>
  <w:style w:type="paragraph" w:customStyle="1" w:styleId="TOC13">
    <w:name w:val="TOC 13"/>
    <w:basedOn w:val="a0"/>
    <w:next w:val="a0"/>
    <w:autoRedefine/>
    <w:pPr>
      <w:spacing w:after="100"/>
    </w:pPr>
  </w:style>
  <w:style w:type="paragraph" w:customStyle="1" w:styleId="TOC33">
    <w:name w:val="TOC 33"/>
    <w:basedOn w:val="a0"/>
    <w:next w:val="a0"/>
    <w:autoRedefine/>
    <w:pPr>
      <w:spacing w:after="100"/>
      <w:ind w:left="440"/>
    </w:pPr>
  </w:style>
  <w:style w:type="character" w:customStyle="1" w:styleId="UnresolvedMention4">
    <w:name w:val="Unresolved Mention4"/>
    <w:basedOn w:val="a1"/>
    <w:rPr>
      <w:color w:val="605E5C"/>
      <w:shd w:val="clear" w:color="auto" w:fill="E1DFDD"/>
    </w:rPr>
  </w:style>
  <w:style w:type="character" w:customStyle="1" w:styleId="aff0">
    <w:name w:val="Текст под линия Знак"/>
    <w:basedOn w:val="a1"/>
    <w:rPr>
      <w:rFonts w:ascii="Times New Roman" w:eastAsia="Times New Roman" w:hAnsi="Times New Roman"/>
      <w:sz w:val="20"/>
      <w:szCs w:val="20"/>
      <w:lang w:val="bg-BG" w:eastAsia="bg-BG"/>
    </w:rPr>
  </w:style>
  <w:style w:type="character" w:customStyle="1" w:styleId="aff1">
    <w:name w:val="Надпис Знак"/>
    <w:rPr>
      <w:rFonts w:ascii="Times New Roman" w:hAnsi="Times New Roman" w:cs="Calibri"/>
      <w:b/>
      <w:bCs/>
      <w:sz w:val="20"/>
      <w:szCs w:val="20"/>
      <w:lang w:val="bg-BG" w:eastAsia="ar-SA"/>
    </w:rPr>
  </w:style>
  <w:style w:type="paragraph" w:customStyle="1" w:styleId="Source">
    <w:name w:val="Source"/>
    <w:basedOn w:val="a0"/>
    <w:pPr>
      <w:suppressAutoHyphens w:val="0"/>
      <w:autoSpaceDE/>
      <w:spacing w:before="60" w:after="200"/>
      <w:jc w:val="center"/>
      <w:textAlignment w:val="auto"/>
    </w:pPr>
    <w:rPr>
      <w:rFonts w:ascii="Calibri" w:eastAsia="Calibri" w:hAnsi="Calibri" w:cs="Calibri"/>
      <w:i/>
      <w:sz w:val="20"/>
      <w:szCs w:val="20"/>
      <w:lang w:val="en-US" w:eastAsia="en-US"/>
    </w:rPr>
  </w:style>
  <w:style w:type="character" w:customStyle="1" w:styleId="aff2">
    <w:name w:val="Списък на абзаци Знак"/>
    <w:basedOn w:val="a1"/>
    <w:rPr>
      <w:rFonts w:ascii="Times New Roman" w:eastAsia="Times New Roman" w:hAnsi="Times New Roman"/>
      <w:sz w:val="24"/>
      <w:szCs w:val="24"/>
      <w:lang w:val="bg-BG" w:eastAsia="bg-BG"/>
    </w:rPr>
  </w:style>
  <w:style w:type="character" w:customStyle="1" w:styleId="Hyperlink0">
    <w:name w:val="Hyperlink.0"/>
    <w:basedOn w:val="a1"/>
    <w:rPr>
      <w:color w:val="0563C1"/>
      <w:sz w:val="18"/>
      <w:szCs w:val="18"/>
      <w:u w:val="single" w:color="0563C1"/>
    </w:rPr>
  </w:style>
  <w:style w:type="paragraph" w:customStyle="1" w:styleId="Body">
    <w:name w:val="Body"/>
    <w:pPr>
      <w:pBdr>
        <w:top w:val="single" w:sz="2" w:space="31" w:color="FFFFFF" w:shadow="1"/>
        <w:left w:val="single" w:sz="2" w:space="31" w:color="FFFFFF" w:shadow="1"/>
        <w:bottom w:val="single" w:sz="2" w:space="31" w:color="FFFFFF" w:shadow="1"/>
        <w:right w:val="single" w:sz="2" w:space="31" w:color="FFFFFF" w:shadow="1"/>
      </w:pBdr>
      <w:spacing w:before="120" w:after="120" w:line="240" w:lineRule="auto"/>
      <w:jc w:val="both"/>
      <w:textAlignment w:val="auto"/>
    </w:pPr>
    <w:rPr>
      <w:rFonts w:ascii="Times New Roman" w:eastAsia="Arial Unicode MS" w:hAnsi="Times New Roman" w:cs="Arial Unicode MS"/>
      <w:color w:val="000000"/>
      <w:sz w:val="24"/>
      <w:szCs w:val="24"/>
      <w:lang w:val="bg-BG" w:eastAsia="en-GB"/>
    </w:rPr>
  </w:style>
  <w:style w:type="character" w:customStyle="1" w:styleId="None">
    <w:name w:val="None"/>
  </w:style>
  <w:style w:type="character" w:customStyle="1" w:styleId="Text1Char">
    <w:name w:val="Text 1 Char"/>
    <w:basedOn w:val="a1"/>
    <w:rPr>
      <w:rFonts w:ascii="Times New Roman" w:eastAsia="Times New Roman" w:hAnsi="Times New Roman"/>
      <w:sz w:val="24"/>
      <w:szCs w:val="20"/>
      <w:lang w:val="bg-BG" w:eastAsia="bg-BG" w:bidi="bg-BG"/>
    </w:rPr>
  </w:style>
  <w:style w:type="paragraph" w:customStyle="1" w:styleId="Commissionwill">
    <w:name w:val="Commission will"/>
    <w:pPr>
      <w:pBdr>
        <w:top w:val="single" w:sz="2" w:space="31" w:color="FFFFFF" w:shadow="1"/>
        <w:left w:val="single" w:sz="2" w:space="31" w:color="FFFFFF" w:shadow="1"/>
        <w:bottom w:val="single" w:sz="2" w:space="31" w:color="FFFFFF" w:shadow="1"/>
        <w:right w:val="single" w:sz="2" w:space="31" w:color="FFFFFF" w:shadow="1"/>
      </w:pBdr>
      <w:spacing w:before="120" w:after="120" w:line="240" w:lineRule="auto"/>
      <w:jc w:val="both"/>
      <w:textAlignment w:val="auto"/>
    </w:pPr>
    <w:rPr>
      <w:rFonts w:ascii="Times New Roman" w:eastAsia="Arial Unicode MS" w:hAnsi="Times New Roman" w:cs="Arial Unicode MS"/>
      <w:i/>
      <w:iCs/>
      <w:color w:val="000000"/>
      <w:sz w:val="24"/>
      <w:szCs w:val="24"/>
      <w:lang w:val="bg-BG" w:eastAsia="en-GB"/>
    </w:rPr>
  </w:style>
  <w:style w:type="paragraph" w:customStyle="1" w:styleId="aff3">
    <w:name w:val="Текст на коментар"/>
    <w:basedOn w:val="a0"/>
    <w:rPr>
      <w:sz w:val="20"/>
      <w:szCs w:val="20"/>
    </w:rPr>
  </w:style>
  <w:style w:type="character" w:customStyle="1" w:styleId="aff4">
    <w:name w:val="Текст на коментар Знак"/>
    <w:basedOn w:val="a1"/>
    <w:rPr>
      <w:rFonts w:ascii="Times New Roman" w:eastAsia="Times New Roman" w:hAnsi="Times New Roman"/>
      <w:sz w:val="20"/>
      <w:szCs w:val="20"/>
      <w:lang w:val="bg-BG" w:eastAsia="bg-BG"/>
    </w:rPr>
  </w:style>
  <w:style w:type="character" w:customStyle="1" w:styleId="aff5">
    <w:name w:val="Препратка към коментар"/>
    <w:basedOn w:val="a1"/>
    <w:rPr>
      <w:sz w:val="16"/>
      <w:szCs w:val="16"/>
    </w:rPr>
  </w:style>
  <w:style w:type="character" w:customStyle="1" w:styleId="BalloonTextChar1">
    <w:name w:val="Balloon Text Char1"/>
    <w:basedOn w:val="DefaultParagraphFont"/>
    <w:rPr>
      <w:rFonts w:ascii="Segoe UI" w:hAnsi="Segoe UI" w:cs="Segoe UI"/>
      <w:sz w:val="18"/>
      <w:szCs w:val="18"/>
    </w:rPr>
  </w:style>
  <w:style w:type="character" w:styleId="FootnoteReference">
    <w:name w:val="footnote reference"/>
    <w:basedOn w:val="DefaultParagraphFont"/>
    <w:rPr>
      <w:position w:val="0"/>
      <w:vertAlign w:val="superscript"/>
    </w:rPr>
  </w:style>
  <w:style w:type="numbering" w:customStyle="1" w:styleId="WWOutlineListStyle3">
    <w:name w:val="WW_OutlineListStyle_3"/>
    <w:basedOn w:val="NoList"/>
    <w:pPr>
      <w:numPr>
        <w:numId w:val="2"/>
      </w:numPr>
    </w:pPr>
  </w:style>
  <w:style w:type="numbering" w:customStyle="1" w:styleId="WWOutlineListStyle2">
    <w:name w:val="WW_OutlineListStyle_2"/>
    <w:basedOn w:val="NoList"/>
    <w:pPr>
      <w:numPr>
        <w:numId w:val="3"/>
      </w:numPr>
    </w:pPr>
  </w:style>
  <w:style w:type="numbering" w:customStyle="1" w:styleId="WWOutlineListStyle1">
    <w:name w:val="WW_OutlineListStyle_1"/>
    <w:basedOn w:val="NoList"/>
    <w:pPr>
      <w:numPr>
        <w:numId w:val="4"/>
      </w:numPr>
    </w:pPr>
  </w:style>
  <w:style w:type="numbering" w:customStyle="1" w:styleId="WWOutlineListStyle">
    <w:name w:val="WW_OutlineListStyle"/>
    <w:basedOn w:val="NoList"/>
    <w:pPr>
      <w:numPr>
        <w:numId w:val="5"/>
      </w:numPr>
    </w:pPr>
  </w:style>
  <w:style w:type="numbering" w:customStyle="1" w:styleId="ImportedStyle1">
    <w:name w:val="Imported Style 1"/>
    <w:basedOn w:val="NoList"/>
    <w:pPr>
      <w:numPr>
        <w:numId w:val="6"/>
      </w:numPr>
    </w:pPr>
  </w:style>
  <w:style w:type="numbering" w:customStyle="1" w:styleId="LFO2">
    <w:name w:val="LFO2"/>
    <w:basedOn w:val="NoList"/>
    <w:pPr>
      <w:numPr>
        <w:numId w:val="7"/>
      </w:numPr>
    </w:pPr>
  </w:style>
  <w:style w:type="numbering" w:customStyle="1" w:styleId="LFO15">
    <w:name w:val="LFO15"/>
    <w:basedOn w:val="NoList"/>
    <w:pPr>
      <w:numPr>
        <w:numId w:val="8"/>
      </w:numPr>
    </w:pPr>
  </w:style>
  <w:style w:type="paragraph" w:styleId="Header">
    <w:name w:val="header"/>
    <w:basedOn w:val="Normal"/>
    <w:link w:val="HeaderChar1"/>
    <w:uiPriority w:val="99"/>
    <w:unhideWhenUsed/>
    <w:rsid w:val="00607F56"/>
    <w:pPr>
      <w:tabs>
        <w:tab w:val="center" w:pos="4513"/>
        <w:tab w:val="right" w:pos="9026"/>
      </w:tabs>
      <w:spacing w:after="0" w:line="240" w:lineRule="auto"/>
    </w:pPr>
  </w:style>
  <w:style w:type="character" w:customStyle="1" w:styleId="HeaderChar1">
    <w:name w:val="Header Char1"/>
    <w:basedOn w:val="DefaultParagraphFont"/>
    <w:link w:val="Header"/>
    <w:uiPriority w:val="99"/>
    <w:rsid w:val="00607F56"/>
  </w:style>
  <w:style w:type="paragraph" w:styleId="Footer">
    <w:name w:val="footer"/>
    <w:basedOn w:val="Normal"/>
    <w:link w:val="FooterChar2"/>
    <w:uiPriority w:val="99"/>
    <w:unhideWhenUsed/>
    <w:rsid w:val="00607F56"/>
    <w:pPr>
      <w:tabs>
        <w:tab w:val="center" w:pos="4513"/>
        <w:tab w:val="right" w:pos="9026"/>
      </w:tabs>
      <w:spacing w:after="0" w:line="240" w:lineRule="auto"/>
    </w:pPr>
  </w:style>
  <w:style w:type="character" w:customStyle="1" w:styleId="FooterChar2">
    <w:name w:val="Footer Char2"/>
    <w:basedOn w:val="DefaultParagraphFont"/>
    <w:link w:val="Footer"/>
    <w:uiPriority w:val="99"/>
    <w:rsid w:val="00607F56"/>
  </w:style>
  <w:style w:type="character" w:customStyle="1" w:styleId="Heading2Char2">
    <w:name w:val="Heading 2 Char2"/>
    <w:basedOn w:val="DefaultParagraphFont"/>
    <w:link w:val="Heading2"/>
    <w:uiPriority w:val="9"/>
    <w:rsid w:val="00607F56"/>
    <w:rPr>
      <w:rFonts w:ascii="Times New Roman" w:eastAsiaTheme="majorEastAsia" w:hAnsi="Times New Roman"/>
      <w:b/>
      <w:bCs/>
      <w:color w:val="4472C4" w:themeColor="accent1"/>
      <w:sz w:val="24"/>
      <w:szCs w:val="24"/>
    </w:rPr>
  </w:style>
  <w:style w:type="paragraph" w:styleId="Caption">
    <w:name w:val="caption"/>
    <w:basedOn w:val="Normal"/>
    <w:next w:val="Normal"/>
    <w:uiPriority w:val="35"/>
    <w:unhideWhenUsed/>
    <w:qFormat/>
    <w:rsid w:val="00607F56"/>
    <w:pPr>
      <w:spacing w:after="200" w:line="240" w:lineRule="auto"/>
    </w:pPr>
    <w:rPr>
      <w:b/>
      <w:bCs/>
      <w:color w:val="4472C4" w:themeColor="accent1"/>
      <w:sz w:val="18"/>
      <w:szCs w:val="18"/>
    </w:rPr>
  </w:style>
  <w:style w:type="character" w:styleId="Hyperlink">
    <w:name w:val="Hyperlink"/>
    <w:basedOn w:val="DefaultParagraphFont"/>
    <w:uiPriority w:val="99"/>
    <w:unhideWhenUsed/>
    <w:rsid w:val="006F72FF"/>
    <w:rPr>
      <w:color w:val="0563C1" w:themeColor="hyperlink"/>
      <w:u w:val="single"/>
    </w:rPr>
  </w:style>
  <w:style w:type="paragraph" w:styleId="TableofFigures">
    <w:name w:val="table of figures"/>
    <w:basedOn w:val="Normal"/>
    <w:next w:val="Normal"/>
    <w:uiPriority w:val="99"/>
    <w:unhideWhenUsed/>
    <w:rsid w:val="006F72FF"/>
    <w:pPr>
      <w:spacing w:after="0"/>
    </w:pPr>
    <w:rPr>
      <w:rFonts w:ascii="Times New Roman" w:hAnsi="Times New Roman"/>
      <w:i/>
    </w:rPr>
  </w:style>
  <w:style w:type="character" w:customStyle="1" w:styleId="Heading1Char2">
    <w:name w:val="Heading 1 Char2"/>
    <w:basedOn w:val="DefaultParagraphFont"/>
    <w:link w:val="Heading1"/>
    <w:uiPriority w:val="9"/>
    <w:rsid w:val="002700D9"/>
    <w:rPr>
      <w:rFonts w:asciiTheme="majorHAnsi" w:eastAsiaTheme="majorEastAsia" w:hAnsiTheme="majorHAnsi" w:cstheme="majorBidi"/>
      <w:b/>
      <w:bCs/>
      <w:color w:val="2F5496" w:themeColor="accent1" w:themeShade="BF"/>
      <w:sz w:val="28"/>
      <w:szCs w:val="28"/>
    </w:rPr>
  </w:style>
  <w:style w:type="paragraph" w:styleId="TOCHeading">
    <w:name w:val="TOC Heading"/>
    <w:basedOn w:val="Heading1"/>
    <w:next w:val="Normal"/>
    <w:uiPriority w:val="39"/>
    <w:semiHidden/>
    <w:unhideWhenUsed/>
    <w:qFormat/>
    <w:rsid w:val="002700D9"/>
    <w:pPr>
      <w:autoSpaceDN/>
      <w:spacing w:line="276" w:lineRule="auto"/>
      <w:textAlignment w:val="auto"/>
      <w:outlineLvl w:val="9"/>
    </w:pPr>
    <w:rPr>
      <w:lang w:eastAsia="ja-JP"/>
    </w:rPr>
  </w:style>
  <w:style w:type="paragraph" w:styleId="TOC2">
    <w:name w:val="toc 2"/>
    <w:basedOn w:val="Normal"/>
    <w:next w:val="Normal"/>
    <w:autoRedefine/>
    <w:uiPriority w:val="39"/>
    <w:unhideWhenUsed/>
    <w:rsid w:val="002700D9"/>
    <w:pPr>
      <w:spacing w:after="100"/>
      <w:ind w:left="220"/>
    </w:pPr>
  </w:style>
  <w:style w:type="paragraph" w:styleId="NormalWeb">
    <w:name w:val="Normal (Web)"/>
    <w:basedOn w:val="Normal"/>
    <w:uiPriority w:val="99"/>
    <w:semiHidden/>
    <w:unhideWhenUsed/>
    <w:rsid w:val="008945B5"/>
    <w:pPr>
      <w:autoSpaceDN/>
      <w:spacing w:before="100" w:beforeAutospacing="1" w:after="100" w:afterAutospacing="1" w:line="240" w:lineRule="auto"/>
      <w:textAlignment w:val="auto"/>
    </w:pPr>
    <w:rPr>
      <w:rFonts w:ascii="Times New Roman" w:eastAsia="Times New Roman" w:hAnsi="Times New Roman"/>
      <w:sz w:val="24"/>
      <w:szCs w:val="24"/>
    </w:rPr>
  </w:style>
  <w:style w:type="character" w:styleId="Strong">
    <w:name w:val="Strong"/>
    <w:basedOn w:val="DefaultParagraphFont"/>
    <w:uiPriority w:val="22"/>
    <w:qFormat/>
    <w:rsid w:val="008945B5"/>
    <w:rPr>
      <w:b/>
      <w:bCs/>
    </w:rPr>
  </w:style>
  <w:style w:type="paragraph" w:styleId="FootnoteText">
    <w:name w:val="footnote text"/>
    <w:basedOn w:val="Normal"/>
    <w:link w:val="FootnoteTextChar2"/>
    <w:uiPriority w:val="99"/>
    <w:semiHidden/>
    <w:unhideWhenUsed/>
    <w:rsid w:val="00984BC4"/>
    <w:pPr>
      <w:spacing w:after="0" w:line="240" w:lineRule="auto"/>
    </w:pPr>
    <w:rPr>
      <w:sz w:val="20"/>
      <w:szCs w:val="20"/>
    </w:rPr>
  </w:style>
  <w:style w:type="character" w:customStyle="1" w:styleId="FootnoteTextChar2">
    <w:name w:val="Footnote Text Char2"/>
    <w:basedOn w:val="DefaultParagraphFont"/>
    <w:link w:val="FootnoteText"/>
    <w:uiPriority w:val="99"/>
    <w:semiHidden/>
    <w:rsid w:val="00984BC4"/>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28227">
      <w:bodyDiv w:val="1"/>
      <w:marLeft w:val="0"/>
      <w:marRight w:val="0"/>
      <w:marTop w:val="0"/>
      <w:marBottom w:val="0"/>
      <w:divBdr>
        <w:top w:val="none" w:sz="0" w:space="0" w:color="auto"/>
        <w:left w:val="none" w:sz="0" w:space="0" w:color="auto"/>
        <w:bottom w:val="none" w:sz="0" w:space="0" w:color="auto"/>
        <w:right w:val="none" w:sz="0" w:space="0" w:color="auto"/>
      </w:divBdr>
    </w:div>
    <w:div w:id="1709530813">
      <w:bodyDiv w:val="1"/>
      <w:marLeft w:val="0"/>
      <w:marRight w:val="0"/>
      <w:marTop w:val="0"/>
      <w:marBottom w:val="0"/>
      <w:divBdr>
        <w:top w:val="none" w:sz="0" w:space="0" w:color="auto"/>
        <w:left w:val="none" w:sz="0" w:space="0" w:color="auto"/>
        <w:bottom w:val="none" w:sz="0" w:space="0" w:color="auto"/>
        <w:right w:val="none" w:sz="0" w:space="0" w:color="auto"/>
      </w:divBdr>
    </w:div>
    <w:div w:id="20776287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eader" Target="header1.xml"/><Relationship Id="rId8" Type="http://schemas.openxmlformats.org/officeDocument/2006/relationships/image" Target="media/image1.jpeg"/></Relationships>
</file>

<file path=word/_rels/footnotes.xml.rels><?xml version="1.0" encoding="UTF-8" standalone="yes"?>
<Relationships xmlns="http://schemas.openxmlformats.org/package/2006/relationships"><Relationship Id="rId8" Type="http://schemas.openxmlformats.org/officeDocument/2006/relationships/hyperlink" Target="https://ec.europa.eu/jrc/sites/jrcsh/files/jrc_091125_newsrelease_peseta_en.pdf" TargetMode="External"/><Relationship Id="rId13" Type="http://schemas.openxmlformats.org/officeDocument/2006/relationships/hyperlink" Target="https://www.eea.europa.eu/themes/climate/trends-and-projections-in-europe/climate-and-energy-country-profiles" TargetMode="External"/><Relationship Id="rId3" Type="http://schemas.openxmlformats.org/officeDocument/2006/relationships/hyperlink" Target="https://climate.copernicus.eu/sites/default/files/2021-04/ESOTC2020_summary.pdf" TargetMode="External"/><Relationship Id="rId7" Type="http://schemas.openxmlformats.org/officeDocument/2006/relationships/hyperlink" Target="https://unfccc.int/files/national_reports/annex_i_natcom/submitted_natcom/application/pdf/0917254_bulgaria-nc7-br3-1-vii_nc_bulgaria_2018.pdf" TargetMode="External"/><Relationship Id="rId12" Type="http://schemas.openxmlformats.org/officeDocument/2006/relationships/hyperlink" Target="https://www.eea.europa.eu/publications/trends-and-projections-in-europe-1" TargetMode="External"/><Relationship Id="rId2" Type="http://schemas.openxmlformats.org/officeDocument/2006/relationships/hyperlink" Target="https://www.eea.europa.eu/publications/climate-change-impacts-and-vulnerability-2016" TargetMode="External"/><Relationship Id="rId1" Type="http://schemas.openxmlformats.org/officeDocument/2006/relationships/hyperlink" Target="http://eea.government.bg/bg/dokladi/dokumenti/BG_NIR_2020.pdf" TargetMode="External"/><Relationship Id="rId6" Type="http://schemas.openxmlformats.org/officeDocument/2006/relationships/hyperlink" Target="https://knowledge4policy.ec.europa.eu/publication/communication-com202182-forging-climate-resilient-europe-new-eu-strategy-adaptation_en" TargetMode="External"/><Relationship Id="rId11" Type="http://schemas.openxmlformats.org/officeDocument/2006/relationships/hyperlink" Target="http://eur-lex.europa.eu/legal-content/EN/ALL/?uri=CELEX:32009L0028" TargetMode="External"/><Relationship Id="rId5" Type="http://schemas.openxmlformats.org/officeDocument/2006/relationships/hyperlink" Target="https://www.ipcc.ch/report/ar5/syr/" TargetMode="External"/><Relationship Id="rId10" Type="http://schemas.openxmlformats.org/officeDocument/2006/relationships/hyperlink" Target="https://unfccc.int/" TargetMode="External"/><Relationship Id="rId4" Type="http://schemas.openxmlformats.org/officeDocument/2006/relationships/hyperlink" Target="https://climate.copernicus.eu/sites/default/files/2021-04/ESOTC2020_summary.pdf" TargetMode="External"/><Relationship Id="rId9" Type="http://schemas.openxmlformats.org/officeDocument/2006/relationships/hyperlink" Target="https://www.eea.europa.eu/publications/trends-and-projections-in-europe-1" TargetMode="External"/><Relationship Id="rId14" Type="http://schemas.openxmlformats.org/officeDocument/2006/relationships/hyperlink" Target="https://www.eea.europa.eu/themes/climate/trends-and-projections-in-europe/climate-and-energy-country-profile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8146968-A34F-483C-9DCF-5E3D62F6FF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40</Pages>
  <Words>13019</Words>
  <Characters>74212</Characters>
  <Application>Microsoft Office Word</Application>
  <DocSecurity>0</DocSecurity>
  <Lines>618</Lines>
  <Paragraphs>174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Atanaska Nikolova</dc:creator>
  <cp:lastModifiedBy>kamelia</cp:lastModifiedBy>
  <cp:revision>3</cp:revision>
  <dcterms:created xsi:type="dcterms:W3CDTF">2021-06-13T21:57:00Z</dcterms:created>
  <dcterms:modified xsi:type="dcterms:W3CDTF">2021-06-13T21:57:00Z</dcterms:modified>
</cp:coreProperties>
</file>