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27A335" w14:textId="00D2F283" w:rsidR="000532D9" w:rsidRPr="00E15F8F" w:rsidRDefault="000532D9" w:rsidP="004E05D3">
      <w:pPr>
        <w:shd w:val="clear" w:color="auto" w:fill="FFFFFF"/>
        <w:spacing w:after="0" w:line="235" w:lineRule="atLeast"/>
        <w:rPr>
          <w:rFonts w:ascii="Times New Roman" w:hAnsi="Times New Roman" w:cs="Times New Roman"/>
          <w:b/>
          <w:bCs/>
          <w:color w:val="2F5496" w:themeColor="accent1" w:themeShade="BF"/>
          <w:sz w:val="28"/>
          <w:szCs w:val="28"/>
          <w:lang w:val="bg-BG"/>
        </w:rPr>
      </w:pPr>
      <w:r w:rsidRPr="00E15F8F">
        <w:rPr>
          <w:rFonts w:ascii="Times New Roman" w:hAnsi="Times New Roman" w:cs="Times New Roman"/>
          <w:b/>
          <w:bCs/>
          <w:color w:val="2F5496" w:themeColor="accent1" w:themeShade="BF"/>
          <w:sz w:val="28"/>
          <w:szCs w:val="28"/>
          <w:lang w:val="bg-BG"/>
        </w:rPr>
        <w:t xml:space="preserve">Приложение </w:t>
      </w:r>
      <w:r w:rsidR="00E15F8F" w:rsidRPr="00E15F8F">
        <w:rPr>
          <w:rFonts w:ascii="Times New Roman" w:hAnsi="Times New Roman" w:cs="Times New Roman"/>
          <w:b/>
          <w:bCs/>
          <w:color w:val="2F5496" w:themeColor="accent1" w:themeShade="BF"/>
          <w:sz w:val="28"/>
          <w:szCs w:val="28"/>
          <w:lang w:val="bg-BG"/>
        </w:rPr>
        <w:t xml:space="preserve">II.3.2. </w:t>
      </w:r>
      <w:r w:rsidRPr="00E15F8F">
        <w:rPr>
          <w:rFonts w:ascii="Times New Roman" w:hAnsi="Times New Roman" w:cs="Times New Roman"/>
          <w:b/>
          <w:bCs/>
          <w:color w:val="2F5496" w:themeColor="accent1" w:themeShade="BF"/>
          <w:sz w:val="28"/>
          <w:szCs w:val="28"/>
          <w:lang w:val="bg-BG"/>
        </w:rPr>
        <w:t>Управление на водните ресурси и качество на водите</w:t>
      </w:r>
    </w:p>
    <w:p w14:paraId="39ACDBBB" w14:textId="77777777" w:rsidR="000532D9" w:rsidRDefault="000532D9" w:rsidP="000532D9">
      <w:pPr>
        <w:shd w:val="clear" w:color="auto" w:fill="FFFFFF"/>
        <w:spacing w:after="0" w:line="235" w:lineRule="atLeast"/>
        <w:ind w:left="720" w:hanging="360"/>
        <w:rPr>
          <w:rFonts w:ascii="Times New Roman" w:hAnsi="Times New Roman" w:cs="Times New Roman"/>
          <w:lang w:val="bg-BG"/>
        </w:rPr>
      </w:pPr>
    </w:p>
    <w:sdt>
      <w:sdtPr>
        <w:rPr>
          <w:rFonts w:asciiTheme="minorHAnsi" w:eastAsiaTheme="minorHAnsi" w:hAnsiTheme="minorHAnsi" w:cstheme="minorBidi"/>
          <w:b w:val="0"/>
          <w:bCs w:val="0"/>
          <w:color w:val="auto"/>
          <w:sz w:val="22"/>
          <w:szCs w:val="22"/>
          <w:lang w:eastAsia="en-US"/>
        </w:rPr>
        <w:id w:val="805741449"/>
        <w:docPartObj>
          <w:docPartGallery w:val="Table of Contents"/>
          <w:docPartUnique/>
        </w:docPartObj>
      </w:sdtPr>
      <w:sdtEndPr>
        <w:rPr>
          <w:noProof/>
        </w:rPr>
      </w:sdtEndPr>
      <w:sdtContent>
        <w:p w14:paraId="61EF0495" w14:textId="137A059D" w:rsidR="006F34D7" w:rsidRPr="00E050A8" w:rsidRDefault="00E050A8" w:rsidP="00CC3E25">
          <w:pPr>
            <w:pStyle w:val="TOCHeading"/>
            <w:spacing w:line="360" w:lineRule="auto"/>
            <w:rPr>
              <w:rFonts w:ascii="Times New Roman" w:hAnsi="Times New Roman" w:cs="Times New Roman"/>
              <w:b w:val="0"/>
              <w:sz w:val="24"/>
              <w:szCs w:val="24"/>
              <w:lang w:val="bg-BG"/>
            </w:rPr>
          </w:pPr>
          <w:r w:rsidRPr="00E050A8">
            <w:rPr>
              <w:rFonts w:ascii="Times New Roman" w:hAnsi="Times New Roman" w:cs="Times New Roman"/>
              <w:b w:val="0"/>
              <w:sz w:val="24"/>
              <w:szCs w:val="24"/>
              <w:lang w:val="bg-BG"/>
            </w:rPr>
            <w:t>СЪДЪРЖАНИЕ</w:t>
          </w:r>
        </w:p>
        <w:p w14:paraId="331716F7" w14:textId="77777777" w:rsidR="006F34D7" w:rsidRPr="00E050A8" w:rsidRDefault="006F34D7" w:rsidP="00CC3E25">
          <w:pPr>
            <w:pStyle w:val="TOC2"/>
            <w:tabs>
              <w:tab w:val="right" w:leader="dot" w:pos="9350"/>
            </w:tabs>
            <w:spacing w:line="360" w:lineRule="auto"/>
            <w:rPr>
              <w:rFonts w:ascii="Times New Roman" w:hAnsi="Times New Roman" w:cs="Times New Roman"/>
              <w:noProof/>
              <w:sz w:val="24"/>
              <w:szCs w:val="24"/>
            </w:rPr>
          </w:pPr>
          <w:r w:rsidRPr="00E050A8">
            <w:rPr>
              <w:rFonts w:ascii="Times New Roman" w:hAnsi="Times New Roman" w:cs="Times New Roman"/>
              <w:sz w:val="24"/>
              <w:szCs w:val="24"/>
            </w:rPr>
            <w:fldChar w:fldCharType="begin"/>
          </w:r>
          <w:r w:rsidRPr="00E050A8">
            <w:rPr>
              <w:rFonts w:ascii="Times New Roman" w:hAnsi="Times New Roman" w:cs="Times New Roman"/>
              <w:sz w:val="24"/>
              <w:szCs w:val="24"/>
            </w:rPr>
            <w:instrText xml:space="preserve"> TOC \o "1-3" \h \z \u </w:instrText>
          </w:r>
          <w:r w:rsidRPr="00E050A8">
            <w:rPr>
              <w:rFonts w:ascii="Times New Roman" w:hAnsi="Times New Roman" w:cs="Times New Roman"/>
              <w:sz w:val="24"/>
              <w:szCs w:val="24"/>
            </w:rPr>
            <w:fldChar w:fldCharType="separate"/>
          </w:r>
          <w:hyperlink w:anchor="_Toc72916675" w:history="1">
            <w:r w:rsidRPr="00E050A8">
              <w:rPr>
                <w:rStyle w:val="Hyperlink"/>
                <w:rFonts w:ascii="Times New Roman" w:hAnsi="Times New Roman" w:cs="Times New Roman"/>
                <w:bCs/>
                <w:noProof/>
                <w:sz w:val="24"/>
                <w:szCs w:val="24"/>
                <w:lang w:val="bg-BG"/>
              </w:rPr>
              <w:t>Въведение</w:t>
            </w:r>
            <w:r w:rsidRPr="00E050A8">
              <w:rPr>
                <w:rFonts w:ascii="Times New Roman" w:hAnsi="Times New Roman" w:cs="Times New Roman"/>
                <w:noProof/>
                <w:webHidden/>
                <w:sz w:val="24"/>
                <w:szCs w:val="24"/>
              </w:rPr>
              <w:tab/>
            </w:r>
            <w:r w:rsidRPr="00E050A8">
              <w:rPr>
                <w:rFonts w:ascii="Times New Roman" w:hAnsi="Times New Roman" w:cs="Times New Roman"/>
                <w:noProof/>
                <w:webHidden/>
                <w:sz w:val="24"/>
                <w:szCs w:val="24"/>
              </w:rPr>
              <w:fldChar w:fldCharType="begin"/>
            </w:r>
            <w:r w:rsidRPr="00E050A8">
              <w:rPr>
                <w:rFonts w:ascii="Times New Roman" w:hAnsi="Times New Roman" w:cs="Times New Roman"/>
                <w:noProof/>
                <w:webHidden/>
                <w:sz w:val="24"/>
                <w:szCs w:val="24"/>
              </w:rPr>
              <w:instrText xml:space="preserve"> PAGEREF _Toc72916675 \h </w:instrText>
            </w:r>
            <w:r w:rsidRPr="00E050A8">
              <w:rPr>
                <w:rFonts w:ascii="Times New Roman" w:hAnsi="Times New Roman" w:cs="Times New Roman"/>
                <w:noProof/>
                <w:webHidden/>
                <w:sz w:val="24"/>
                <w:szCs w:val="24"/>
              </w:rPr>
            </w:r>
            <w:r w:rsidRPr="00E050A8">
              <w:rPr>
                <w:rFonts w:ascii="Times New Roman" w:hAnsi="Times New Roman" w:cs="Times New Roman"/>
                <w:noProof/>
                <w:webHidden/>
                <w:sz w:val="24"/>
                <w:szCs w:val="24"/>
              </w:rPr>
              <w:fldChar w:fldCharType="separate"/>
            </w:r>
            <w:r w:rsidR="00E050A8">
              <w:rPr>
                <w:rFonts w:ascii="Times New Roman" w:hAnsi="Times New Roman" w:cs="Times New Roman"/>
                <w:noProof/>
                <w:webHidden/>
                <w:sz w:val="24"/>
                <w:szCs w:val="24"/>
              </w:rPr>
              <w:t>2</w:t>
            </w:r>
            <w:r w:rsidRPr="00E050A8">
              <w:rPr>
                <w:rFonts w:ascii="Times New Roman" w:hAnsi="Times New Roman" w:cs="Times New Roman"/>
                <w:noProof/>
                <w:webHidden/>
                <w:sz w:val="24"/>
                <w:szCs w:val="24"/>
              </w:rPr>
              <w:fldChar w:fldCharType="end"/>
            </w:r>
          </w:hyperlink>
        </w:p>
        <w:p w14:paraId="17D8D5CE" w14:textId="77777777" w:rsidR="006F34D7" w:rsidRPr="00E050A8" w:rsidRDefault="008663D3" w:rsidP="00CC3E25">
          <w:pPr>
            <w:pStyle w:val="TOC2"/>
            <w:tabs>
              <w:tab w:val="right" w:leader="dot" w:pos="9350"/>
            </w:tabs>
            <w:spacing w:line="360" w:lineRule="auto"/>
            <w:rPr>
              <w:rFonts w:ascii="Times New Roman" w:hAnsi="Times New Roman" w:cs="Times New Roman"/>
              <w:noProof/>
              <w:sz w:val="24"/>
              <w:szCs w:val="24"/>
            </w:rPr>
          </w:pPr>
          <w:hyperlink w:anchor="_Toc72916676" w:history="1">
            <w:r w:rsidR="006F34D7" w:rsidRPr="00E050A8">
              <w:rPr>
                <w:rStyle w:val="Hyperlink"/>
                <w:rFonts w:ascii="Times New Roman" w:hAnsi="Times New Roman" w:cs="Times New Roman"/>
                <w:bCs/>
                <w:noProof/>
                <w:sz w:val="24"/>
                <w:szCs w:val="24"/>
                <w:lang w:val="bg-BG"/>
              </w:rPr>
              <w:t>Контекст и цели на политиката в областта на управлението на водите – международен, европейски и национален</w:t>
            </w:r>
            <w:r w:rsidR="006F34D7" w:rsidRPr="00E050A8">
              <w:rPr>
                <w:rFonts w:ascii="Times New Roman" w:hAnsi="Times New Roman" w:cs="Times New Roman"/>
                <w:noProof/>
                <w:webHidden/>
                <w:sz w:val="24"/>
                <w:szCs w:val="24"/>
              </w:rPr>
              <w:tab/>
            </w:r>
            <w:r w:rsidR="006F34D7" w:rsidRPr="00E050A8">
              <w:rPr>
                <w:rFonts w:ascii="Times New Roman" w:hAnsi="Times New Roman" w:cs="Times New Roman"/>
                <w:noProof/>
                <w:webHidden/>
                <w:sz w:val="24"/>
                <w:szCs w:val="24"/>
              </w:rPr>
              <w:fldChar w:fldCharType="begin"/>
            </w:r>
            <w:r w:rsidR="006F34D7" w:rsidRPr="00E050A8">
              <w:rPr>
                <w:rFonts w:ascii="Times New Roman" w:hAnsi="Times New Roman" w:cs="Times New Roman"/>
                <w:noProof/>
                <w:webHidden/>
                <w:sz w:val="24"/>
                <w:szCs w:val="24"/>
              </w:rPr>
              <w:instrText xml:space="preserve"> PAGEREF _Toc72916676 \h </w:instrText>
            </w:r>
            <w:r w:rsidR="006F34D7" w:rsidRPr="00E050A8">
              <w:rPr>
                <w:rFonts w:ascii="Times New Roman" w:hAnsi="Times New Roman" w:cs="Times New Roman"/>
                <w:noProof/>
                <w:webHidden/>
                <w:sz w:val="24"/>
                <w:szCs w:val="24"/>
              </w:rPr>
            </w:r>
            <w:r w:rsidR="006F34D7" w:rsidRPr="00E050A8">
              <w:rPr>
                <w:rFonts w:ascii="Times New Roman" w:hAnsi="Times New Roman" w:cs="Times New Roman"/>
                <w:noProof/>
                <w:webHidden/>
                <w:sz w:val="24"/>
                <w:szCs w:val="24"/>
              </w:rPr>
              <w:fldChar w:fldCharType="separate"/>
            </w:r>
            <w:r w:rsidR="00E050A8">
              <w:rPr>
                <w:rFonts w:ascii="Times New Roman" w:hAnsi="Times New Roman" w:cs="Times New Roman"/>
                <w:noProof/>
                <w:webHidden/>
                <w:sz w:val="24"/>
                <w:szCs w:val="24"/>
              </w:rPr>
              <w:t>7</w:t>
            </w:r>
            <w:r w:rsidR="006F34D7" w:rsidRPr="00E050A8">
              <w:rPr>
                <w:rFonts w:ascii="Times New Roman" w:hAnsi="Times New Roman" w:cs="Times New Roman"/>
                <w:noProof/>
                <w:webHidden/>
                <w:sz w:val="24"/>
                <w:szCs w:val="24"/>
              </w:rPr>
              <w:fldChar w:fldCharType="end"/>
            </w:r>
          </w:hyperlink>
        </w:p>
        <w:p w14:paraId="748EEBAB" w14:textId="77777777" w:rsidR="006F34D7" w:rsidRPr="00E050A8" w:rsidRDefault="008663D3" w:rsidP="00CC3E25">
          <w:pPr>
            <w:pStyle w:val="TOC2"/>
            <w:tabs>
              <w:tab w:val="right" w:leader="dot" w:pos="9350"/>
            </w:tabs>
            <w:spacing w:line="360" w:lineRule="auto"/>
            <w:rPr>
              <w:rFonts w:ascii="Times New Roman" w:hAnsi="Times New Roman" w:cs="Times New Roman"/>
              <w:noProof/>
              <w:sz w:val="24"/>
              <w:szCs w:val="24"/>
            </w:rPr>
          </w:pPr>
          <w:hyperlink w:anchor="_Toc72916677" w:history="1">
            <w:r w:rsidR="006F34D7" w:rsidRPr="00E050A8">
              <w:rPr>
                <w:rStyle w:val="Hyperlink"/>
                <w:rFonts w:ascii="Times New Roman" w:hAnsi="Times New Roman" w:cs="Times New Roman"/>
                <w:bCs/>
                <w:noProof/>
                <w:sz w:val="24"/>
                <w:szCs w:val="24"/>
                <w:lang w:val="bg-BG"/>
              </w:rPr>
              <w:t>Състояние и тенденции</w:t>
            </w:r>
            <w:r w:rsidR="006F34D7" w:rsidRPr="00E050A8">
              <w:rPr>
                <w:rFonts w:ascii="Times New Roman" w:hAnsi="Times New Roman" w:cs="Times New Roman"/>
                <w:noProof/>
                <w:webHidden/>
                <w:sz w:val="24"/>
                <w:szCs w:val="24"/>
              </w:rPr>
              <w:tab/>
            </w:r>
            <w:r w:rsidR="006F34D7" w:rsidRPr="00E050A8">
              <w:rPr>
                <w:rFonts w:ascii="Times New Roman" w:hAnsi="Times New Roman" w:cs="Times New Roman"/>
                <w:noProof/>
                <w:webHidden/>
                <w:sz w:val="24"/>
                <w:szCs w:val="24"/>
              </w:rPr>
              <w:fldChar w:fldCharType="begin"/>
            </w:r>
            <w:r w:rsidR="006F34D7" w:rsidRPr="00E050A8">
              <w:rPr>
                <w:rFonts w:ascii="Times New Roman" w:hAnsi="Times New Roman" w:cs="Times New Roman"/>
                <w:noProof/>
                <w:webHidden/>
                <w:sz w:val="24"/>
                <w:szCs w:val="24"/>
              </w:rPr>
              <w:instrText xml:space="preserve"> PAGEREF _Toc72916677 \h </w:instrText>
            </w:r>
            <w:r w:rsidR="006F34D7" w:rsidRPr="00E050A8">
              <w:rPr>
                <w:rFonts w:ascii="Times New Roman" w:hAnsi="Times New Roman" w:cs="Times New Roman"/>
                <w:noProof/>
                <w:webHidden/>
                <w:sz w:val="24"/>
                <w:szCs w:val="24"/>
              </w:rPr>
            </w:r>
            <w:r w:rsidR="006F34D7" w:rsidRPr="00E050A8">
              <w:rPr>
                <w:rFonts w:ascii="Times New Roman" w:hAnsi="Times New Roman" w:cs="Times New Roman"/>
                <w:noProof/>
                <w:webHidden/>
                <w:sz w:val="24"/>
                <w:szCs w:val="24"/>
              </w:rPr>
              <w:fldChar w:fldCharType="separate"/>
            </w:r>
            <w:r w:rsidR="00E050A8">
              <w:rPr>
                <w:rFonts w:ascii="Times New Roman" w:hAnsi="Times New Roman" w:cs="Times New Roman"/>
                <w:noProof/>
                <w:webHidden/>
                <w:sz w:val="24"/>
                <w:szCs w:val="24"/>
              </w:rPr>
              <w:t>14</w:t>
            </w:r>
            <w:r w:rsidR="006F34D7" w:rsidRPr="00E050A8">
              <w:rPr>
                <w:rFonts w:ascii="Times New Roman" w:hAnsi="Times New Roman" w:cs="Times New Roman"/>
                <w:noProof/>
                <w:webHidden/>
                <w:sz w:val="24"/>
                <w:szCs w:val="24"/>
              </w:rPr>
              <w:fldChar w:fldCharType="end"/>
            </w:r>
          </w:hyperlink>
        </w:p>
        <w:p w14:paraId="29F3E2ED" w14:textId="77777777" w:rsidR="006F34D7" w:rsidRPr="00E050A8" w:rsidRDefault="008663D3" w:rsidP="00CC3E25">
          <w:pPr>
            <w:pStyle w:val="TOC2"/>
            <w:tabs>
              <w:tab w:val="right" w:leader="dot" w:pos="9350"/>
            </w:tabs>
            <w:spacing w:line="360" w:lineRule="auto"/>
            <w:rPr>
              <w:rFonts w:ascii="Times New Roman" w:hAnsi="Times New Roman" w:cs="Times New Roman"/>
              <w:noProof/>
              <w:sz w:val="24"/>
              <w:szCs w:val="24"/>
            </w:rPr>
          </w:pPr>
          <w:hyperlink w:anchor="_Toc72916678" w:history="1">
            <w:r w:rsidR="006F34D7" w:rsidRPr="00E050A8">
              <w:rPr>
                <w:rStyle w:val="Hyperlink"/>
                <w:rFonts w:ascii="Times New Roman" w:hAnsi="Times New Roman" w:cs="Times New Roman"/>
                <w:bCs/>
                <w:noProof/>
                <w:sz w:val="24"/>
                <w:szCs w:val="24"/>
                <w:lang w:val="bg-BG"/>
              </w:rPr>
              <w:t>Движещи сили и фактори на натиск</w:t>
            </w:r>
            <w:r w:rsidR="006F34D7" w:rsidRPr="00E050A8">
              <w:rPr>
                <w:rFonts w:ascii="Times New Roman" w:hAnsi="Times New Roman" w:cs="Times New Roman"/>
                <w:noProof/>
                <w:webHidden/>
                <w:sz w:val="24"/>
                <w:szCs w:val="24"/>
              </w:rPr>
              <w:tab/>
            </w:r>
            <w:r w:rsidR="006F34D7" w:rsidRPr="00E050A8">
              <w:rPr>
                <w:rFonts w:ascii="Times New Roman" w:hAnsi="Times New Roman" w:cs="Times New Roman"/>
                <w:noProof/>
                <w:webHidden/>
                <w:sz w:val="24"/>
                <w:szCs w:val="24"/>
              </w:rPr>
              <w:fldChar w:fldCharType="begin"/>
            </w:r>
            <w:r w:rsidR="006F34D7" w:rsidRPr="00E050A8">
              <w:rPr>
                <w:rFonts w:ascii="Times New Roman" w:hAnsi="Times New Roman" w:cs="Times New Roman"/>
                <w:noProof/>
                <w:webHidden/>
                <w:sz w:val="24"/>
                <w:szCs w:val="24"/>
              </w:rPr>
              <w:instrText xml:space="preserve"> PAGEREF _Toc72916678 \h </w:instrText>
            </w:r>
            <w:r w:rsidR="006F34D7" w:rsidRPr="00E050A8">
              <w:rPr>
                <w:rFonts w:ascii="Times New Roman" w:hAnsi="Times New Roman" w:cs="Times New Roman"/>
                <w:noProof/>
                <w:webHidden/>
                <w:sz w:val="24"/>
                <w:szCs w:val="24"/>
              </w:rPr>
            </w:r>
            <w:r w:rsidR="006F34D7" w:rsidRPr="00E050A8">
              <w:rPr>
                <w:rFonts w:ascii="Times New Roman" w:hAnsi="Times New Roman" w:cs="Times New Roman"/>
                <w:noProof/>
                <w:webHidden/>
                <w:sz w:val="24"/>
                <w:szCs w:val="24"/>
              </w:rPr>
              <w:fldChar w:fldCharType="separate"/>
            </w:r>
            <w:r w:rsidR="00E050A8">
              <w:rPr>
                <w:rFonts w:ascii="Times New Roman" w:hAnsi="Times New Roman" w:cs="Times New Roman"/>
                <w:noProof/>
                <w:webHidden/>
                <w:sz w:val="24"/>
                <w:szCs w:val="24"/>
              </w:rPr>
              <w:t>27</w:t>
            </w:r>
            <w:r w:rsidR="006F34D7" w:rsidRPr="00E050A8">
              <w:rPr>
                <w:rFonts w:ascii="Times New Roman" w:hAnsi="Times New Roman" w:cs="Times New Roman"/>
                <w:noProof/>
                <w:webHidden/>
                <w:sz w:val="24"/>
                <w:szCs w:val="24"/>
              </w:rPr>
              <w:fldChar w:fldCharType="end"/>
            </w:r>
          </w:hyperlink>
        </w:p>
        <w:p w14:paraId="0C5575D8" w14:textId="77777777" w:rsidR="006F34D7" w:rsidRPr="00E050A8" w:rsidRDefault="008663D3" w:rsidP="00CC3E25">
          <w:pPr>
            <w:pStyle w:val="TOC2"/>
            <w:tabs>
              <w:tab w:val="right" w:leader="dot" w:pos="9350"/>
            </w:tabs>
            <w:spacing w:line="360" w:lineRule="auto"/>
            <w:rPr>
              <w:rFonts w:ascii="Times New Roman" w:hAnsi="Times New Roman" w:cs="Times New Roman"/>
              <w:noProof/>
              <w:sz w:val="24"/>
              <w:szCs w:val="24"/>
            </w:rPr>
          </w:pPr>
          <w:hyperlink w:anchor="_Toc72916679" w:history="1">
            <w:r w:rsidR="006F34D7" w:rsidRPr="00E050A8">
              <w:rPr>
                <w:rStyle w:val="Hyperlink"/>
                <w:rFonts w:ascii="Times New Roman" w:hAnsi="Times New Roman" w:cs="Times New Roman"/>
                <w:bCs/>
                <w:noProof/>
                <w:sz w:val="24"/>
                <w:szCs w:val="24"/>
                <w:lang w:val="bg-BG"/>
              </w:rPr>
              <w:t>Перспективи и препоръки за постигане на целите</w:t>
            </w:r>
            <w:r w:rsidR="006F34D7" w:rsidRPr="00E050A8">
              <w:rPr>
                <w:rFonts w:ascii="Times New Roman" w:hAnsi="Times New Roman" w:cs="Times New Roman"/>
                <w:noProof/>
                <w:webHidden/>
                <w:sz w:val="24"/>
                <w:szCs w:val="24"/>
              </w:rPr>
              <w:tab/>
            </w:r>
            <w:r w:rsidR="006F34D7" w:rsidRPr="00E050A8">
              <w:rPr>
                <w:rFonts w:ascii="Times New Roman" w:hAnsi="Times New Roman" w:cs="Times New Roman"/>
                <w:noProof/>
                <w:webHidden/>
                <w:sz w:val="24"/>
                <w:szCs w:val="24"/>
              </w:rPr>
              <w:fldChar w:fldCharType="begin"/>
            </w:r>
            <w:r w:rsidR="006F34D7" w:rsidRPr="00E050A8">
              <w:rPr>
                <w:rFonts w:ascii="Times New Roman" w:hAnsi="Times New Roman" w:cs="Times New Roman"/>
                <w:noProof/>
                <w:webHidden/>
                <w:sz w:val="24"/>
                <w:szCs w:val="24"/>
              </w:rPr>
              <w:instrText xml:space="preserve"> PAGEREF _Toc72916679 \h </w:instrText>
            </w:r>
            <w:r w:rsidR="006F34D7" w:rsidRPr="00E050A8">
              <w:rPr>
                <w:rFonts w:ascii="Times New Roman" w:hAnsi="Times New Roman" w:cs="Times New Roman"/>
                <w:noProof/>
                <w:webHidden/>
                <w:sz w:val="24"/>
                <w:szCs w:val="24"/>
              </w:rPr>
            </w:r>
            <w:r w:rsidR="006F34D7" w:rsidRPr="00E050A8">
              <w:rPr>
                <w:rFonts w:ascii="Times New Roman" w:hAnsi="Times New Roman" w:cs="Times New Roman"/>
                <w:noProof/>
                <w:webHidden/>
                <w:sz w:val="24"/>
                <w:szCs w:val="24"/>
              </w:rPr>
              <w:fldChar w:fldCharType="separate"/>
            </w:r>
            <w:r w:rsidR="00E050A8">
              <w:rPr>
                <w:rFonts w:ascii="Times New Roman" w:hAnsi="Times New Roman" w:cs="Times New Roman"/>
                <w:noProof/>
                <w:webHidden/>
                <w:sz w:val="24"/>
                <w:szCs w:val="24"/>
              </w:rPr>
              <w:t>54</w:t>
            </w:r>
            <w:r w:rsidR="006F34D7" w:rsidRPr="00E050A8">
              <w:rPr>
                <w:rFonts w:ascii="Times New Roman" w:hAnsi="Times New Roman" w:cs="Times New Roman"/>
                <w:noProof/>
                <w:webHidden/>
                <w:sz w:val="24"/>
                <w:szCs w:val="24"/>
              </w:rPr>
              <w:fldChar w:fldCharType="end"/>
            </w:r>
          </w:hyperlink>
        </w:p>
        <w:p w14:paraId="298FA2F2" w14:textId="4596877B" w:rsidR="006F34D7" w:rsidRDefault="006F34D7" w:rsidP="00CC3E25">
          <w:pPr>
            <w:spacing w:line="360" w:lineRule="auto"/>
          </w:pPr>
          <w:r w:rsidRPr="00E050A8">
            <w:rPr>
              <w:rFonts w:ascii="Times New Roman" w:hAnsi="Times New Roman" w:cs="Times New Roman"/>
              <w:bCs/>
              <w:noProof/>
              <w:sz w:val="24"/>
              <w:szCs w:val="24"/>
            </w:rPr>
            <w:fldChar w:fldCharType="end"/>
          </w:r>
        </w:p>
      </w:sdtContent>
    </w:sdt>
    <w:p w14:paraId="736035DF" w14:textId="77777777" w:rsidR="00E050A8" w:rsidRDefault="00E050A8" w:rsidP="00E050A8">
      <w:pPr>
        <w:pageBreakBefore/>
        <w:rPr>
          <w:rFonts w:ascii="Times New Roman" w:eastAsiaTheme="majorEastAsia" w:hAnsi="Times New Roman" w:cs="Times New Roman"/>
          <w:b/>
          <w:bCs/>
          <w:color w:val="2F5496" w:themeColor="accent1" w:themeShade="BF"/>
          <w:sz w:val="24"/>
          <w:szCs w:val="24"/>
          <w:lang w:val="bg-BG" w:eastAsia="ja-JP"/>
        </w:rPr>
      </w:pPr>
      <w:bookmarkStart w:id="0" w:name="_Toc72916675"/>
      <w:r>
        <w:rPr>
          <w:rFonts w:ascii="Times New Roman" w:eastAsiaTheme="majorEastAsia" w:hAnsi="Times New Roman" w:cs="Times New Roman"/>
          <w:b/>
          <w:bCs/>
          <w:color w:val="2F5496" w:themeColor="accent1" w:themeShade="BF"/>
          <w:sz w:val="24"/>
          <w:szCs w:val="24"/>
          <w:lang w:val="bg-BG" w:eastAsia="ja-JP"/>
        </w:rPr>
        <w:lastRenderedPageBreak/>
        <w:t>СПИСЪК НА ТАБЛИЦИТЕ</w:t>
      </w:r>
    </w:p>
    <w:p w14:paraId="0D2CD2FB" w14:textId="77777777" w:rsidR="00E050A8" w:rsidRDefault="00E050A8">
      <w:pPr>
        <w:pStyle w:val="TableofFigures"/>
        <w:tabs>
          <w:tab w:val="right" w:leader="dot" w:pos="9350"/>
        </w:tabs>
        <w:rPr>
          <w:rFonts w:asciiTheme="minorHAnsi" w:eastAsiaTheme="minorEastAsia" w:hAnsiTheme="minorHAnsi"/>
          <w:noProof/>
          <w:lang w:val="en-GB" w:eastAsia="en-GB"/>
        </w:rPr>
      </w:pPr>
      <w:r>
        <w:fldChar w:fldCharType="begin"/>
      </w:r>
      <w:r>
        <w:instrText xml:space="preserve"> TOC \h \z \c "Таблица" </w:instrText>
      </w:r>
      <w:r>
        <w:fldChar w:fldCharType="separate"/>
      </w:r>
      <w:hyperlink w:anchor="_Toc72917591" w:history="1">
        <w:r w:rsidRPr="007138BE">
          <w:rPr>
            <w:rStyle w:val="Hyperlink"/>
            <w:rFonts w:cs="Times New Roman"/>
            <w:i/>
            <w:noProof/>
          </w:rPr>
          <w:t>Таблица 1 Относителен дял на населението, свързано със системи за събиране и пречистване на отпадъчни води, 2011 – 2018 г.</w:t>
        </w:r>
        <w:r>
          <w:rPr>
            <w:noProof/>
            <w:webHidden/>
          </w:rPr>
          <w:tab/>
        </w:r>
        <w:r>
          <w:rPr>
            <w:noProof/>
            <w:webHidden/>
          </w:rPr>
          <w:fldChar w:fldCharType="begin"/>
        </w:r>
        <w:r>
          <w:rPr>
            <w:noProof/>
            <w:webHidden/>
          </w:rPr>
          <w:instrText xml:space="preserve"> PAGEREF _Toc72917591 \h </w:instrText>
        </w:r>
        <w:r>
          <w:rPr>
            <w:noProof/>
            <w:webHidden/>
          </w:rPr>
        </w:r>
        <w:r>
          <w:rPr>
            <w:noProof/>
            <w:webHidden/>
          </w:rPr>
          <w:fldChar w:fldCharType="separate"/>
        </w:r>
        <w:r>
          <w:rPr>
            <w:noProof/>
            <w:webHidden/>
          </w:rPr>
          <w:t>13</w:t>
        </w:r>
        <w:r>
          <w:rPr>
            <w:noProof/>
            <w:webHidden/>
          </w:rPr>
          <w:fldChar w:fldCharType="end"/>
        </w:r>
      </w:hyperlink>
    </w:p>
    <w:p w14:paraId="0BA694BE"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592" w:history="1">
        <w:r w:rsidR="00E050A8" w:rsidRPr="007138BE">
          <w:rPr>
            <w:rStyle w:val="Hyperlink"/>
            <w:rFonts w:cs="Times New Roman"/>
            <w:i/>
            <w:noProof/>
          </w:rPr>
          <w:t>Таблица 2  Действащи ПСОВ и свързано население 2010 – 2018 г.</w:t>
        </w:r>
        <w:r w:rsidR="00E050A8">
          <w:rPr>
            <w:noProof/>
            <w:webHidden/>
          </w:rPr>
          <w:tab/>
        </w:r>
        <w:r w:rsidR="00E050A8">
          <w:rPr>
            <w:noProof/>
            <w:webHidden/>
          </w:rPr>
          <w:fldChar w:fldCharType="begin"/>
        </w:r>
        <w:r w:rsidR="00E050A8">
          <w:rPr>
            <w:noProof/>
            <w:webHidden/>
          </w:rPr>
          <w:instrText xml:space="preserve"> PAGEREF _Toc72917592 \h </w:instrText>
        </w:r>
        <w:r w:rsidR="00E050A8">
          <w:rPr>
            <w:noProof/>
            <w:webHidden/>
          </w:rPr>
        </w:r>
        <w:r w:rsidR="00E050A8">
          <w:rPr>
            <w:noProof/>
            <w:webHidden/>
          </w:rPr>
          <w:fldChar w:fldCharType="separate"/>
        </w:r>
        <w:r w:rsidR="00E050A8">
          <w:rPr>
            <w:noProof/>
            <w:webHidden/>
          </w:rPr>
          <w:t>14</w:t>
        </w:r>
        <w:r w:rsidR="00E050A8">
          <w:rPr>
            <w:noProof/>
            <w:webHidden/>
          </w:rPr>
          <w:fldChar w:fldCharType="end"/>
        </w:r>
      </w:hyperlink>
    </w:p>
    <w:p w14:paraId="10A50149"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593" w:history="1">
        <w:r w:rsidR="00E050A8" w:rsidRPr="007138BE">
          <w:rPr>
            <w:rStyle w:val="Hyperlink"/>
            <w:rFonts w:cs="Times New Roman"/>
            <w:i/>
            <w:iCs/>
            <w:noProof/>
          </w:rPr>
          <w:t>Таблица 3  Основни показатели за химичното състояние на повърхностните води по райони, 2018 г.</w:t>
        </w:r>
        <w:r w:rsidR="00E050A8">
          <w:rPr>
            <w:noProof/>
            <w:webHidden/>
          </w:rPr>
          <w:tab/>
        </w:r>
        <w:r w:rsidR="00E050A8">
          <w:rPr>
            <w:noProof/>
            <w:webHidden/>
          </w:rPr>
          <w:fldChar w:fldCharType="begin"/>
        </w:r>
        <w:r w:rsidR="00E050A8">
          <w:rPr>
            <w:noProof/>
            <w:webHidden/>
          </w:rPr>
          <w:instrText xml:space="preserve"> PAGEREF _Toc72917593 \h </w:instrText>
        </w:r>
        <w:r w:rsidR="00E050A8">
          <w:rPr>
            <w:noProof/>
            <w:webHidden/>
          </w:rPr>
        </w:r>
        <w:r w:rsidR="00E050A8">
          <w:rPr>
            <w:noProof/>
            <w:webHidden/>
          </w:rPr>
          <w:fldChar w:fldCharType="separate"/>
        </w:r>
        <w:r w:rsidR="00E050A8">
          <w:rPr>
            <w:noProof/>
            <w:webHidden/>
          </w:rPr>
          <w:t>16</w:t>
        </w:r>
        <w:r w:rsidR="00E050A8">
          <w:rPr>
            <w:noProof/>
            <w:webHidden/>
          </w:rPr>
          <w:fldChar w:fldCharType="end"/>
        </w:r>
      </w:hyperlink>
    </w:p>
    <w:p w14:paraId="252F1334"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594" w:history="1">
        <w:r w:rsidR="00E050A8" w:rsidRPr="007138BE">
          <w:rPr>
            <w:rStyle w:val="Hyperlink"/>
            <w:rFonts w:eastAsia="Times New Roman" w:cs="Times New Roman"/>
            <w:i/>
            <w:noProof/>
          </w:rPr>
          <w:t>Таблица 4 Обобщение на основните изводи от предварителната оценка на риска от наводнения</w:t>
        </w:r>
        <w:r w:rsidR="00E050A8">
          <w:rPr>
            <w:noProof/>
            <w:webHidden/>
          </w:rPr>
          <w:tab/>
        </w:r>
        <w:r w:rsidR="00E050A8">
          <w:rPr>
            <w:noProof/>
            <w:webHidden/>
          </w:rPr>
          <w:fldChar w:fldCharType="begin"/>
        </w:r>
        <w:r w:rsidR="00E050A8">
          <w:rPr>
            <w:noProof/>
            <w:webHidden/>
          </w:rPr>
          <w:instrText xml:space="preserve"> PAGEREF _Toc72917594 \h </w:instrText>
        </w:r>
        <w:r w:rsidR="00E050A8">
          <w:rPr>
            <w:noProof/>
            <w:webHidden/>
          </w:rPr>
        </w:r>
        <w:r w:rsidR="00E050A8">
          <w:rPr>
            <w:noProof/>
            <w:webHidden/>
          </w:rPr>
          <w:fldChar w:fldCharType="separate"/>
        </w:r>
        <w:r w:rsidR="00E050A8">
          <w:rPr>
            <w:noProof/>
            <w:webHidden/>
          </w:rPr>
          <w:t>25</w:t>
        </w:r>
        <w:r w:rsidR="00E050A8">
          <w:rPr>
            <w:noProof/>
            <w:webHidden/>
          </w:rPr>
          <w:fldChar w:fldCharType="end"/>
        </w:r>
      </w:hyperlink>
    </w:p>
    <w:p w14:paraId="1A0088E3"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595" w:history="1">
        <w:r w:rsidR="00E050A8" w:rsidRPr="007138BE">
          <w:rPr>
            <w:rStyle w:val="Hyperlink"/>
            <w:rFonts w:cs="Times New Roman"/>
            <w:i/>
            <w:iCs/>
            <w:noProof/>
          </w:rPr>
          <w:t>Таблица 5 Иззета вода по водоизточници и сектори в България за периода 2010 – 2018 г.</w:t>
        </w:r>
        <w:r w:rsidR="00E050A8">
          <w:rPr>
            <w:noProof/>
            <w:webHidden/>
          </w:rPr>
          <w:tab/>
        </w:r>
        <w:r w:rsidR="00E050A8">
          <w:rPr>
            <w:noProof/>
            <w:webHidden/>
          </w:rPr>
          <w:fldChar w:fldCharType="begin"/>
        </w:r>
        <w:r w:rsidR="00E050A8">
          <w:rPr>
            <w:noProof/>
            <w:webHidden/>
          </w:rPr>
          <w:instrText xml:space="preserve"> PAGEREF _Toc72917595 \h </w:instrText>
        </w:r>
        <w:r w:rsidR="00E050A8">
          <w:rPr>
            <w:noProof/>
            <w:webHidden/>
          </w:rPr>
        </w:r>
        <w:r w:rsidR="00E050A8">
          <w:rPr>
            <w:noProof/>
            <w:webHidden/>
          </w:rPr>
          <w:fldChar w:fldCharType="separate"/>
        </w:r>
        <w:r w:rsidR="00E050A8">
          <w:rPr>
            <w:noProof/>
            <w:webHidden/>
          </w:rPr>
          <w:t>27</w:t>
        </w:r>
        <w:r w:rsidR="00E050A8">
          <w:rPr>
            <w:noProof/>
            <w:webHidden/>
          </w:rPr>
          <w:fldChar w:fldCharType="end"/>
        </w:r>
      </w:hyperlink>
    </w:p>
    <w:p w14:paraId="21901B86"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596" w:history="1">
        <w:r w:rsidR="00E050A8" w:rsidRPr="007138BE">
          <w:rPr>
            <w:rStyle w:val="Hyperlink"/>
            <w:rFonts w:cs="Times New Roman"/>
            <w:i/>
            <w:iCs/>
            <w:noProof/>
          </w:rPr>
          <w:t>Таблица 6 Използвана вода по икономически дейности за периода 2010 – 2018 г.</w:t>
        </w:r>
        <w:r w:rsidR="00E050A8">
          <w:rPr>
            <w:noProof/>
            <w:webHidden/>
          </w:rPr>
          <w:tab/>
        </w:r>
        <w:r w:rsidR="00E050A8">
          <w:rPr>
            <w:noProof/>
            <w:webHidden/>
          </w:rPr>
          <w:fldChar w:fldCharType="begin"/>
        </w:r>
        <w:r w:rsidR="00E050A8">
          <w:rPr>
            <w:noProof/>
            <w:webHidden/>
          </w:rPr>
          <w:instrText xml:space="preserve"> PAGEREF _Toc72917596 \h </w:instrText>
        </w:r>
        <w:r w:rsidR="00E050A8">
          <w:rPr>
            <w:noProof/>
            <w:webHidden/>
          </w:rPr>
        </w:r>
        <w:r w:rsidR="00E050A8">
          <w:rPr>
            <w:noProof/>
            <w:webHidden/>
          </w:rPr>
          <w:fldChar w:fldCharType="separate"/>
        </w:r>
        <w:r w:rsidR="00E050A8">
          <w:rPr>
            <w:noProof/>
            <w:webHidden/>
          </w:rPr>
          <w:t>31</w:t>
        </w:r>
        <w:r w:rsidR="00E050A8">
          <w:rPr>
            <w:noProof/>
            <w:webHidden/>
          </w:rPr>
          <w:fldChar w:fldCharType="end"/>
        </w:r>
      </w:hyperlink>
    </w:p>
    <w:p w14:paraId="307C99DB"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597" w:history="1">
        <w:r w:rsidR="00E050A8" w:rsidRPr="007138BE">
          <w:rPr>
            <w:rStyle w:val="Hyperlink"/>
            <w:rFonts w:cs="Times New Roman"/>
            <w:i/>
            <w:iCs/>
            <w:noProof/>
          </w:rPr>
          <w:t>Таблица 7 Морска икономика в България, 2018 г.</w:t>
        </w:r>
        <w:r w:rsidR="00E050A8">
          <w:rPr>
            <w:noProof/>
            <w:webHidden/>
          </w:rPr>
          <w:tab/>
        </w:r>
        <w:r w:rsidR="00E050A8">
          <w:rPr>
            <w:noProof/>
            <w:webHidden/>
          </w:rPr>
          <w:fldChar w:fldCharType="begin"/>
        </w:r>
        <w:r w:rsidR="00E050A8">
          <w:rPr>
            <w:noProof/>
            <w:webHidden/>
          </w:rPr>
          <w:instrText xml:space="preserve"> PAGEREF _Toc72917597 \h </w:instrText>
        </w:r>
        <w:r w:rsidR="00E050A8">
          <w:rPr>
            <w:noProof/>
            <w:webHidden/>
          </w:rPr>
        </w:r>
        <w:r w:rsidR="00E050A8">
          <w:rPr>
            <w:noProof/>
            <w:webHidden/>
          </w:rPr>
          <w:fldChar w:fldCharType="separate"/>
        </w:r>
        <w:r w:rsidR="00E050A8">
          <w:rPr>
            <w:noProof/>
            <w:webHidden/>
          </w:rPr>
          <w:t>32</w:t>
        </w:r>
        <w:r w:rsidR="00E050A8">
          <w:rPr>
            <w:noProof/>
            <w:webHidden/>
          </w:rPr>
          <w:fldChar w:fldCharType="end"/>
        </w:r>
      </w:hyperlink>
    </w:p>
    <w:p w14:paraId="0D1E77C0" w14:textId="77777777" w:rsidR="00E050A8" w:rsidRDefault="00E050A8" w:rsidP="00E050A8">
      <w:pPr>
        <w:rPr>
          <w:rFonts w:ascii="Times New Roman" w:eastAsiaTheme="majorEastAsia" w:hAnsi="Times New Roman" w:cs="Times New Roman"/>
          <w:b/>
          <w:color w:val="2F5496" w:themeColor="accent1" w:themeShade="BF"/>
          <w:sz w:val="24"/>
          <w:szCs w:val="24"/>
          <w:lang w:val="bg-BG"/>
        </w:rPr>
      </w:pPr>
      <w:r>
        <w:fldChar w:fldCharType="end"/>
      </w:r>
    </w:p>
    <w:p w14:paraId="5A2FFC03" w14:textId="64E4C7DB" w:rsidR="00E050A8" w:rsidRDefault="00E050A8" w:rsidP="00E050A8">
      <w:r>
        <w:rPr>
          <w:rFonts w:ascii="Times New Roman" w:eastAsiaTheme="majorEastAsia" w:hAnsi="Times New Roman" w:cs="Times New Roman"/>
          <w:b/>
          <w:color w:val="2F5496" w:themeColor="accent1" w:themeShade="BF"/>
          <w:sz w:val="24"/>
          <w:szCs w:val="24"/>
          <w:lang w:val="bg-BG"/>
        </w:rPr>
        <w:t>СПИСЪК НА ФИГУРИТЕ</w:t>
      </w:r>
    </w:p>
    <w:p w14:paraId="0B747B76" w14:textId="77777777" w:rsidR="00E050A8" w:rsidRDefault="00E050A8">
      <w:pPr>
        <w:pStyle w:val="TableofFigures"/>
        <w:tabs>
          <w:tab w:val="right" w:leader="dot" w:pos="9350"/>
        </w:tabs>
        <w:rPr>
          <w:rFonts w:asciiTheme="minorHAnsi" w:eastAsiaTheme="minorEastAsia" w:hAnsiTheme="minorHAnsi"/>
          <w:noProof/>
          <w:lang w:val="en-GB" w:eastAsia="en-GB"/>
        </w:rPr>
      </w:pPr>
      <w:r>
        <w:fldChar w:fldCharType="begin"/>
      </w:r>
      <w:r>
        <w:instrText xml:space="preserve"> TOC \h \z \c "Фигура" </w:instrText>
      </w:r>
      <w:r>
        <w:fldChar w:fldCharType="separate"/>
      </w:r>
      <w:hyperlink w:anchor="_Toc72917653" w:history="1">
        <w:r w:rsidRPr="00EF4A71">
          <w:rPr>
            <w:rStyle w:val="Hyperlink"/>
            <w:rFonts w:cs="Times New Roman"/>
            <w:i/>
            <w:noProof/>
          </w:rPr>
          <w:t>Фигура 1 Концентрация на основните индикатори за характеризиране на химичното състояние на повърхностните води</w:t>
        </w:r>
        <w:r>
          <w:rPr>
            <w:noProof/>
            <w:webHidden/>
          </w:rPr>
          <w:tab/>
        </w:r>
        <w:r>
          <w:rPr>
            <w:noProof/>
            <w:webHidden/>
          </w:rPr>
          <w:fldChar w:fldCharType="begin"/>
        </w:r>
        <w:r>
          <w:rPr>
            <w:noProof/>
            <w:webHidden/>
          </w:rPr>
          <w:instrText xml:space="preserve"> PAGEREF _Toc72917653 \h </w:instrText>
        </w:r>
        <w:r>
          <w:rPr>
            <w:noProof/>
            <w:webHidden/>
          </w:rPr>
        </w:r>
        <w:r>
          <w:rPr>
            <w:noProof/>
            <w:webHidden/>
          </w:rPr>
          <w:fldChar w:fldCharType="separate"/>
        </w:r>
        <w:r>
          <w:rPr>
            <w:noProof/>
            <w:webHidden/>
          </w:rPr>
          <w:t>16</w:t>
        </w:r>
        <w:r>
          <w:rPr>
            <w:noProof/>
            <w:webHidden/>
          </w:rPr>
          <w:fldChar w:fldCharType="end"/>
        </w:r>
      </w:hyperlink>
    </w:p>
    <w:p w14:paraId="0EB12128"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54" w:history="1">
        <w:r w:rsidR="00E050A8" w:rsidRPr="00EF4A71">
          <w:rPr>
            <w:rStyle w:val="Hyperlink"/>
            <w:rFonts w:cs="Times New Roman"/>
            <w:i/>
            <w:noProof/>
          </w:rPr>
          <w:t>Фигура 2 Тенденция на изменението на основните показатели за химичното състояние на повърхностните води за периода 1996 – 2018 г.</w:t>
        </w:r>
        <w:r w:rsidR="00E050A8">
          <w:rPr>
            <w:noProof/>
            <w:webHidden/>
          </w:rPr>
          <w:tab/>
        </w:r>
        <w:r w:rsidR="00E050A8">
          <w:rPr>
            <w:noProof/>
            <w:webHidden/>
          </w:rPr>
          <w:fldChar w:fldCharType="begin"/>
        </w:r>
        <w:r w:rsidR="00E050A8">
          <w:rPr>
            <w:noProof/>
            <w:webHidden/>
          </w:rPr>
          <w:instrText xml:space="preserve"> PAGEREF _Toc72917654 \h </w:instrText>
        </w:r>
        <w:r w:rsidR="00E050A8">
          <w:rPr>
            <w:noProof/>
            <w:webHidden/>
          </w:rPr>
        </w:r>
        <w:r w:rsidR="00E050A8">
          <w:rPr>
            <w:noProof/>
            <w:webHidden/>
          </w:rPr>
          <w:fldChar w:fldCharType="separate"/>
        </w:r>
        <w:r w:rsidR="00E050A8">
          <w:rPr>
            <w:noProof/>
            <w:webHidden/>
          </w:rPr>
          <w:t>16</w:t>
        </w:r>
        <w:r w:rsidR="00E050A8">
          <w:rPr>
            <w:noProof/>
            <w:webHidden/>
          </w:rPr>
          <w:fldChar w:fldCharType="end"/>
        </w:r>
      </w:hyperlink>
    </w:p>
    <w:p w14:paraId="3C51B35A"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55" w:history="1">
        <w:r w:rsidR="00E050A8" w:rsidRPr="00EF4A71">
          <w:rPr>
            <w:rStyle w:val="Hyperlink"/>
            <w:rFonts w:cs="Times New Roman"/>
            <w:i/>
            <w:noProof/>
          </w:rPr>
          <w:t>Фигура 3 Изменение на индикаторите за химично състояние на подземните води в България, 1999 – 2018 г.</w:t>
        </w:r>
        <w:r w:rsidR="00E050A8">
          <w:rPr>
            <w:noProof/>
            <w:webHidden/>
          </w:rPr>
          <w:tab/>
        </w:r>
        <w:r w:rsidR="00E050A8">
          <w:rPr>
            <w:noProof/>
            <w:webHidden/>
          </w:rPr>
          <w:fldChar w:fldCharType="begin"/>
        </w:r>
        <w:r w:rsidR="00E050A8">
          <w:rPr>
            <w:noProof/>
            <w:webHidden/>
          </w:rPr>
          <w:instrText xml:space="preserve"> PAGEREF _Toc72917655 \h </w:instrText>
        </w:r>
        <w:r w:rsidR="00E050A8">
          <w:rPr>
            <w:noProof/>
            <w:webHidden/>
          </w:rPr>
        </w:r>
        <w:r w:rsidR="00E050A8">
          <w:rPr>
            <w:noProof/>
            <w:webHidden/>
          </w:rPr>
          <w:fldChar w:fldCharType="separate"/>
        </w:r>
        <w:r w:rsidR="00E050A8">
          <w:rPr>
            <w:noProof/>
            <w:webHidden/>
          </w:rPr>
          <w:t>19</w:t>
        </w:r>
        <w:r w:rsidR="00E050A8">
          <w:rPr>
            <w:noProof/>
            <w:webHidden/>
          </w:rPr>
          <w:fldChar w:fldCharType="end"/>
        </w:r>
      </w:hyperlink>
    </w:p>
    <w:p w14:paraId="255A69E6"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56" w:history="1">
        <w:r w:rsidR="00E050A8" w:rsidRPr="00EF4A71">
          <w:rPr>
            <w:rStyle w:val="Hyperlink"/>
            <w:rFonts w:cs="Times New Roman"/>
            <w:i/>
            <w:noProof/>
          </w:rPr>
          <w:t>Фигура 4 Индекс на експлоатация на водните ресурси в България, 1990 – 2017 г.</w:t>
        </w:r>
        <w:r w:rsidR="00E050A8">
          <w:rPr>
            <w:noProof/>
            <w:webHidden/>
          </w:rPr>
          <w:tab/>
        </w:r>
        <w:r w:rsidR="00E050A8">
          <w:rPr>
            <w:noProof/>
            <w:webHidden/>
          </w:rPr>
          <w:fldChar w:fldCharType="begin"/>
        </w:r>
        <w:r w:rsidR="00E050A8">
          <w:rPr>
            <w:noProof/>
            <w:webHidden/>
          </w:rPr>
          <w:instrText xml:space="preserve"> PAGEREF _Toc72917656 \h </w:instrText>
        </w:r>
        <w:r w:rsidR="00E050A8">
          <w:rPr>
            <w:noProof/>
            <w:webHidden/>
          </w:rPr>
        </w:r>
        <w:r w:rsidR="00E050A8">
          <w:rPr>
            <w:noProof/>
            <w:webHidden/>
          </w:rPr>
          <w:fldChar w:fldCharType="separate"/>
        </w:r>
        <w:r w:rsidR="00E050A8">
          <w:rPr>
            <w:noProof/>
            <w:webHidden/>
          </w:rPr>
          <w:t>26</w:t>
        </w:r>
        <w:r w:rsidR="00E050A8">
          <w:rPr>
            <w:noProof/>
            <w:webHidden/>
          </w:rPr>
          <w:fldChar w:fldCharType="end"/>
        </w:r>
      </w:hyperlink>
    </w:p>
    <w:p w14:paraId="189D6D1B"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57" w:history="1">
        <w:r w:rsidR="00E050A8" w:rsidRPr="00EF4A71">
          <w:rPr>
            <w:rStyle w:val="Hyperlink"/>
            <w:rFonts w:cs="Times New Roman"/>
            <w:i/>
            <w:noProof/>
          </w:rPr>
          <w:t>Фигура 5  Годишен обем на пресни възобновими водни ресурси на човек от населението в България, 2018 г.</w:t>
        </w:r>
        <w:r w:rsidR="00E050A8">
          <w:rPr>
            <w:noProof/>
            <w:webHidden/>
          </w:rPr>
          <w:tab/>
        </w:r>
        <w:r w:rsidR="00E050A8">
          <w:rPr>
            <w:noProof/>
            <w:webHidden/>
          </w:rPr>
          <w:fldChar w:fldCharType="begin"/>
        </w:r>
        <w:r w:rsidR="00E050A8">
          <w:rPr>
            <w:noProof/>
            <w:webHidden/>
          </w:rPr>
          <w:instrText xml:space="preserve"> PAGEREF _Toc72917657 \h </w:instrText>
        </w:r>
        <w:r w:rsidR="00E050A8">
          <w:rPr>
            <w:noProof/>
            <w:webHidden/>
          </w:rPr>
        </w:r>
        <w:r w:rsidR="00E050A8">
          <w:rPr>
            <w:noProof/>
            <w:webHidden/>
          </w:rPr>
          <w:fldChar w:fldCharType="separate"/>
        </w:r>
        <w:r w:rsidR="00E050A8">
          <w:rPr>
            <w:noProof/>
            <w:webHidden/>
          </w:rPr>
          <w:t>27</w:t>
        </w:r>
        <w:r w:rsidR="00E050A8">
          <w:rPr>
            <w:noProof/>
            <w:webHidden/>
          </w:rPr>
          <w:fldChar w:fldCharType="end"/>
        </w:r>
      </w:hyperlink>
    </w:p>
    <w:p w14:paraId="6A6F6266"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58" w:history="1">
        <w:r w:rsidR="00E050A8" w:rsidRPr="00EF4A71">
          <w:rPr>
            <w:rStyle w:val="Hyperlink"/>
            <w:rFonts w:cs="Times New Roman"/>
            <w:i/>
            <w:noProof/>
          </w:rPr>
          <w:t>Фигура 6 Количество иззета вода по сектори, 2018 г.</w:t>
        </w:r>
        <w:r w:rsidR="00E050A8">
          <w:rPr>
            <w:noProof/>
            <w:webHidden/>
          </w:rPr>
          <w:tab/>
        </w:r>
        <w:r w:rsidR="00E050A8">
          <w:rPr>
            <w:noProof/>
            <w:webHidden/>
          </w:rPr>
          <w:fldChar w:fldCharType="begin"/>
        </w:r>
        <w:r w:rsidR="00E050A8">
          <w:rPr>
            <w:noProof/>
            <w:webHidden/>
          </w:rPr>
          <w:instrText xml:space="preserve"> PAGEREF _Toc72917658 \h </w:instrText>
        </w:r>
        <w:r w:rsidR="00E050A8">
          <w:rPr>
            <w:noProof/>
            <w:webHidden/>
          </w:rPr>
        </w:r>
        <w:r w:rsidR="00E050A8">
          <w:rPr>
            <w:noProof/>
            <w:webHidden/>
          </w:rPr>
          <w:fldChar w:fldCharType="separate"/>
        </w:r>
        <w:r w:rsidR="00E050A8">
          <w:rPr>
            <w:noProof/>
            <w:webHidden/>
          </w:rPr>
          <w:t>28</w:t>
        </w:r>
        <w:r w:rsidR="00E050A8">
          <w:rPr>
            <w:noProof/>
            <w:webHidden/>
          </w:rPr>
          <w:fldChar w:fldCharType="end"/>
        </w:r>
      </w:hyperlink>
    </w:p>
    <w:p w14:paraId="4E1EC8BB"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59" w:history="1">
        <w:r w:rsidR="00E050A8" w:rsidRPr="00EF4A71">
          <w:rPr>
            <w:rStyle w:val="Hyperlink"/>
            <w:rFonts w:cs="Times New Roman"/>
            <w:i/>
            <w:iCs/>
            <w:noProof/>
          </w:rPr>
          <w:t>Фигура 7 Иззети пресни води средно на човек от населението в ЕС</w:t>
        </w:r>
        <w:r w:rsidR="00E050A8">
          <w:rPr>
            <w:noProof/>
            <w:webHidden/>
          </w:rPr>
          <w:tab/>
        </w:r>
        <w:r w:rsidR="00E050A8">
          <w:rPr>
            <w:noProof/>
            <w:webHidden/>
          </w:rPr>
          <w:fldChar w:fldCharType="begin"/>
        </w:r>
        <w:r w:rsidR="00E050A8">
          <w:rPr>
            <w:noProof/>
            <w:webHidden/>
          </w:rPr>
          <w:instrText xml:space="preserve"> PAGEREF _Toc72917659 \h </w:instrText>
        </w:r>
        <w:r w:rsidR="00E050A8">
          <w:rPr>
            <w:noProof/>
            <w:webHidden/>
          </w:rPr>
        </w:r>
        <w:r w:rsidR="00E050A8">
          <w:rPr>
            <w:noProof/>
            <w:webHidden/>
          </w:rPr>
          <w:fldChar w:fldCharType="separate"/>
        </w:r>
        <w:r w:rsidR="00E050A8">
          <w:rPr>
            <w:noProof/>
            <w:webHidden/>
          </w:rPr>
          <w:t>29</w:t>
        </w:r>
        <w:r w:rsidR="00E050A8">
          <w:rPr>
            <w:noProof/>
            <w:webHidden/>
          </w:rPr>
          <w:fldChar w:fldCharType="end"/>
        </w:r>
      </w:hyperlink>
    </w:p>
    <w:p w14:paraId="0E079A6F"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60" w:history="1">
        <w:r w:rsidR="00E050A8" w:rsidRPr="00EF4A71">
          <w:rPr>
            <w:rStyle w:val="Hyperlink"/>
            <w:rFonts w:cs="Times New Roman"/>
            <w:i/>
            <w:noProof/>
          </w:rPr>
          <w:t>Фигура 8 Иззета вода по райони за басейново управление, 2018 г.</w:t>
        </w:r>
        <w:r w:rsidR="00E050A8">
          <w:rPr>
            <w:noProof/>
            <w:webHidden/>
          </w:rPr>
          <w:tab/>
        </w:r>
        <w:r w:rsidR="00E050A8">
          <w:rPr>
            <w:noProof/>
            <w:webHidden/>
          </w:rPr>
          <w:fldChar w:fldCharType="begin"/>
        </w:r>
        <w:r w:rsidR="00E050A8">
          <w:rPr>
            <w:noProof/>
            <w:webHidden/>
          </w:rPr>
          <w:instrText xml:space="preserve"> PAGEREF _Toc72917660 \h </w:instrText>
        </w:r>
        <w:r w:rsidR="00E050A8">
          <w:rPr>
            <w:noProof/>
            <w:webHidden/>
          </w:rPr>
        </w:r>
        <w:r w:rsidR="00E050A8">
          <w:rPr>
            <w:noProof/>
            <w:webHidden/>
          </w:rPr>
          <w:fldChar w:fldCharType="separate"/>
        </w:r>
        <w:r w:rsidR="00E050A8">
          <w:rPr>
            <w:noProof/>
            <w:webHidden/>
          </w:rPr>
          <w:t>29</w:t>
        </w:r>
        <w:r w:rsidR="00E050A8">
          <w:rPr>
            <w:noProof/>
            <w:webHidden/>
          </w:rPr>
          <w:fldChar w:fldCharType="end"/>
        </w:r>
      </w:hyperlink>
    </w:p>
    <w:p w14:paraId="54BC4866"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61" w:history="1">
        <w:r w:rsidR="00E050A8" w:rsidRPr="00EF4A71">
          <w:rPr>
            <w:rStyle w:val="Hyperlink"/>
            <w:rFonts w:cs="Times New Roman"/>
            <w:i/>
            <w:iCs/>
            <w:noProof/>
          </w:rPr>
          <w:t>Фигура 9 Приходи от нощувки/ лв. за 2020 г.</w:t>
        </w:r>
        <w:r w:rsidR="00E050A8">
          <w:rPr>
            <w:noProof/>
            <w:webHidden/>
          </w:rPr>
          <w:tab/>
        </w:r>
        <w:r w:rsidR="00E050A8">
          <w:rPr>
            <w:noProof/>
            <w:webHidden/>
          </w:rPr>
          <w:fldChar w:fldCharType="begin"/>
        </w:r>
        <w:r w:rsidR="00E050A8">
          <w:rPr>
            <w:noProof/>
            <w:webHidden/>
          </w:rPr>
          <w:instrText xml:space="preserve"> PAGEREF _Toc72917661 \h </w:instrText>
        </w:r>
        <w:r w:rsidR="00E050A8">
          <w:rPr>
            <w:noProof/>
            <w:webHidden/>
          </w:rPr>
        </w:r>
        <w:r w:rsidR="00E050A8">
          <w:rPr>
            <w:noProof/>
            <w:webHidden/>
          </w:rPr>
          <w:fldChar w:fldCharType="separate"/>
        </w:r>
        <w:r w:rsidR="00E050A8">
          <w:rPr>
            <w:noProof/>
            <w:webHidden/>
          </w:rPr>
          <w:t>30</w:t>
        </w:r>
        <w:r w:rsidR="00E050A8">
          <w:rPr>
            <w:noProof/>
            <w:webHidden/>
          </w:rPr>
          <w:fldChar w:fldCharType="end"/>
        </w:r>
      </w:hyperlink>
    </w:p>
    <w:p w14:paraId="5632541C"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62" w:history="1">
        <w:r w:rsidR="00E050A8" w:rsidRPr="00EF4A71">
          <w:rPr>
            <w:rStyle w:val="Hyperlink"/>
            <w:rFonts w:cs="Times New Roman"/>
            <w:i/>
            <w:noProof/>
          </w:rPr>
          <w:t>Фигура 10 Иззета вода по водоизточници, 2018 г.</w:t>
        </w:r>
        <w:r w:rsidR="00E050A8">
          <w:rPr>
            <w:noProof/>
            <w:webHidden/>
          </w:rPr>
          <w:tab/>
        </w:r>
        <w:r w:rsidR="00E050A8">
          <w:rPr>
            <w:noProof/>
            <w:webHidden/>
          </w:rPr>
          <w:fldChar w:fldCharType="begin"/>
        </w:r>
        <w:r w:rsidR="00E050A8">
          <w:rPr>
            <w:noProof/>
            <w:webHidden/>
          </w:rPr>
          <w:instrText xml:space="preserve"> PAGEREF _Toc72917662 \h </w:instrText>
        </w:r>
        <w:r w:rsidR="00E050A8">
          <w:rPr>
            <w:noProof/>
            <w:webHidden/>
          </w:rPr>
        </w:r>
        <w:r w:rsidR="00E050A8">
          <w:rPr>
            <w:noProof/>
            <w:webHidden/>
          </w:rPr>
          <w:fldChar w:fldCharType="separate"/>
        </w:r>
        <w:r w:rsidR="00E050A8">
          <w:rPr>
            <w:noProof/>
            <w:webHidden/>
          </w:rPr>
          <w:t>30</w:t>
        </w:r>
        <w:r w:rsidR="00E050A8">
          <w:rPr>
            <w:noProof/>
            <w:webHidden/>
          </w:rPr>
          <w:fldChar w:fldCharType="end"/>
        </w:r>
      </w:hyperlink>
    </w:p>
    <w:p w14:paraId="63D194F4"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63" w:history="1">
        <w:r w:rsidR="00E050A8" w:rsidRPr="00EF4A71">
          <w:rPr>
            <w:rStyle w:val="Hyperlink"/>
            <w:rFonts w:cs="Times New Roman"/>
            <w:i/>
            <w:iCs/>
            <w:noProof/>
          </w:rPr>
          <w:t>Фигура 11 Използвана вода в Европа по икономически сектори, 2017 г.</w:t>
        </w:r>
        <w:r w:rsidR="00E050A8">
          <w:rPr>
            <w:noProof/>
            <w:webHidden/>
          </w:rPr>
          <w:tab/>
        </w:r>
        <w:r w:rsidR="00E050A8">
          <w:rPr>
            <w:noProof/>
            <w:webHidden/>
          </w:rPr>
          <w:fldChar w:fldCharType="begin"/>
        </w:r>
        <w:r w:rsidR="00E050A8">
          <w:rPr>
            <w:noProof/>
            <w:webHidden/>
          </w:rPr>
          <w:instrText xml:space="preserve"> PAGEREF _Toc72917663 \h </w:instrText>
        </w:r>
        <w:r w:rsidR="00E050A8">
          <w:rPr>
            <w:noProof/>
            <w:webHidden/>
          </w:rPr>
        </w:r>
        <w:r w:rsidR="00E050A8">
          <w:rPr>
            <w:noProof/>
            <w:webHidden/>
          </w:rPr>
          <w:fldChar w:fldCharType="separate"/>
        </w:r>
        <w:r w:rsidR="00E050A8">
          <w:rPr>
            <w:noProof/>
            <w:webHidden/>
          </w:rPr>
          <w:t>32</w:t>
        </w:r>
        <w:r w:rsidR="00E050A8">
          <w:rPr>
            <w:noProof/>
            <w:webHidden/>
          </w:rPr>
          <w:fldChar w:fldCharType="end"/>
        </w:r>
      </w:hyperlink>
    </w:p>
    <w:p w14:paraId="7A4C4C39"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64" w:history="1">
        <w:r w:rsidR="00E050A8" w:rsidRPr="00EF4A71">
          <w:rPr>
            <w:rStyle w:val="Hyperlink"/>
            <w:rFonts w:cs="Times New Roman"/>
            <w:i/>
            <w:noProof/>
          </w:rPr>
          <w:t>Фигура 12 Природозащитно състояние на видовете и местообитания, 2013 г.</w:t>
        </w:r>
        <w:r w:rsidR="00E050A8">
          <w:rPr>
            <w:noProof/>
            <w:webHidden/>
          </w:rPr>
          <w:tab/>
        </w:r>
        <w:r w:rsidR="00E050A8">
          <w:rPr>
            <w:noProof/>
            <w:webHidden/>
          </w:rPr>
          <w:fldChar w:fldCharType="begin"/>
        </w:r>
        <w:r w:rsidR="00E050A8">
          <w:rPr>
            <w:noProof/>
            <w:webHidden/>
          </w:rPr>
          <w:instrText xml:space="preserve"> PAGEREF _Toc72917664 \h </w:instrText>
        </w:r>
        <w:r w:rsidR="00E050A8">
          <w:rPr>
            <w:noProof/>
            <w:webHidden/>
          </w:rPr>
        </w:r>
        <w:r w:rsidR="00E050A8">
          <w:rPr>
            <w:noProof/>
            <w:webHidden/>
          </w:rPr>
          <w:fldChar w:fldCharType="separate"/>
        </w:r>
        <w:r w:rsidR="00E050A8">
          <w:rPr>
            <w:noProof/>
            <w:webHidden/>
          </w:rPr>
          <w:t>52</w:t>
        </w:r>
        <w:r w:rsidR="00E050A8">
          <w:rPr>
            <w:noProof/>
            <w:webHidden/>
          </w:rPr>
          <w:fldChar w:fldCharType="end"/>
        </w:r>
      </w:hyperlink>
    </w:p>
    <w:p w14:paraId="5C152303"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65" w:history="1">
        <w:r w:rsidR="00E050A8" w:rsidRPr="00EF4A71">
          <w:rPr>
            <w:rStyle w:val="Hyperlink"/>
            <w:rFonts w:cs="Times New Roman"/>
            <w:i/>
            <w:noProof/>
          </w:rPr>
          <w:t>Фигура 13 Тенденции и перспективи за сектор води, ЕС</w:t>
        </w:r>
        <w:r w:rsidR="00E050A8">
          <w:rPr>
            <w:noProof/>
            <w:webHidden/>
          </w:rPr>
          <w:tab/>
        </w:r>
        <w:r w:rsidR="00E050A8">
          <w:rPr>
            <w:noProof/>
            <w:webHidden/>
          </w:rPr>
          <w:fldChar w:fldCharType="begin"/>
        </w:r>
        <w:r w:rsidR="00E050A8">
          <w:rPr>
            <w:noProof/>
            <w:webHidden/>
          </w:rPr>
          <w:instrText xml:space="preserve"> PAGEREF _Toc72917665 \h </w:instrText>
        </w:r>
        <w:r w:rsidR="00E050A8">
          <w:rPr>
            <w:noProof/>
            <w:webHidden/>
          </w:rPr>
        </w:r>
        <w:r w:rsidR="00E050A8">
          <w:rPr>
            <w:noProof/>
            <w:webHidden/>
          </w:rPr>
          <w:fldChar w:fldCharType="separate"/>
        </w:r>
        <w:r w:rsidR="00E050A8">
          <w:rPr>
            <w:noProof/>
            <w:webHidden/>
          </w:rPr>
          <w:t>53</w:t>
        </w:r>
        <w:r w:rsidR="00E050A8">
          <w:rPr>
            <w:noProof/>
            <w:webHidden/>
          </w:rPr>
          <w:fldChar w:fldCharType="end"/>
        </w:r>
      </w:hyperlink>
    </w:p>
    <w:p w14:paraId="31ED111E" w14:textId="77777777" w:rsidR="00E050A8" w:rsidRDefault="008663D3">
      <w:pPr>
        <w:pStyle w:val="TableofFigures"/>
        <w:tabs>
          <w:tab w:val="right" w:leader="dot" w:pos="9350"/>
        </w:tabs>
        <w:rPr>
          <w:rFonts w:asciiTheme="minorHAnsi" w:eastAsiaTheme="minorEastAsia" w:hAnsiTheme="minorHAnsi"/>
          <w:noProof/>
          <w:lang w:val="en-GB" w:eastAsia="en-GB"/>
        </w:rPr>
      </w:pPr>
      <w:hyperlink w:anchor="_Toc72917666" w:history="1">
        <w:r w:rsidR="00E050A8" w:rsidRPr="00EF4A71">
          <w:rPr>
            <w:rStyle w:val="Hyperlink"/>
            <w:rFonts w:cs="Times New Roman"/>
            <w:i/>
            <w:noProof/>
            <w:lang w:val="bg-BG"/>
          </w:rPr>
          <w:t>Фигура 14 Тенденции и перспективи в сектор води, България</w:t>
        </w:r>
        <w:r w:rsidR="00E050A8">
          <w:rPr>
            <w:noProof/>
            <w:webHidden/>
          </w:rPr>
          <w:tab/>
        </w:r>
        <w:r w:rsidR="00E050A8">
          <w:rPr>
            <w:noProof/>
            <w:webHidden/>
          </w:rPr>
          <w:fldChar w:fldCharType="begin"/>
        </w:r>
        <w:r w:rsidR="00E050A8">
          <w:rPr>
            <w:noProof/>
            <w:webHidden/>
          </w:rPr>
          <w:instrText xml:space="preserve"> PAGEREF _Toc72917666 \h </w:instrText>
        </w:r>
        <w:r w:rsidR="00E050A8">
          <w:rPr>
            <w:noProof/>
            <w:webHidden/>
          </w:rPr>
        </w:r>
        <w:r w:rsidR="00E050A8">
          <w:rPr>
            <w:noProof/>
            <w:webHidden/>
          </w:rPr>
          <w:fldChar w:fldCharType="separate"/>
        </w:r>
        <w:r w:rsidR="00E050A8">
          <w:rPr>
            <w:noProof/>
            <w:webHidden/>
          </w:rPr>
          <w:t>54</w:t>
        </w:r>
        <w:r w:rsidR="00E050A8">
          <w:rPr>
            <w:noProof/>
            <w:webHidden/>
          </w:rPr>
          <w:fldChar w:fldCharType="end"/>
        </w:r>
      </w:hyperlink>
    </w:p>
    <w:p w14:paraId="7DE3D9AD" w14:textId="77777777" w:rsidR="00E050A8" w:rsidRDefault="00E050A8" w:rsidP="008663D3">
      <w:r>
        <w:fldChar w:fldCharType="end"/>
      </w:r>
    </w:p>
    <w:p w14:paraId="3776669B" w14:textId="7A056ACC" w:rsidR="000532D9" w:rsidRPr="006F34D7" w:rsidRDefault="000532D9" w:rsidP="00E050A8">
      <w:pPr>
        <w:pStyle w:val="Heading2"/>
        <w:pageBreakBefore/>
      </w:pPr>
      <w:r w:rsidRPr="006F34D7">
        <w:lastRenderedPageBreak/>
        <w:t>Въведение</w:t>
      </w:r>
      <w:bookmarkEnd w:id="0"/>
    </w:p>
    <w:p w14:paraId="3CDEFFA2" w14:textId="77777777" w:rsidR="000509D1" w:rsidRPr="00E15F8F" w:rsidRDefault="000509D1" w:rsidP="000509D1">
      <w:pPr>
        <w:pStyle w:val="NormalWeb"/>
        <w:shd w:val="clear" w:color="auto" w:fill="FFFFFF"/>
        <w:spacing w:before="0" w:beforeAutospacing="0" w:after="0" w:afterAutospacing="0" w:line="235" w:lineRule="atLeast"/>
        <w:ind w:left="720"/>
        <w:jc w:val="both"/>
        <w:rPr>
          <w:color w:val="2F5496" w:themeColor="accent1" w:themeShade="BF"/>
          <w:sz w:val="28"/>
          <w:szCs w:val="28"/>
          <w:lang w:val="bg-BG"/>
        </w:rPr>
      </w:pPr>
    </w:p>
    <w:p w14:paraId="0DD9ED60" w14:textId="6136E401" w:rsidR="000133F2" w:rsidRPr="00E15F8F" w:rsidRDefault="000133F2" w:rsidP="000532D9">
      <w:pPr>
        <w:jc w:val="both"/>
        <w:rPr>
          <w:rFonts w:ascii="Times New Roman" w:hAnsi="Times New Roman" w:cs="Times New Roman"/>
          <w:b/>
          <w:bCs/>
          <w:sz w:val="24"/>
          <w:szCs w:val="24"/>
          <w:lang w:val="bg-BG"/>
        </w:rPr>
      </w:pPr>
      <w:r w:rsidRPr="00E15F8F">
        <w:rPr>
          <w:rFonts w:ascii="Times New Roman" w:hAnsi="Times New Roman" w:cs="Times New Roman"/>
          <w:b/>
          <w:bCs/>
          <w:sz w:val="24"/>
          <w:szCs w:val="24"/>
          <w:lang w:val="bg-BG"/>
        </w:rPr>
        <w:t>Обхват на анализа</w:t>
      </w:r>
    </w:p>
    <w:p w14:paraId="6328A2FB" w14:textId="1836EAC9" w:rsidR="000532D9" w:rsidRPr="00E15F8F" w:rsidRDefault="000532D9" w:rsidP="00BB7E8B">
      <w:pPr>
        <w:spacing w:after="120"/>
        <w:jc w:val="both"/>
        <w:rPr>
          <w:rFonts w:ascii="Times New Roman" w:hAnsi="Times New Roman" w:cs="Times New Roman"/>
          <w:lang w:val="bg-BG"/>
        </w:rPr>
      </w:pPr>
      <w:r w:rsidRPr="00E15F8F">
        <w:rPr>
          <w:rFonts w:ascii="Times New Roman" w:hAnsi="Times New Roman" w:cs="Times New Roman"/>
          <w:lang w:val="bg-BG"/>
        </w:rPr>
        <w:t>Водите са най-ценния ресурс на планетата от ключово значение за човешкия живот и здраве, за естествените екосистеми, но и за функционирането на ключови икономически сектори като селското стопанство, енергетиката, транспорта, туризма. В същото време водните ресурси са с висока степен на уязвимост от различни видове антропогенен и икономически натиск, модели на потребление, климатични промени, точково и дифузно замърсяване. Прилагането на ефективни политики за тяхното опазване, устойчиво управление и отговорно използване е първостепенна и системна задача в контекста на общите усилия за опазване на околната среда.</w:t>
      </w:r>
    </w:p>
    <w:p w14:paraId="29015CDD" w14:textId="77777777" w:rsidR="000532D9" w:rsidRPr="00E15F8F" w:rsidRDefault="000532D9" w:rsidP="00BB7E8B">
      <w:pPr>
        <w:autoSpaceDE w:val="0"/>
        <w:autoSpaceDN w:val="0"/>
        <w:adjustRightInd w:val="0"/>
        <w:spacing w:after="120" w:line="240" w:lineRule="auto"/>
        <w:jc w:val="both"/>
        <w:rPr>
          <w:rFonts w:ascii="Times New Roman" w:hAnsi="Times New Roman" w:cs="Times New Roman"/>
          <w:color w:val="000000"/>
          <w:lang w:val="bg-BG"/>
        </w:rPr>
      </w:pPr>
      <w:r w:rsidRPr="00E15F8F">
        <w:rPr>
          <w:rFonts w:ascii="Times New Roman" w:hAnsi="Times New Roman" w:cs="Times New Roman"/>
          <w:color w:val="000000"/>
          <w:lang w:val="bg-BG"/>
        </w:rPr>
        <w:t>Особен фокус се поставя върху морската околна среда и състоянието на моретата. Въпреки целенасочените усилия, които европейските държави полагат в рамките на интегрираната морска политика и редица регионални инициативи, целите за постигане на благоприятен екологичен статус по отношение на замърсяване, еутрофикация, инвазивни видове и морски отпадъци не са постигнати. Перспективите за постигане на визията за здрави, чисти и продуктивни европейски морета остават дългосрочни в контекста на натиска от динамичното развитие на секторите от синята икономика и климатичните промени. Подобряване на изпълнението на политиките, интегрираност и партньорство са значимите послания в тази посока.</w:t>
      </w:r>
    </w:p>
    <w:p w14:paraId="3454506B" w14:textId="519C4240" w:rsidR="000532D9" w:rsidRPr="00E15F8F" w:rsidRDefault="000532D9" w:rsidP="00BB7E8B">
      <w:pPr>
        <w:spacing w:after="120"/>
        <w:jc w:val="both"/>
        <w:rPr>
          <w:rFonts w:ascii="Times New Roman" w:hAnsi="Times New Roman" w:cs="Times New Roman"/>
          <w:lang w:val="bg-BG"/>
        </w:rPr>
      </w:pPr>
      <w:r w:rsidRPr="00E15F8F">
        <w:rPr>
          <w:rFonts w:ascii="Times New Roman" w:hAnsi="Times New Roman" w:cs="Times New Roman"/>
          <w:lang w:val="bg-BG"/>
        </w:rPr>
        <w:t xml:space="preserve">Безспорно обект на оценка е </w:t>
      </w:r>
      <w:r w:rsidR="004710D6" w:rsidRPr="00E15F8F">
        <w:rPr>
          <w:rFonts w:ascii="Times New Roman" w:hAnsi="Times New Roman" w:cs="Times New Roman"/>
          <w:lang w:val="bg-BG"/>
        </w:rPr>
        <w:t xml:space="preserve">и </w:t>
      </w:r>
      <w:r w:rsidRPr="00E15F8F">
        <w:rPr>
          <w:rFonts w:ascii="Times New Roman" w:hAnsi="Times New Roman" w:cs="Times New Roman"/>
          <w:lang w:val="bg-BG"/>
        </w:rPr>
        <w:t>значението на екосистемните услуги, които предоставят водите. Водата изпълнява едновременно функции на материални услуги</w:t>
      </w:r>
      <w:r w:rsidR="004710D6" w:rsidRPr="00E15F8F">
        <w:rPr>
          <w:rFonts w:ascii="Times New Roman" w:hAnsi="Times New Roman" w:cs="Times New Roman"/>
          <w:lang w:val="bg-BG"/>
        </w:rPr>
        <w:t xml:space="preserve"> като</w:t>
      </w:r>
      <w:r w:rsidRPr="00E15F8F">
        <w:rPr>
          <w:rFonts w:ascii="Times New Roman" w:hAnsi="Times New Roman" w:cs="Times New Roman"/>
          <w:lang w:val="bg-BG"/>
        </w:rPr>
        <w:t xml:space="preserve"> базисен ресурс за живота на планетата, регулиращи и поддържащи услуги по отношение на природните процеси и климата и културни – под формата на интелектуални, културни и рекреационни възможности, изграждане на идентичност и др. </w:t>
      </w:r>
    </w:p>
    <w:p w14:paraId="219DF350" w14:textId="1449AC7C" w:rsidR="000532D9" w:rsidRPr="00E15F8F" w:rsidRDefault="000532D9" w:rsidP="00BB7E8B">
      <w:pPr>
        <w:autoSpaceDE w:val="0"/>
        <w:autoSpaceDN w:val="0"/>
        <w:adjustRightInd w:val="0"/>
        <w:spacing w:after="120" w:line="240" w:lineRule="auto"/>
        <w:jc w:val="both"/>
        <w:rPr>
          <w:rFonts w:ascii="Times New Roman" w:hAnsi="Times New Roman" w:cs="Times New Roman"/>
          <w:color w:val="000000"/>
          <w:lang w:val="bg-BG"/>
        </w:rPr>
      </w:pPr>
      <w:r w:rsidRPr="00E15F8F">
        <w:rPr>
          <w:rFonts w:ascii="Times New Roman" w:hAnsi="Times New Roman" w:cs="Times New Roman"/>
          <w:color w:val="000000"/>
          <w:lang w:val="bg-BG"/>
        </w:rPr>
        <w:t xml:space="preserve">В тази връзка </w:t>
      </w:r>
      <w:r w:rsidR="000509D1" w:rsidRPr="00E15F8F">
        <w:rPr>
          <w:rFonts w:ascii="Times New Roman" w:hAnsi="Times New Roman" w:cs="Times New Roman"/>
          <w:color w:val="000000"/>
          <w:lang w:val="bg-BG"/>
        </w:rPr>
        <w:t>настоящият</w:t>
      </w:r>
      <w:r w:rsidRPr="00E15F8F">
        <w:rPr>
          <w:rFonts w:ascii="Times New Roman" w:hAnsi="Times New Roman" w:cs="Times New Roman"/>
          <w:color w:val="000000"/>
          <w:lang w:val="bg-BG"/>
        </w:rPr>
        <w:t xml:space="preserve"> анализ</w:t>
      </w:r>
      <w:r w:rsidR="000509D1" w:rsidRPr="00E15F8F">
        <w:rPr>
          <w:rFonts w:ascii="Times New Roman" w:hAnsi="Times New Roman" w:cs="Times New Roman"/>
          <w:color w:val="000000"/>
          <w:lang w:val="bg-BG"/>
        </w:rPr>
        <w:t xml:space="preserve"> по подхода</w:t>
      </w:r>
      <w:r w:rsidRPr="00E15F8F">
        <w:rPr>
          <w:rFonts w:ascii="Times New Roman" w:hAnsi="Times New Roman" w:cs="Times New Roman"/>
          <w:color w:val="000000"/>
          <w:lang w:val="bg-BG"/>
        </w:rPr>
        <w:t xml:space="preserve"> </w:t>
      </w:r>
      <w:r w:rsidR="000509D1" w:rsidRPr="00E15F8F">
        <w:rPr>
          <w:rFonts w:ascii="Times New Roman" w:hAnsi="Times New Roman" w:cs="Times New Roman"/>
          <w:color w:val="000000"/>
          <w:lang w:val="bg-BG"/>
        </w:rPr>
        <w:t>„</w:t>
      </w:r>
      <w:r w:rsidRPr="00E15F8F">
        <w:rPr>
          <w:rFonts w:ascii="Times New Roman" w:hAnsi="Times New Roman" w:cs="Times New Roman"/>
          <w:color w:val="000000"/>
          <w:lang w:val="bg-BG"/>
        </w:rPr>
        <w:t>Движещи сили – Натиск – Състояние – Въздействие – Отговор</w:t>
      </w:r>
      <w:r w:rsidR="000509D1" w:rsidRPr="00E15F8F">
        <w:rPr>
          <w:rFonts w:ascii="Times New Roman" w:hAnsi="Times New Roman" w:cs="Times New Roman"/>
          <w:color w:val="000000"/>
          <w:lang w:val="bg-BG"/>
        </w:rPr>
        <w:t>“</w:t>
      </w:r>
      <w:r w:rsidRPr="00E15F8F">
        <w:rPr>
          <w:rFonts w:ascii="Times New Roman" w:hAnsi="Times New Roman" w:cs="Times New Roman"/>
          <w:color w:val="000000"/>
          <w:lang w:val="bg-BG"/>
        </w:rPr>
        <w:t xml:space="preserve"> се допълва с елемента „Екосистемни услуги“, за да се очертаят ползите от устойчивото управление и връзката между прилагани мерки и постигане на ефекти. </w:t>
      </w:r>
    </w:p>
    <w:p w14:paraId="438C00C1" w14:textId="77777777" w:rsidR="000532D9" w:rsidRPr="00E15F8F" w:rsidRDefault="000532D9" w:rsidP="00BB7E8B">
      <w:pPr>
        <w:autoSpaceDE w:val="0"/>
        <w:autoSpaceDN w:val="0"/>
        <w:adjustRightInd w:val="0"/>
        <w:spacing w:after="120" w:line="240" w:lineRule="auto"/>
        <w:jc w:val="both"/>
        <w:rPr>
          <w:rFonts w:ascii="Times New Roman" w:hAnsi="Times New Roman" w:cs="Times New Roman"/>
          <w:lang w:val="bg-BG"/>
        </w:rPr>
      </w:pPr>
      <w:r w:rsidRPr="00E15F8F">
        <w:rPr>
          <w:rFonts w:ascii="Times New Roman" w:hAnsi="Times New Roman" w:cs="Times New Roman"/>
          <w:color w:val="000000"/>
          <w:lang w:val="bg-BG"/>
        </w:rPr>
        <w:t>Предлаганият модел на</w:t>
      </w:r>
      <w:r w:rsidRPr="00E15F8F">
        <w:rPr>
          <w:rFonts w:ascii="Times New Roman" w:hAnsi="Times New Roman" w:cs="Times New Roman"/>
          <w:lang w:val="bg-BG"/>
        </w:rPr>
        <w:t xml:space="preserve"> анализ за природните и питейни води в България изследва възможните взаимовръзки между всички сили на натиск, въздействието върху екологичното състояние на различните водни ресурси, потенциала на екосистемните услуги, целите на прилаганите политики и мерки.</w:t>
      </w:r>
    </w:p>
    <w:p w14:paraId="6D05CAE5" w14:textId="77777777" w:rsidR="000532D9" w:rsidRPr="00E15F8F" w:rsidRDefault="000532D9" w:rsidP="00BB7E8B">
      <w:pPr>
        <w:spacing w:after="120"/>
        <w:jc w:val="both"/>
        <w:rPr>
          <w:rFonts w:ascii="Times New Roman" w:hAnsi="Times New Roman" w:cs="Times New Roman"/>
          <w:lang w:val="bg-BG"/>
        </w:rPr>
      </w:pPr>
      <w:r w:rsidRPr="00E15F8F">
        <w:rPr>
          <w:rFonts w:ascii="Times New Roman" w:hAnsi="Times New Roman" w:cs="Times New Roman"/>
          <w:lang w:val="bg-BG"/>
        </w:rPr>
        <w:t>Разгледани са данни за периода 2010 – 2018 г., като за някои аспекти на анализа периодите варират съобразно достъпните и налични данни или необходимостта от проследяване на по-дългосрочни тенденции.</w:t>
      </w:r>
    </w:p>
    <w:p w14:paraId="1245AAC8" w14:textId="77777777" w:rsidR="000532D9" w:rsidRPr="00E15F8F" w:rsidRDefault="000532D9" w:rsidP="00BB7E8B">
      <w:pPr>
        <w:spacing w:after="120"/>
        <w:jc w:val="both"/>
        <w:rPr>
          <w:rFonts w:ascii="Times New Roman" w:hAnsi="Times New Roman" w:cs="Times New Roman"/>
          <w:lang w:val="bg-BG"/>
        </w:rPr>
      </w:pPr>
      <w:r w:rsidRPr="00E15F8F">
        <w:rPr>
          <w:rFonts w:ascii="Times New Roman" w:hAnsi="Times New Roman" w:cs="Times New Roman"/>
          <w:lang w:val="bg-BG"/>
        </w:rPr>
        <w:t xml:space="preserve">Количествената информация, представена в тази част на доклада се основава на данни от официални източници (НСИ, Евростат), доклади на Европейската агенция по околна среда, национални доклади за състоянието и опазването на околната среда на Изпълнителна агенция по околна среда и др. информация от националната система за мониторинг. Изведените тенденции са поставени в контекста на общите за сектора европейски тенденции и препоръките от </w:t>
      </w:r>
      <w:r w:rsidRPr="00E15F8F">
        <w:rPr>
          <w:rFonts w:ascii="Times New Roman" w:hAnsi="Times New Roman" w:cs="Times New Roman"/>
          <w:lang w:val="bg-BG" w:eastAsia="bg-BG"/>
        </w:rPr>
        <w:t>Доклада на ЕК за България от  2019 г. Преглед на изпълнението на политиките за околната среда</w:t>
      </w:r>
      <w:r w:rsidRPr="00E15F8F">
        <w:rPr>
          <w:rFonts w:ascii="Times New Roman" w:hAnsi="Times New Roman" w:cs="Times New Roman"/>
          <w:lang w:val="bg-BG"/>
        </w:rPr>
        <w:t xml:space="preserve"> и Европейския доклад за устойчиво развитие от 2019 г. на Европейския институт за политики по околна среда.</w:t>
      </w:r>
    </w:p>
    <w:p w14:paraId="15B56A3D" w14:textId="11D5E5D0" w:rsidR="000532D9" w:rsidRPr="00E15F8F" w:rsidRDefault="000532D9" w:rsidP="00BB7E8B">
      <w:pPr>
        <w:spacing w:after="120"/>
        <w:jc w:val="both"/>
        <w:rPr>
          <w:rFonts w:ascii="Times New Roman" w:hAnsi="Times New Roman" w:cs="Times New Roman"/>
          <w:lang w:val="bg-BG"/>
        </w:rPr>
      </w:pPr>
      <w:r w:rsidRPr="00E15F8F">
        <w:rPr>
          <w:rFonts w:ascii="Times New Roman" w:hAnsi="Times New Roman" w:cs="Times New Roman"/>
          <w:lang w:val="bg-BG"/>
        </w:rPr>
        <w:t xml:space="preserve">Оценката на съществуващите тенденции и перспективите за постигане на целите по управление на водните ресурси и качеството на водите е структурирана в четири основни елемента: управление на </w:t>
      </w:r>
      <w:r w:rsidRPr="00E15F8F">
        <w:rPr>
          <w:rFonts w:ascii="Times New Roman" w:hAnsi="Times New Roman" w:cs="Times New Roman"/>
          <w:lang w:val="bg-BG"/>
        </w:rPr>
        <w:lastRenderedPageBreak/>
        <w:t>водите и водоползване, качество на водите, водни екосистеми и влажни зони, хидроморфологичен натиск, като е възприет подход на идентифициране на настоящи тенденции и процеси за последните 10 години и прогноза за перспективите за напредък по постигане на целите за хоризонта на разработваната Национална стратегия за околна среда до 2030 г.</w:t>
      </w:r>
      <w:r w:rsidRPr="00E15F8F">
        <w:rPr>
          <w:rStyle w:val="FootnoteReference"/>
          <w:rFonts w:ascii="Times New Roman" w:hAnsi="Times New Roman" w:cs="Times New Roman"/>
          <w:lang w:val="bg-BG"/>
        </w:rPr>
        <w:footnoteReference w:id="1"/>
      </w:r>
    </w:p>
    <w:p w14:paraId="55DE222B" w14:textId="10CC6BB8" w:rsidR="000133F2" w:rsidRPr="00E15F8F" w:rsidRDefault="000133F2" w:rsidP="000532D9">
      <w:pPr>
        <w:jc w:val="both"/>
        <w:rPr>
          <w:rFonts w:ascii="Times New Roman" w:hAnsi="Times New Roman" w:cs="Times New Roman"/>
          <w:b/>
          <w:bCs/>
          <w:lang w:val="bg-BG"/>
        </w:rPr>
      </w:pPr>
      <w:r w:rsidRPr="00E15F8F">
        <w:rPr>
          <w:rFonts w:ascii="Times New Roman" w:hAnsi="Times New Roman" w:cs="Times New Roman"/>
          <w:b/>
          <w:bCs/>
          <w:lang w:val="bg-BG"/>
        </w:rPr>
        <w:t>Характеристики на сектора</w:t>
      </w:r>
    </w:p>
    <w:p w14:paraId="43E6FED8" w14:textId="21E9A9FE" w:rsidR="008309EA" w:rsidRPr="00E15F8F" w:rsidRDefault="008309EA" w:rsidP="00BB7E8B">
      <w:pPr>
        <w:shd w:val="clear" w:color="auto" w:fill="FFFFFF"/>
        <w:spacing w:after="120" w:line="276" w:lineRule="auto"/>
        <w:jc w:val="both"/>
        <w:rPr>
          <w:rFonts w:ascii="Times New Roman" w:eastAsia="Times New Roman" w:hAnsi="Times New Roman" w:cs="Times New Roman"/>
          <w:color w:val="000000"/>
          <w:lang w:val="bg-BG"/>
        </w:rPr>
      </w:pPr>
      <w:r w:rsidRPr="00E15F8F">
        <w:rPr>
          <w:rFonts w:ascii="Times New Roman" w:eastAsia="Times New Roman" w:hAnsi="Times New Roman" w:cs="Times New Roman"/>
          <w:color w:val="000000"/>
          <w:lang w:val="bg-BG"/>
        </w:rPr>
        <w:t>Водните ресурси в Република България се формират предимно от външен приток и са</w:t>
      </w:r>
      <w:r w:rsidRPr="00E15F8F">
        <w:rPr>
          <w:rFonts w:ascii="Times New Roman" w:eastAsia="Times New Roman" w:hAnsi="Times New Roman" w:cs="Times New Roman"/>
          <w:b/>
          <w:bCs/>
          <w:color w:val="000000"/>
          <w:lang w:val="bg-BG"/>
        </w:rPr>
        <w:t xml:space="preserve"> </w:t>
      </w:r>
      <w:r w:rsidRPr="00E15F8F">
        <w:rPr>
          <w:rFonts w:ascii="Times New Roman" w:eastAsia="Times New Roman" w:hAnsi="Times New Roman" w:cs="Times New Roman"/>
          <w:color w:val="000000"/>
          <w:lang w:val="bg-BG"/>
        </w:rPr>
        <w:t xml:space="preserve">неравномерно разпределени на територията на страната. През 2018 г. наличните възобновими пресни водни ресурси се оценяват на 100091,90 млн м³, което с 0.3% по-вече спрямо средномногогодишната норма (1981 - 2018 г.), от който външен приток от р. Дунав 75 466,6 млн м³. </w:t>
      </w:r>
      <w:r w:rsidR="00D33B4E" w:rsidRPr="00E15F8F">
        <w:rPr>
          <w:rStyle w:val="FootnoteReference"/>
          <w:rFonts w:ascii="Times New Roman" w:eastAsia="Times New Roman" w:hAnsi="Times New Roman" w:cs="Times New Roman"/>
          <w:color w:val="000000"/>
          <w:lang w:val="bg-BG"/>
        </w:rPr>
        <w:footnoteReference w:id="2"/>
      </w:r>
    </w:p>
    <w:p w14:paraId="7A4F77C7" w14:textId="56A7FCED" w:rsidR="0047737A" w:rsidRPr="00E15F8F" w:rsidRDefault="008309EA" w:rsidP="00BB7E8B">
      <w:pPr>
        <w:shd w:val="clear" w:color="auto" w:fill="FFFFFF"/>
        <w:spacing w:after="120" w:line="276" w:lineRule="auto"/>
        <w:jc w:val="both"/>
        <w:rPr>
          <w:rFonts w:ascii="Times New Roman" w:hAnsi="Times New Roman" w:cs="Times New Roman"/>
          <w:lang w:val="bg-BG"/>
        </w:rPr>
      </w:pPr>
      <w:r w:rsidRPr="00E15F8F">
        <w:rPr>
          <w:rFonts w:ascii="Times New Roman" w:eastAsia="Times New Roman" w:hAnsi="Times New Roman" w:cs="Times New Roman"/>
          <w:color w:val="000000"/>
          <w:lang w:val="bg-BG"/>
        </w:rPr>
        <w:t>Република България се отличава с относително значими пресни водни ресурси в сравнение с други европейски страни, както по абсолютен обем, така и на човек от населението.</w:t>
      </w:r>
      <w:r w:rsidR="00D33B4E" w:rsidRPr="00E15F8F">
        <w:rPr>
          <w:rFonts w:ascii="Times New Roman" w:eastAsia="Times New Roman" w:hAnsi="Times New Roman" w:cs="Times New Roman"/>
          <w:color w:val="000000"/>
          <w:lang w:val="bg-BG"/>
        </w:rPr>
        <w:t xml:space="preserve"> </w:t>
      </w:r>
      <w:r w:rsidR="0047737A" w:rsidRPr="00E15F8F">
        <w:rPr>
          <w:rFonts w:ascii="Times New Roman" w:hAnsi="Times New Roman" w:cs="Times New Roman"/>
          <w:lang w:val="bg-BG"/>
        </w:rPr>
        <w:t>Управлението на водите се осъществява на национално и басейново ниво. Принципът на басейново управление на основата на естественото разположение на вододелите между водосборните области на една или няколко основни реки на територията на страната е въведен със Закона за водите (</w:t>
      </w:r>
      <w:r w:rsidR="0047737A" w:rsidRPr="00E15F8F">
        <w:rPr>
          <w:rFonts w:ascii="Times New Roman" w:hAnsi="Times New Roman" w:cs="Times New Roman"/>
          <w:color w:val="000000"/>
          <w:shd w:val="clear" w:color="auto" w:fill="FEFEFE"/>
          <w:lang w:val="bg-BG"/>
        </w:rPr>
        <w:t>обн. ДВ. бр.67 от 27 юли 1999 г.</w:t>
      </w:r>
      <w:r w:rsidR="0047737A" w:rsidRPr="00E15F8F">
        <w:rPr>
          <w:rFonts w:ascii="Times New Roman" w:hAnsi="Times New Roman" w:cs="Times New Roman"/>
          <w:lang w:val="bg-BG"/>
        </w:rPr>
        <w:t>). Съгласно чл. 152, ал.1 от Закона за водите (</w:t>
      </w:r>
      <w:r w:rsidR="0047737A" w:rsidRPr="00E15F8F">
        <w:rPr>
          <w:rFonts w:ascii="Times New Roman" w:hAnsi="Times New Roman" w:cs="Times New Roman"/>
          <w:color w:val="000000"/>
          <w:shd w:val="clear" w:color="auto" w:fill="FEFEFE"/>
          <w:lang w:val="bg-BG"/>
        </w:rPr>
        <w:t>изм. ДВ. бр.47 от 23 юни 2009г.</w:t>
      </w:r>
      <w:r w:rsidR="0047737A" w:rsidRPr="00E15F8F">
        <w:rPr>
          <w:rFonts w:ascii="Times New Roman" w:hAnsi="Times New Roman" w:cs="Times New Roman"/>
          <w:lang w:val="bg-BG"/>
        </w:rPr>
        <w:t>) и в съответствие с чл.3 т. от Директива 2000/60/ЕО (РДВ), територията на Република България е разделена на четири района за басейново управление на водите.</w:t>
      </w:r>
    </w:p>
    <w:p w14:paraId="4D455F0F" w14:textId="77777777" w:rsidR="0047737A" w:rsidRPr="00E15F8F" w:rsidRDefault="0047737A" w:rsidP="0047737A">
      <w:pPr>
        <w:spacing w:line="276" w:lineRule="auto"/>
        <w:jc w:val="both"/>
        <w:rPr>
          <w:rFonts w:ascii="Times New Roman" w:hAnsi="Times New Roman" w:cs="Times New Roman"/>
          <w:b/>
          <w:bCs/>
          <w:sz w:val="24"/>
          <w:szCs w:val="24"/>
          <w:lang w:val="bg-BG"/>
        </w:rPr>
      </w:pPr>
      <w:r w:rsidRPr="00E15F8F">
        <w:rPr>
          <w:rFonts w:ascii="Times New Roman" w:hAnsi="Times New Roman" w:cs="Times New Roman"/>
          <w:b/>
          <w:bCs/>
          <w:sz w:val="24"/>
          <w:szCs w:val="24"/>
          <w:lang w:val="bg-BG"/>
        </w:rPr>
        <w:t>ДУНАВСКИ РБУ</w:t>
      </w:r>
    </w:p>
    <w:p w14:paraId="795C9B9C" w14:textId="77777777" w:rsidR="0047737A" w:rsidRPr="00E15F8F" w:rsidRDefault="0047737A" w:rsidP="0047737A">
      <w:pPr>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Като административно-териториален обхват</w:t>
      </w:r>
      <w:r w:rsidRPr="00E15F8F">
        <w:rPr>
          <w:rStyle w:val="FootnoteReference"/>
          <w:rFonts w:ascii="Times New Roman" w:hAnsi="Times New Roman" w:cs="Times New Roman"/>
          <w:lang w:val="bg-BG"/>
        </w:rPr>
        <w:footnoteReference w:id="3"/>
      </w:r>
      <w:r w:rsidRPr="00E15F8F">
        <w:rPr>
          <w:rFonts w:ascii="Times New Roman" w:hAnsi="Times New Roman" w:cs="Times New Roman"/>
          <w:lang w:val="bg-BG"/>
        </w:rPr>
        <w:t xml:space="preserve"> Дунавският район за басейново управление на водите (ДРБУ) покрива изцяло или частично 18 области на България, 126 общини и 2278 населени места, включително столицата на страната - гр. София</w:t>
      </w:r>
      <w:r w:rsidRPr="00E15F8F">
        <w:rPr>
          <w:rStyle w:val="FootnoteReference"/>
          <w:rFonts w:ascii="Times New Roman" w:hAnsi="Times New Roman" w:cs="Times New Roman"/>
          <w:lang w:val="bg-BG"/>
        </w:rPr>
        <w:footnoteReference w:id="4"/>
      </w:r>
      <w:r w:rsidRPr="00E15F8F">
        <w:rPr>
          <w:rFonts w:ascii="Times New Roman" w:hAnsi="Times New Roman" w:cs="Times New Roman"/>
          <w:lang w:val="bg-BG"/>
        </w:rPr>
        <w:t>.</w:t>
      </w:r>
    </w:p>
    <w:p w14:paraId="70CAB5B7" w14:textId="77777777" w:rsidR="0047737A" w:rsidRPr="00E15F8F" w:rsidRDefault="0047737A" w:rsidP="0047737A">
      <w:pPr>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Общата площ, която обхваща района е 47 235 кв. км. или 42,5% от територията на страната. Районът обединява речните басейни на 11 реки: Дунав, Реки западно от Огоста, Огоста, Искър, Вит, Осъм, Янтра, Русенски Лом, Дунавски добруджански реки, Ерма и Нишава.</w:t>
      </w:r>
    </w:p>
    <w:p w14:paraId="2BAA2C09" w14:textId="3B5B2077" w:rsidR="0047737A" w:rsidRPr="00E15F8F" w:rsidRDefault="0047737A" w:rsidP="0047737A">
      <w:pPr>
        <w:spacing w:line="276" w:lineRule="auto"/>
        <w:jc w:val="both"/>
        <w:rPr>
          <w:rFonts w:ascii="Times New Roman" w:hAnsi="Times New Roman" w:cs="Times New Roman"/>
          <w:sz w:val="24"/>
          <w:szCs w:val="24"/>
          <w:lang w:val="bg-BG"/>
        </w:rPr>
      </w:pPr>
      <w:r w:rsidRPr="00E15F8F">
        <w:rPr>
          <w:rFonts w:ascii="Times New Roman" w:hAnsi="Times New Roman" w:cs="Times New Roman"/>
          <w:noProof/>
          <w:sz w:val="24"/>
          <w:szCs w:val="24"/>
          <w:lang w:val="bg-BG" w:eastAsia="bg-BG"/>
        </w:rPr>
        <w:drawing>
          <wp:anchor distT="0" distB="0" distL="114300" distR="114300" simplePos="0" relativeHeight="251661312" behindDoc="0" locked="0" layoutInCell="1" allowOverlap="1" wp14:anchorId="2F37EE57" wp14:editId="370E37FB">
            <wp:simplePos x="0" y="0"/>
            <wp:positionH relativeFrom="column">
              <wp:posOffset>38099</wp:posOffset>
            </wp:positionH>
            <wp:positionV relativeFrom="paragraph">
              <wp:posOffset>43815</wp:posOffset>
            </wp:positionV>
            <wp:extent cx="4660883" cy="2279650"/>
            <wp:effectExtent l="0" t="0" r="6985" b="635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76668" cy="228737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68272B" w14:textId="77777777" w:rsidR="0047737A" w:rsidRPr="00E15F8F" w:rsidRDefault="0047737A" w:rsidP="0047737A">
      <w:pPr>
        <w:spacing w:line="276" w:lineRule="auto"/>
        <w:jc w:val="both"/>
        <w:rPr>
          <w:rFonts w:ascii="Times New Roman" w:hAnsi="Times New Roman" w:cs="Times New Roman"/>
          <w:sz w:val="24"/>
          <w:szCs w:val="24"/>
          <w:lang w:val="bg-BG"/>
        </w:rPr>
      </w:pPr>
      <w:r w:rsidRPr="00E15F8F">
        <w:rPr>
          <w:rFonts w:ascii="Times New Roman" w:hAnsi="Times New Roman" w:cs="Times New Roman"/>
          <w:sz w:val="24"/>
          <w:szCs w:val="24"/>
          <w:lang w:val="bg-BG"/>
        </w:rPr>
        <w:br/>
      </w:r>
    </w:p>
    <w:p w14:paraId="48B3648D" w14:textId="77777777" w:rsidR="0047737A" w:rsidRPr="00E15F8F" w:rsidRDefault="0047737A" w:rsidP="0047737A">
      <w:pPr>
        <w:pStyle w:val="3vff3xh4yd"/>
        <w:rPr>
          <w:b/>
          <w:bCs/>
          <w:lang w:val="bg-BG"/>
        </w:rPr>
      </w:pPr>
    </w:p>
    <w:p w14:paraId="25255D73" w14:textId="77777777" w:rsidR="0047737A" w:rsidRPr="00E15F8F" w:rsidRDefault="0047737A" w:rsidP="0047737A">
      <w:pPr>
        <w:pStyle w:val="3vff3xh4yd"/>
        <w:rPr>
          <w:b/>
          <w:bCs/>
          <w:lang w:val="bg-BG"/>
        </w:rPr>
      </w:pPr>
    </w:p>
    <w:p w14:paraId="257ED1A8" w14:textId="77777777" w:rsidR="0047737A" w:rsidRPr="00E15F8F" w:rsidRDefault="0047737A" w:rsidP="0047737A">
      <w:pPr>
        <w:pStyle w:val="3vff3xh4yd"/>
        <w:rPr>
          <w:b/>
          <w:bCs/>
          <w:lang w:val="bg-BG"/>
        </w:rPr>
      </w:pPr>
    </w:p>
    <w:p w14:paraId="0D3DDB72" w14:textId="77777777" w:rsidR="0047737A" w:rsidRPr="00E15F8F" w:rsidRDefault="0047737A" w:rsidP="0047737A">
      <w:pPr>
        <w:pStyle w:val="3vff3xh4yd"/>
        <w:rPr>
          <w:b/>
          <w:bCs/>
          <w:lang w:val="bg-BG"/>
        </w:rPr>
      </w:pPr>
    </w:p>
    <w:p w14:paraId="697AA32C" w14:textId="77777777" w:rsidR="0052125B" w:rsidRPr="00E15F8F" w:rsidRDefault="0052125B" w:rsidP="0047737A">
      <w:pPr>
        <w:pStyle w:val="3vff3xh4yd"/>
        <w:rPr>
          <w:b/>
          <w:bCs/>
          <w:lang w:val="bg-BG"/>
        </w:rPr>
      </w:pPr>
    </w:p>
    <w:p w14:paraId="19186DD9" w14:textId="3C03665C" w:rsidR="0047737A" w:rsidRPr="00E15F8F" w:rsidRDefault="0047737A" w:rsidP="0047737A">
      <w:pPr>
        <w:pStyle w:val="3vff3xh4yd"/>
        <w:rPr>
          <w:b/>
          <w:bCs/>
          <w:lang w:val="bg-BG"/>
        </w:rPr>
      </w:pPr>
      <w:r w:rsidRPr="00E15F8F">
        <w:rPr>
          <w:b/>
          <w:bCs/>
          <w:noProof/>
          <w:lang w:val="bg-BG" w:eastAsia="bg-BG"/>
        </w:rPr>
        <w:drawing>
          <wp:anchor distT="0" distB="0" distL="114300" distR="114300" simplePos="0" relativeHeight="251662336" behindDoc="0" locked="0" layoutInCell="1" allowOverlap="1" wp14:anchorId="39CA782E" wp14:editId="0AB934B4">
            <wp:simplePos x="0" y="0"/>
            <wp:positionH relativeFrom="margin">
              <wp:posOffset>152400</wp:posOffset>
            </wp:positionH>
            <wp:positionV relativeFrom="paragraph">
              <wp:posOffset>147955</wp:posOffset>
            </wp:positionV>
            <wp:extent cx="2312623" cy="2317750"/>
            <wp:effectExtent l="0" t="0" r="0" b="635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12623" cy="2317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5F8F">
        <w:rPr>
          <w:b/>
          <w:bCs/>
          <w:lang w:val="bg-BG"/>
        </w:rPr>
        <w:t>ЧЕРНОМОРСКИ РБУ</w:t>
      </w:r>
    </w:p>
    <w:p w14:paraId="593AD19B" w14:textId="72A67055" w:rsidR="0047737A" w:rsidRPr="00E15F8F" w:rsidRDefault="0047737A" w:rsidP="00D33B4E">
      <w:pPr>
        <w:pStyle w:val="3vff3xh4yd"/>
        <w:spacing w:before="0" w:beforeAutospacing="0" w:after="120" w:afterAutospacing="0" w:line="276" w:lineRule="auto"/>
        <w:ind w:left="4500"/>
        <w:jc w:val="both"/>
        <w:rPr>
          <w:sz w:val="22"/>
          <w:szCs w:val="22"/>
          <w:lang w:val="bg-BG"/>
        </w:rPr>
      </w:pPr>
      <w:r w:rsidRPr="00E15F8F">
        <w:rPr>
          <w:sz w:val="22"/>
          <w:szCs w:val="22"/>
          <w:lang w:val="bg-BG"/>
        </w:rPr>
        <w:t>Черноморският район за басейново управление обхваща източните части на Република България. В него влизат всички поречия с директен отток към Черно море. Площта на района</w:t>
      </w:r>
      <w:r w:rsidRPr="00E15F8F">
        <w:rPr>
          <w:rStyle w:val="FootnoteReference"/>
          <w:sz w:val="22"/>
          <w:szCs w:val="22"/>
          <w:lang w:val="bg-BG"/>
        </w:rPr>
        <w:footnoteReference w:id="5"/>
      </w:r>
      <w:r w:rsidRPr="00E15F8F">
        <w:rPr>
          <w:sz w:val="22"/>
          <w:szCs w:val="22"/>
          <w:lang w:val="bg-BG"/>
        </w:rPr>
        <w:t xml:space="preserve"> е 16,570 кв. км  сухоземна територия и 6 358 кв.км акватория. Това представлява  14.9 % от територията на страната</w:t>
      </w:r>
      <w:r w:rsidR="004710D6" w:rsidRPr="00E15F8F">
        <w:rPr>
          <w:sz w:val="22"/>
          <w:szCs w:val="22"/>
          <w:lang w:val="bg-BG"/>
        </w:rPr>
        <w:t xml:space="preserve"> </w:t>
      </w:r>
      <w:r w:rsidRPr="00E15F8F">
        <w:rPr>
          <w:sz w:val="22"/>
          <w:szCs w:val="22"/>
          <w:lang w:val="bg-BG"/>
        </w:rPr>
        <w:t>и 100% от акваторията на Черно море.</w:t>
      </w:r>
    </w:p>
    <w:p w14:paraId="408814DB" w14:textId="77777777" w:rsidR="0047737A" w:rsidRPr="00E15F8F" w:rsidRDefault="0047737A" w:rsidP="00D33B4E">
      <w:pPr>
        <w:pStyle w:val="3vff3xh4yd"/>
        <w:spacing w:before="0" w:beforeAutospacing="0" w:after="120" w:afterAutospacing="0" w:line="276" w:lineRule="auto"/>
        <w:ind w:left="4490" w:firstLine="10"/>
        <w:jc w:val="both"/>
        <w:rPr>
          <w:sz w:val="22"/>
          <w:szCs w:val="22"/>
          <w:lang w:val="bg-BG"/>
        </w:rPr>
      </w:pPr>
      <w:r w:rsidRPr="00E15F8F">
        <w:rPr>
          <w:sz w:val="22"/>
          <w:szCs w:val="22"/>
          <w:lang w:val="bg-BG"/>
        </w:rPr>
        <w:t>Източната граница съвпада с бреговата линия на Черно море, с крайни точки на север с. Дуранкулак (община Шабла) и на юг с. Резово (община Царево). Дължината на морската граница е 378  км</w:t>
      </w:r>
      <w:r w:rsidRPr="00E15F8F">
        <w:rPr>
          <w:rStyle w:val="FootnoteReference"/>
          <w:sz w:val="22"/>
          <w:szCs w:val="22"/>
          <w:lang w:val="bg-BG"/>
        </w:rPr>
        <w:footnoteReference w:id="6"/>
      </w:r>
      <w:r w:rsidRPr="00E15F8F">
        <w:rPr>
          <w:sz w:val="22"/>
          <w:szCs w:val="22"/>
          <w:lang w:val="bg-BG"/>
        </w:rPr>
        <w:t>.</w:t>
      </w:r>
    </w:p>
    <w:p w14:paraId="4D274AF4" w14:textId="77777777" w:rsidR="0047737A" w:rsidRPr="00E15F8F" w:rsidRDefault="0047737A" w:rsidP="0047737A">
      <w:pPr>
        <w:pStyle w:val="3vff3xh4yd"/>
        <w:spacing w:before="0" w:beforeAutospacing="0" w:after="120" w:afterAutospacing="0" w:line="276" w:lineRule="auto"/>
        <w:jc w:val="both"/>
        <w:rPr>
          <w:sz w:val="22"/>
          <w:szCs w:val="22"/>
          <w:lang w:val="bg-BG"/>
        </w:rPr>
      </w:pPr>
      <w:r w:rsidRPr="00E15F8F">
        <w:rPr>
          <w:sz w:val="22"/>
          <w:szCs w:val="22"/>
          <w:lang w:val="bg-BG"/>
        </w:rPr>
        <w:t>В Черноморски РБУ са включени 27 поречия, разположени изцяло в обхвата на района, 2 трансгранични поречия – р. Велека и р. Резовска и територии с директен отток към Черно море. В териториалния обхват на района попадат изцяло или частично</w:t>
      </w:r>
      <w:r w:rsidRPr="00E15F8F">
        <w:rPr>
          <w:rStyle w:val="FootnoteReference"/>
          <w:sz w:val="22"/>
          <w:szCs w:val="22"/>
          <w:lang w:val="bg-BG"/>
        </w:rPr>
        <w:footnoteReference w:id="7"/>
      </w:r>
      <w:r w:rsidRPr="00E15F8F">
        <w:rPr>
          <w:sz w:val="22"/>
          <w:szCs w:val="22"/>
          <w:lang w:val="bg-BG"/>
        </w:rPr>
        <w:t xml:space="preserve"> 8 области, 47 общини и 627 населени места.</w:t>
      </w:r>
    </w:p>
    <w:p w14:paraId="1ED0CAC5" w14:textId="0EFB0AFB" w:rsidR="0047737A" w:rsidRPr="00E15F8F" w:rsidRDefault="0047737A" w:rsidP="0047737A">
      <w:pPr>
        <w:pStyle w:val="3vff3xh4yd"/>
        <w:spacing w:before="0" w:beforeAutospacing="0" w:after="120" w:afterAutospacing="0" w:line="276" w:lineRule="auto"/>
        <w:rPr>
          <w:b/>
          <w:bCs/>
          <w:lang w:val="bg-BG"/>
        </w:rPr>
      </w:pPr>
      <w:r w:rsidRPr="00E15F8F">
        <w:rPr>
          <w:b/>
          <w:bCs/>
          <w:lang w:val="bg-BG"/>
        </w:rPr>
        <w:t>ИЗТОЧНОБЕЛОМОРСКИ РБУ</w:t>
      </w:r>
    </w:p>
    <w:p w14:paraId="4AFFA9BA" w14:textId="77777777" w:rsidR="0047737A" w:rsidRPr="00E15F8F" w:rsidRDefault="0047737A" w:rsidP="00D33B4E">
      <w:pPr>
        <w:pStyle w:val="3vff3xh4yd"/>
        <w:spacing w:before="0" w:beforeAutospacing="0" w:after="0" w:afterAutospacing="0" w:line="276" w:lineRule="auto"/>
        <w:jc w:val="both"/>
        <w:rPr>
          <w:sz w:val="22"/>
          <w:szCs w:val="22"/>
          <w:lang w:val="bg-BG"/>
        </w:rPr>
      </w:pPr>
      <w:r w:rsidRPr="00E15F8F">
        <w:rPr>
          <w:sz w:val="22"/>
          <w:szCs w:val="22"/>
          <w:lang w:val="bg-BG"/>
        </w:rPr>
        <w:t>Източнобеломорският район</w:t>
      </w:r>
      <w:r w:rsidRPr="00E15F8F">
        <w:rPr>
          <w:rStyle w:val="FootnoteReference"/>
          <w:sz w:val="22"/>
          <w:szCs w:val="22"/>
          <w:lang w:val="bg-BG"/>
        </w:rPr>
        <w:footnoteReference w:id="8"/>
      </w:r>
      <w:r w:rsidRPr="00E15F8F">
        <w:rPr>
          <w:sz w:val="22"/>
          <w:szCs w:val="22"/>
          <w:lang w:val="bg-BG"/>
        </w:rPr>
        <w:t xml:space="preserve"> за басейново управление заема централните части на Южна България, южно от Стара планина. В него влизат всички поречия с директен отток към Егейско море чрез р. Марица. </w:t>
      </w:r>
    </w:p>
    <w:p w14:paraId="4D1F2D52" w14:textId="77777777" w:rsidR="0047737A" w:rsidRPr="00E15F8F" w:rsidRDefault="0047737A" w:rsidP="00D33B4E">
      <w:pPr>
        <w:pStyle w:val="3vff3xh4yd"/>
        <w:spacing w:before="0" w:beforeAutospacing="0" w:after="0" w:afterAutospacing="0" w:line="276" w:lineRule="auto"/>
        <w:jc w:val="both"/>
        <w:rPr>
          <w:sz w:val="22"/>
          <w:szCs w:val="22"/>
          <w:lang w:val="bg-BG"/>
        </w:rPr>
      </w:pPr>
      <w:r w:rsidRPr="00E15F8F">
        <w:rPr>
          <w:sz w:val="22"/>
          <w:szCs w:val="22"/>
          <w:lang w:val="bg-BG"/>
        </w:rPr>
        <w:t>Площта на района е 35 227</w:t>
      </w:r>
      <w:r w:rsidRPr="00E15F8F" w:rsidDel="0064001C">
        <w:rPr>
          <w:sz w:val="22"/>
          <w:szCs w:val="22"/>
          <w:lang w:val="bg-BG"/>
        </w:rPr>
        <w:t xml:space="preserve"> </w:t>
      </w:r>
      <w:r w:rsidRPr="00E15F8F">
        <w:rPr>
          <w:sz w:val="22"/>
          <w:szCs w:val="22"/>
          <w:lang w:val="bg-BG"/>
        </w:rPr>
        <w:t>кв. км или 32</w:t>
      </w:r>
      <w:r w:rsidRPr="00E15F8F" w:rsidDel="0064001C">
        <w:rPr>
          <w:sz w:val="22"/>
          <w:szCs w:val="22"/>
          <w:lang w:val="bg-BG"/>
        </w:rPr>
        <w:t xml:space="preserve"> </w:t>
      </w:r>
      <w:r w:rsidRPr="00E15F8F">
        <w:rPr>
          <w:sz w:val="22"/>
          <w:szCs w:val="22"/>
          <w:lang w:val="bg-BG"/>
        </w:rPr>
        <w:t>% от територията на страната.</w:t>
      </w:r>
    </w:p>
    <w:p w14:paraId="401A7A15" w14:textId="77777777" w:rsidR="0047737A" w:rsidRPr="00E15F8F" w:rsidRDefault="0047737A" w:rsidP="00D33B4E">
      <w:pPr>
        <w:pStyle w:val="3vff3xh4yd"/>
        <w:spacing w:before="0" w:beforeAutospacing="0" w:after="0" w:afterAutospacing="0" w:line="276" w:lineRule="auto"/>
        <w:jc w:val="both"/>
        <w:rPr>
          <w:sz w:val="22"/>
          <w:szCs w:val="22"/>
          <w:lang w:val="bg-BG"/>
        </w:rPr>
      </w:pPr>
      <w:r w:rsidRPr="00E15F8F">
        <w:rPr>
          <w:sz w:val="22"/>
          <w:szCs w:val="22"/>
          <w:lang w:val="bg-BG"/>
        </w:rPr>
        <w:t>Източнобеломорски район включва следните водосборни басейни до държавната граница с Турция и Гърция:</w:t>
      </w:r>
    </w:p>
    <w:p w14:paraId="52CA428E" w14:textId="77777777" w:rsidR="0047737A" w:rsidRPr="00E15F8F" w:rsidRDefault="0047737A" w:rsidP="0047737A">
      <w:pPr>
        <w:pStyle w:val="3vff3xh4yd"/>
        <w:numPr>
          <w:ilvl w:val="0"/>
          <w:numId w:val="3"/>
        </w:numPr>
        <w:spacing w:before="0" w:beforeAutospacing="0" w:after="0" w:afterAutospacing="0" w:line="276" w:lineRule="auto"/>
        <w:jc w:val="both"/>
        <w:rPr>
          <w:sz w:val="22"/>
          <w:szCs w:val="22"/>
          <w:lang w:val="bg-BG"/>
        </w:rPr>
      </w:pPr>
      <w:r w:rsidRPr="00E15F8F">
        <w:rPr>
          <w:sz w:val="22"/>
          <w:szCs w:val="22"/>
          <w:lang w:val="bg-BG"/>
        </w:rPr>
        <w:t>Басейн на р. Марица – трансграничен с Р Гърция и Р Турция;</w:t>
      </w:r>
    </w:p>
    <w:p w14:paraId="34683401" w14:textId="77777777" w:rsidR="0047737A" w:rsidRPr="00E15F8F" w:rsidRDefault="0047737A" w:rsidP="0047737A">
      <w:pPr>
        <w:pStyle w:val="3vff3xh4yd"/>
        <w:numPr>
          <w:ilvl w:val="0"/>
          <w:numId w:val="3"/>
        </w:numPr>
        <w:spacing w:before="0" w:beforeAutospacing="0" w:after="0" w:afterAutospacing="0" w:line="276" w:lineRule="auto"/>
        <w:jc w:val="both"/>
        <w:rPr>
          <w:sz w:val="22"/>
          <w:szCs w:val="22"/>
          <w:lang w:val="bg-BG"/>
        </w:rPr>
      </w:pPr>
      <w:r w:rsidRPr="00E15F8F">
        <w:rPr>
          <w:sz w:val="22"/>
          <w:szCs w:val="22"/>
          <w:lang w:val="bg-BG"/>
        </w:rPr>
        <w:t>Басейн на р. Тунджа – трансграничен с Р Турция, част от международния басейн на р. Марица;</w:t>
      </w:r>
    </w:p>
    <w:p w14:paraId="1C9FCBDA" w14:textId="77777777" w:rsidR="0047737A" w:rsidRPr="00E15F8F" w:rsidRDefault="0047737A" w:rsidP="0047737A">
      <w:pPr>
        <w:pStyle w:val="3vff3xh4yd"/>
        <w:numPr>
          <w:ilvl w:val="0"/>
          <w:numId w:val="3"/>
        </w:numPr>
        <w:spacing w:before="0" w:beforeAutospacing="0" w:after="0" w:afterAutospacing="0" w:line="276" w:lineRule="auto"/>
        <w:jc w:val="both"/>
        <w:rPr>
          <w:sz w:val="22"/>
          <w:szCs w:val="22"/>
          <w:lang w:val="bg-BG"/>
        </w:rPr>
      </w:pPr>
      <w:r w:rsidRPr="00E15F8F">
        <w:rPr>
          <w:sz w:val="22"/>
          <w:szCs w:val="22"/>
          <w:lang w:val="bg-BG"/>
        </w:rPr>
        <w:t>Басейн на р. Арда – трансграничен с Р Гърция, част от международния басейн на р. Марица;</w:t>
      </w:r>
    </w:p>
    <w:p w14:paraId="395C3A98" w14:textId="77777777" w:rsidR="0047737A" w:rsidRPr="00E15F8F" w:rsidRDefault="0047737A" w:rsidP="0047737A">
      <w:pPr>
        <w:pStyle w:val="3vff3xh4yd"/>
        <w:numPr>
          <w:ilvl w:val="0"/>
          <w:numId w:val="3"/>
        </w:numPr>
        <w:spacing w:before="0" w:beforeAutospacing="0" w:after="0" w:afterAutospacing="0" w:line="276" w:lineRule="auto"/>
        <w:jc w:val="both"/>
        <w:rPr>
          <w:sz w:val="22"/>
          <w:szCs w:val="22"/>
          <w:lang w:val="bg-BG"/>
        </w:rPr>
      </w:pPr>
      <w:r w:rsidRPr="00E15F8F">
        <w:rPr>
          <w:sz w:val="22"/>
          <w:szCs w:val="22"/>
          <w:lang w:val="bg-BG"/>
        </w:rPr>
        <w:t>Басейн на р. Бяла – трансграничен с Р Гърция, част от международния басейн на р. Марица;</w:t>
      </w:r>
    </w:p>
    <w:p w14:paraId="2240AF3D" w14:textId="77777777" w:rsidR="0047737A" w:rsidRPr="00E15F8F" w:rsidRDefault="0047737A" w:rsidP="0047737A">
      <w:pPr>
        <w:pStyle w:val="3vff3xh4yd"/>
        <w:numPr>
          <w:ilvl w:val="0"/>
          <w:numId w:val="3"/>
        </w:numPr>
        <w:spacing w:before="0" w:beforeAutospacing="0" w:after="0" w:afterAutospacing="0" w:line="276" w:lineRule="auto"/>
        <w:jc w:val="both"/>
        <w:rPr>
          <w:sz w:val="22"/>
          <w:szCs w:val="22"/>
          <w:lang w:val="bg-BG"/>
        </w:rPr>
      </w:pPr>
      <w:r w:rsidRPr="00E15F8F">
        <w:rPr>
          <w:sz w:val="22"/>
          <w:szCs w:val="22"/>
          <w:lang w:val="bg-BG"/>
        </w:rPr>
        <w:t>Басейн на р. Луда – трансграничен с Р Гърция, част от международния басейн на р. Марица.</w:t>
      </w:r>
    </w:p>
    <w:p w14:paraId="268F7EB8" w14:textId="77777777" w:rsidR="0047737A" w:rsidRPr="00E15F8F" w:rsidRDefault="0047737A" w:rsidP="0047737A">
      <w:pPr>
        <w:pStyle w:val="3vff3xh4yd"/>
        <w:numPr>
          <w:ilvl w:val="0"/>
          <w:numId w:val="3"/>
        </w:numPr>
        <w:spacing w:before="0" w:beforeAutospacing="0" w:after="0" w:afterAutospacing="0" w:line="276" w:lineRule="auto"/>
        <w:jc w:val="both"/>
        <w:rPr>
          <w:sz w:val="22"/>
          <w:szCs w:val="22"/>
          <w:lang w:val="bg-BG"/>
        </w:rPr>
      </w:pPr>
      <w:r w:rsidRPr="00E15F8F">
        <w:rPr>
          <w:sz w:val="22"/>
          <w:szCs w:val="22"/>
          <w:lang w:val="bg-BG"/>
        </w:rPr>
        <w:t>Басейн на р. Атеринска – трансграничен с Р Гърция, част от международния 11 басейн на р. Арда.</w:t>
      </w:r>
    </w:p>
    <w:p w14:paraId="69FD1E3A" w14:textId="77777777" w:rsidR="0047737A" w:rsidRPr="00E15F8F" w:rsidRDefault="0047737A" w:rsidP="0047737A">
      <w:pPr>
        <w:pStyle w:val="3vff3xh4yd"/>
        <w:numPr>
          <w:ilvl w:val="0"/>
          <w:numId w:val="3"/>
        </w:numPr>
        <w:spacing w:before="0" w:beforeAutospacing="0" w:after="0" w:afterAutospacing="0" w:line="276" w:lineRule="auto"/>
        <w:jc w:val="both"/>
        <w:rPr>
          <w:sz w:val="22"/>
          <w:szCs w:val="22"/>
          <w:lang w:val="bg-BG"/>
        </w:rPr>
      </w:pPr>
      <w:r w:rsidRPr="00E15F8F">
        <w:rPr>
          <w:sz w:val="22"/>
          <w:szCs w:val="22"/>
          <w:lang w:val="bg-BG"/>
        </w:rPr>
        <w:t>Басейн на р. Фишера – трансграничен с Р Турция, част от международния басейн на р. Тунджа.</w:t>
      </w:r>
    </w:p>
    <w:p w14:paraId="1E869F21" w14:textId="5D1945C0" w:rsidR="0047737A" w:rsidRPr="00E15F8F" w:rsidRDefault="0047737A" w:rsidP="0047737A">
      <w:pPr>
        <w:pStyle w:val="3vff3xh4yd"/>
        <w:spacing w:line="276" w:lineRule="auto"/>
        <w:ind w:left="5220"/>
        <w:jc w:val="both"/>
        <w:rPr>
          <w:sz w:val="22"/>
          <w:szCs w:val="22"/>
          <w:lang w:val="bg-BG"/>
        </w:rPr>
      </w:pPr>
      <w:r w:rsidRPr="00E15F8F">
        <w:rPr>
          <w:noProof/>
          <w:sz w:val="22"/>
          <w:szCs w:val="22"/>
          <w:lang w:val="bg-BG" w:eastAsia="bg-BG"/>
        </w:rPr>
        <w:lastRenderedPageBreak/>
        <w:drawing>
          <wp:anchor distT="0" distB="0" distL="114300" distR="114300" simplePos="0" relativeHeight="251664384" behindDoc="0" locked="0" layoutInCell="1" allowOverlap="1" wp14:anchorId="3F61BFD5" wp14:editId="2936F28A">
            <wp:simplePos x="0" y="0"/>
            <wp:positionH relativeFrom="margin">
              <wp:posOffset>158750</wp:posOffset>
            </wp:positionH>
            <wp:positionV relativeFrom="paragraph">
              <wp:posOffset>130175</wp:posOffset>
            </wp:positionV>
            <wp:extent cx="3009900" cy="2100625"/>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09900" cy="2100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5F8F">
        <w:rPr>
          <w:sz w:val="22"/>
          <w:szCs w:val="22"/>
          <w:lang w:val="bg-BG"/>
        </w:rPr>
        <w:t>Източнобеломорски район включва водосборните области на реките Тунджа, Марица, Арда и Бяла река, като към река Тунджа се причислява р. Фишера, към р. Арда се причислява р. Атеринска, а към р. Бяла река се причислява</w:t>
      </w:r>
      <w:r w:rsidRPr="00E15F8F">
        <w:rPr>
          <w:rStyle w:val="FootnoteReference"/>
          <w:sz w:val="22"/>
          <w:szCs w:val="22"/>
          <w:lang w:val="bg-BG"/>
        </w:rPr>
        <w:footnoteReference w:id="9"/>
      </w:r>
      <w:r w:rsidRPr="00E15F8F">
        <w:rPr>
          <w:sz w:val="22"/>
          <w:szCs w:val="22"/>
          <w:lang w:val="bg-BG"/>
        </w:rPr>
        <w:t xml:space="preserve"> р. Луда.</w:t>
      </w:r>
    </w:p>
    <w:p w14:paraId="2D9369AA" w14:textId="2D95B649" w:rsidR="0047737A" w:rsidRPr="00E15F8F" w:rsidRDefault="0047737A" w:rsidP="0047737A">
      <w:pPr>
        <w:pStyle w:val="3vff3xh4yd"/>
        <w:spacing w:line="276" w:lineRule="auto"/>
        <w:ind w:left="5220"/>
        <w:jc w:val="both"/>
        <w:rPr>
          <w:sz w:val="22"/>
          <w:szCs w:val="22"/>
          <w:lang w:val="bg-BG"/>
        </w:rPr>
      </w:pPr>
      <w:r w:rsidRPr="00E15F8F">
        <w:rPr>
          <w:sz w:val="22"/>
          <w:szCs w:val="22"/>
          <w:lang w:val="bg-BG"/>
        </w:rPr>
        <w:t>В териториалния обхват на района попадат</w:t>
      </w:r>
      <w:r w:rsidRPr="00E15F8F">
        <w:rPr>
          <w:rStyle w:val="FootnoteReference"/>
          <w:sz w:val="22"/>
          <w:szCs w:val="22"/>
          <w:lang w:val="bg-BG"/>
        </w:rPr>
        <w:footnoteReference w:id="10"/>
      </w:r>
      <w:r w:rsidRPr="00E15F8F">
        <w:rPr>
          <w:sz w:val="22"/>
          <w:szCs w:val="22"/>
          <w:lang w:val="bg-BG"/>
        </w:rPr>
        <w:t xml:space="preserve"> 12 области, 91 общини и 1776 населени места.</w:t>
      </w:r>
    </w:p>
    <w:p w14:paraId="4E068A8E" w14:textId="77777777" w:rsidR="0052125B" w:rsidRPr="00E15F8F" w:rsidRDefault="0052125B" w:rsidP="0047737A">
      <w:pPr>
        <w:pStyle w:val="3vff3xh4yd"/>
        <w:rPr>
          <w:b/>
          <w:bCs/>
          <w:lang w:val="bg-BG"/>
        </w:rPr>
      </w:pPr>
    </w:p>
    <w:p w14:paraId="17365E33" w14:textId="77777777" w:rsidR="0052125B" w:rsidRPr="00E15F8F" w:rsidRDefault="0052125B" w:rsidP="0047737A">
      <w:pPr>
        <w:pStyle w:val="3vff3xh4yd"/>
        <w:rPr>
          <w:b/>
          <w:bCs/>
          <w:lang w:val="bg-BG"/>
        </w:rPr>
      </w:pPr>
    </w:p>
    <w:p w14:paraId="0B496CD6" w14:textId="14613523" w:rsidR="0047737A" w:rsidRPr="00E15F8F" w:rsidRDefault="00E15F8F" w:rsidP="0047737A">
      <w:pPr>
        <w:pStyle w:val="3vff3xh4yd"/>
        <w:rPr>
          <w:b/>
          <w:bCs/>
          <w:lang w:val="bg-BG"/>
        </w:rPr>
      </w:pPr>
      <w:r w:rsidRPr="00E15F8F">
        <w:rPr>
          <w:noProof/>
          <w:lang w:val="bg-BG" w:eastAsia="bg-BG"/>
        </w:rPr>
        <w:drawing>
          <wp:anchor distT="0" distB="0" distL="114300" distR="114300" simplePos="0" relativeHeight="251663360" behindDoc="0" locked="0" layoutInCell="1" allowOverlap="1" wp14:anchorId="0C30D6DA" wp14:editId="4BEA7CB9">
            <wp:simplePos x="0" y="0"/>
            <wp:positionH relativeFrom="margin">
              <wp:posOffset>270510</wp:posOffset>
            </wp:positionH>
            <wp:positionV relativeFrom="paragraph">
              <wp:posOffset>267970</wp:posOffset>
            </wp:positionV>
            <wp:extent cx="2025650" cy="2936055"/>
            <wp:effectExtent l="0" t="0" r="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25650" cy="2936055"/>
                    </a:xfrm>
                    <a:prstGeom prst="rect">
                      <a:avLst/>
                    </a:prstGeom>
                    <a:noFill/>
                    <a:ln>
                      <a:noFill/>
                    </a:ln>
                  </pic:spPr>
                </pic:pic>
              </a:graphicData>
            </a:graphic>
            <wp14:sizeRelH relativeFrom="page">
              <wp14:pctWidth>0</wp14:pctWidth>
            </wp14:sizeRelH>
            <wp14:sizeRelV relativeFrom="page">
              <wp14:pctHeight>0</wp14:pctHeight>
            </wp14:sizeRelV>
          </wp:anchor>
        </w:drawing>
      </w:r>
      <w:r w:rsidR="0047737A" w:rsidRPr="00E15F8F">
        <w:rPr>
          <w:b/>
          <w:bCs/>
          <w:lang w:val="bg-BG"/>
        </w:rPr>
        <w:t>ЗАПАДНОБЕЛОМОРСКИ РБУ</w:t>
      </w:r>
    </w:p>
    <w:p w14:paraId="1AE10B90" w14:textId="2FD18828" w:rsidR="0047737A" w:rsidRPr="00E15F8F" w:rsidRDefault="0047737A" w:rsidP="0047737A">
      <w:pPr>
        <w:pStyle w:val="3vff3xh4yd"/>
        <w:spacing w:before="0" w:beforeAutospacing="0" w:after="120" w:afterAutospacing="0" w:line="276" w:lineRule="auto"/>
        <w:ind w:left="4320"/>
        <w:jc w:val="both"/>
        <w:rPr>
          <w:sz w:val="22"/>
          <w:szCs w:val="22"/>
          <w:lang w:val="bg-BG"/>
        </w:rPr>
      </w:pPr>
      <w:r w:rsidRPr="00E15F8F">
        <w:rPr>
          <w:sz w:val="22"/>
          <w:szCs w:val="22"/>
          <w:lang w:val="bg-BG"/>
        </w:rPr>
        <w:t>ЗБР обхваща</w:t>
      </w:r>
      <w:r w:rsidRPr="00E15F8F">
        <w:rPr>
          <w:rStyle w:val="FootnoteReference"/>
          <w:sz w:val="22"/>
          <w:szCs w:val="22"/>
          <w:lang w:val="bg-BG"/>
        </w:rPr>
        <w:footnoteReference w:id="11"/>
      </w:r>
      <w:r w:rsidRPr="00E15F8F">
        <w:rPr>
          <w:sz w:val="22"/>
          <w:szCs w:val="22"/>
          <w:lang w:val="bg-BG"/>
        </w:rPr>
        <w:t xml:space="preserve"> югозападните части на Р България. В него влизат всички поречия с отток към Егейско море - р. Струма, р. Места и р. Доспат. Площта на района е  11 965 кв. км или  11% от територията на страната.</w:t>
      </w:r>
    </w:p>
    <w:p w14:paraId="4685412B" w14:textId="4D60ADD0" w:rsidR="0047737A" w:rsidRPr="00E15F8F" w:rsidRDefault="0047737A" w:rsidP="0047737A">
      <w:pPr>
        <w:pStyle w:val="3vff3xh4yd"/>
        <w:spacing w:before="0" w:beforeAutospacing="0" w:after="120" w:afterAutospacing="0" w:line="276" w:lineRule="auto"/>
        <w:ind w:left="4320"/>
        <w:jc w:val="both"/>
        <w:rPr>
          <w:sz w:val="22"/>
          <w:szCs w:val="22"/>
          <w:lang w:val="bg-BG"/>
        </w:rPr>
      </w:pPr>
      <w:r w:rsidRPr="00E15F8F">
        <w:rPr>
          <w:sz w:val="22"/>
          <w:szCs w:val="22"/>
          <w:lang w:val="bg-BG"/>
        </w:rPr>
        <w:t>В Западнобеломорски РБУ са включени 3 поречия – Струма, Места и Доспат. Долните части на водосборите на трите реки са разположени извън териториалните граници на Р България. В териториалният обхват на района попадат изцяло или части</w:t>
      </w:r>
      <w:r w:rsidR="00E15F8F">
        <w:rPr>
          <w:sz w:val="22"/>
          <w:szCs w:val="22"/>
          <w:lang w:val="bg-BG"/>
        </w:rPr>
        <w:t>ч</w:t>
      </w:r>
      <w:r w:rsidRPr="00E15F8F">
        <w:rPr>
          <w:sz w:val="22"/>
          <w:szCs w:val="22"/>
          <w:lang w:val="bg-BG"/>
        </w:rPr>
        <w:t>но  6 области, 33 общини и 600 населени места.</w:t>
      </w:r>
    </w:p>
    <w:p w14:paraId="0121EEC2" w14:textId="77777777" w:rsidR="0047737A" w:rsidRPr="00E15F8F" w:rsidRDefault="0047737A" w:rsidP="0047737A">
      <w:pPr>
        <w:pStyle w:val="3vff3xh4yd"/>
        <w:spacing w:before="0" w:beforeAutospacing="0" w:after="120" w:afterAutospacing="0" w:line="276" w:lineRule="auto"/>
        <w:ind w:left="4320"/>
        <w:jc w:val="both"/>
        <w:rPr>
          <w:lang w:val="bg-BG"/>
        </w:rPr>
      </w:pPr>
    </w:p>
    <w:p w14:paraId="0DD13DAE" w14:textId="77777777" w:rsidR="0047737A" w:rsidRPr="00E15F8F" w:rsidRDefault="0047737A" w:rsidP="0047737A">
      <w:pPr>
        <w:pStyle w:val="3vff3xh4yd"/>
        <w:spacing w:before="0" w:beforeAutospacing="0" w:after="120" w:afterAutospacing="0" w:line="276" w:lineRule="auto"/>
        <w:ind w:left="4320"/>
        <w:jc w:val="both"/>
        <w:rPr>
          <w:lang w:val="bg-BG"/>
        </w:rPr>
      </w:pPr>
    </w:p>
    <w:p w14:paraId="5CBA9F6D" w14:textId="77777777" w:rsidR="000532D9" w:rsidRPr="00E15F8F" w:rsidRDefault="000532D9" w:rsidP="000532D9">
      <w:pPr>
        <w:jc w:val="both"/>
        <w:rPr>
          <w:rFonts w:ascii="Times New Roman" w:hAnsi="Times New Roman" w:cs="Times New Roman"/>
          <w:lang w:val="bg-BG"/>
        </w:rPr>
      </w:pPr>
    </w:p>
    <w:p w14:paraId="53CFADEF" w14:textId="77777777" w:rsidR="009F40E9" w:rsidRDefault="009F40E9" w:rsidP="008663D3">
      <w:bookmarkStart w:id="1" w:name="_Toc72916676"/>
    </w:p>
    <w:p w14:paraId="7E83132D" w14:textId="6C820A3D" w:rsidR="000532D9" w:rsidRPr="00E15F8F" w:rsidRDefault="000532D9" w:rsidP="006F34D7">
      <w:pPr>
        <w:pStyle w:val="Heading2"/>
      </w:pPr>
      <w:r w:rsidRPr="00E15F8F">
        <w:t xml:space="preserve">Контекст и цели на политиката в областта на управлението на </w:t>
      </w:r>
      <w:r w:rsidR="00C97612" w:rsidRPr="00E15F8F">
        <w:t>водите</w:t>
      </w:r>
      <w:r w:rsidRPr="00E15F8F">
        <w:t xml:space="preserve"> – международен, европейски и национален</w:t>
      </w:r>
      <w:bookmarkEnd w:id="1"/>
    </w:p>
    <w:p w14:paraId="450BAB36" w14:textId="6BB3FF98" w:rsidR="004E05D3" w:rsidRPr="00E15F8F" w:rsidRDefault="004E05D3" w:rsidP="004E05D3">
      <w:pPr>
        <w:pStyle w:val="NormalWeb"/>
        <w:shd w:val="clear" w:color="auto" w:fill="FFFFFF"/>
        <w:spacing w:before="0" w:beforeAutospacing="0" w:after="0" w:afterAutospacing="0" w:line="235" w:lineRule="atLeast"/>
        <w:rPr>
          <w:b/>
          <w:bCs/>
          <w:color w:val="2F5496" w:themeColor="accent1" w:themeShade="BF"/>
          <w:sz w:val="28"/>
          <w:szCs w:val="28"/>
          <w:lang w:val="bg-BG"/>
        </w:rPr>
      </w:pPr>
    </w:p>
    <w:p w14:paraId="21010827" w14:textId="4542F9B1" w:rsidR="00C97612" w:rsidRPr="00E15F8F" w:rsidRDefault="00B33B72" w:rsidP="00B9026C">
      <w:pPr>
        <w:spacing w:after="120" w:line="276" w:lineRule="auto"/>
        <w:jc w:val="both"/>
        <w:rPr>
          <w:rFonts w:ascii="Times New Roman" w:hAnsi="Times New Roman" w:cs="Times New Roman"/>
          <w:lang w:val="bg-BG"/>
        </w:rPr>
      </w:pPr>
      <w:r w:rsidRPr="00E15F8F">
        <w:rPr>
          <w:rFonts w:ascii="Times New Roman" w:hAnsi="Times New Roman" w:cs="Times New Roman"/>
          <w:lang w:val="bg-BG"/>
        </w:rPr>
        <w:t>В международен контекст, у</w:t>
      </w:r>
      <w:r w:rsidR="00C97612" w:rsidRPr="00E15F8F">
        <w:rPr>
          <w:rFonts w:ascii="Times New Roman" w:hAnsi="Times New Roman" w:cs="Times New Roman"/>
          <w:lang w:val="bg-BG"/>
        </w:rPr>
        <w:t xml:space="preserve">стойчивото управление на водите се поставя в общата рамка на глобалните цели за опазване на околната среда, отговорно използване на природните ресурси и </w:t>
      </w:r>
      <w:r w:rsidR="00C97612" w:rsidRPr="00E15F8F">
        <w:rPr>
          <w:rFonts w:ascii="Times New Roman" w:hAnsi="Times New Roman" w:cs="Times New Roman"/>
          <w:lang w:val="bg-BG"/>
        </w:rPr>
        <w:lastRenderedPageBreak/>
        <w:t xml:space="preserve">действията, свързани с измененията на климата. </w:t>
      </w:r>
      <w:r w:rsidR="000133F2" w:rsidRPr="00E15F8F">
        <w:rPr>
          <w:rFonts w:ascii="Times New Roman" w:hAnsi="Times New Roman" w:cs="Times New Roman"/>
          <w:lang w:val="bg-BG"/>
        </w:rPr>
        <w:t>Подобряването на управлението на водите има принос за изпълнението на Цел 6. „</w:t>
      </w:r>
      <w:r w:rsidR="000133F2" w:rsidRPr="00E15F8F">
        <w:rPr>
          <w:rFonts w:ascii="Times New Roman" w:hAnsi="Times New Roman" w:cs="Times New Roman"/>
          <w:i/>
          <w:iCs/>
          <w:lang w:val="bg-BG"/>
        </w:rPr>
        <w:t>Осигуряване на наличие и устойчиво управление на вода и канализация за всички</w:t>
      </w:r>
      <w:r w:rsidR="000133F2" w:rsidRPr="00E15F8F">
        <w:rPr>
          <w:rFonts w:ascii="Times New Roman" w:hAnsi="Times New Roman" w:cs="Times New Roman"/>
          <w:lang w:val="bg-BG"/>
        </w:rPr>
        <w:t>“ и Цел 14 „</w:t>
      </w:r>
      <w:r w:rsidR="000133F2" w:rsidRPr="00E15F8F">
        <w:rPr>
          <w:rFonts w:ascii="Times New Roman" w:hAnsi="Times New Roman" w:cs="Times New Roman"/>
          <w:i/>
          <w:iCs/>
          <w:lang w:val="bg-BG"/>
        </w:rPr>
        <w:t>Опазване и устойчиво използване на океаните, моретата и морските ресурси в полза на устойчивото развитие</w:t>
      </w:r>
      <w:r w:rsidR="000133F2" w:rsidRPr="00E15F8F">
        <w:rPr>
          <w:rFonts w:ascii="Times New Roman" w:hAnsi="Times New Roman" w:cs="Times New Roman"/>
          <w:lang w:val="bg-BG"/>
        </w:rPr>
        <w:t xml:space="preserve">“ от Целите за устойчиво развитие на ООН, включително чрез осигуряването на равен достъп за всички до безопасна питейна вода и до подходящи канализационни съоръжения и хигиенни условия и намаляване на замърсяването на околната среда в морските води. </w:t>
      </w:r>
    </w:p>
    <w:p w14:paraId="3CF42663" w14:textId="07E20C01" w:rsidR="000133F2" w:rsidRPr="00E15F8F" w:rsidRDefault="00C97612" w:rsidP="00B9026C">
      <w:pPr>
        <w:spacing w:after="120" w:line="276" w:lineRule="auto"/>
        <w:jc w:val="both"/>
        <w:rPr>
          <w:rFonts w:ascii="Times New Roman" w:eastAsia="Times New Roman" w:hAnsi="Times New Roman" w:cs="Times New Roman"/>
          <w:b/>
          <w:bCs/>
          <w:lang w:val="bg-BG"/>
        </w:rPr>
      </w:pPr>
      <w:r w:rsidRPr="00E15F8F">
        <w:rPr>
          <w:rFonts w:ascii="Times New Roman" w:hAnsi="Times New Roman" w:cs="Times New Roman"/>
          <w:lang w:val="bg-BG"/>
        </w:rPr>
        <w:t>Акцент в политиката се поставя и върху значително</w:t>
      </w:r>
      <w:r w:rsidR="00B33B72" w:rsidRPr="00E15F8F">
        <w:rPr>
          <w:rFonts w:ascii="Times New Roman" w:hAnsi="Times New Roman" w:cs="Times New Roman"/>
          <w:lang w:val="bg-BG"/>
        </w:rPr>
        <w:t>то</w:t>
      </w:r>
      <w:r w:rsidRPr="00E15F8F">
        <w:rPr>
          <w:rFonts w:ascii="Times New Roman" w:hAnsi="Times New Roman" w:cs="Times New Roman"/>
          <w:lang w:val="bg-BG"/>
        </w:rPr>
        <w:t xml:space="preserve"> повишаване на ефективността на използване на водни ресурси във всички сектори</w:t>
      </w:r>
      <w:r w:rsidR="00B33B72" w:rsidRPr="00E15F8F">
        <w:rPr>
          <w:rFonts w:ascii="Times New Roman" w:hAnsi="Times New Roman" w:cs="Times New Roman"/>
          <w:lang w:val="bg-BG"/>
        </w:rPr>
        <w:t>, прилагане на интегриран подход на управление на всички нива, включително чрез подобряване на международното сътрудничество, опазване и възстановяване на свързаните с водите екосистеми.</w:t>
      </w:r>
    </w:p>
    <w:p w14:paraId="7AC3C869" w14:textId="4ED42DF6" w:rsidR="004E05D3" w:rsidRPr="00E15F8F" w:rsidRDefault="004E05D3" w:rsidP="004E05D3">
      <w:pPr>
        <w:spacing w:after="120" w:line="276" w:lineRule="auto"/>
        <w:rPr>
          <w:rFonts w:ascii="Times New Roman" w:eastAsia="Times New Roman" w:hAnsi="Times New Roman" w:cs="Times New Roman"/>
          <w:b/>
          <w:bCs/>
          <w:lang w:val="bg-BG"/>
        </w:rPr>
      </w:pPr>
      <w:r w:rsidRPr="00E15F8F">
        <w:rPr>
          <w:rFonts w:ascii="Times New Roman" w:eastAsia="Times New Roman" w:hAnsi="Times New Roman" w:cs="Times New Roman"/>
          <w:b/>
          <w:bCs/>
          <w:lang w:val="bg-BG"/>
        </w:rPr>
        <w:t>Политики на ЕС в областта на управлението на водите</w:t>
      </w:r>
    </w:p>
    <w:p w14:paraId="43EC5835" w14:textId="77777777" w:rsidR="004E05D3" w:rsidRPr="00E15F8F" w:rsidRDefault="004E05D3" w:rsidP="004E05D3">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 xml:space="preserve">През последните десетилетия политиката на ЕС за водите се развива в отговор на необходимостта от установяване на адекватна рамка и ефективни действия за намаляване на натиска върху водите, като основен ресурс за човешкото здраве, селското стопанство, всички сектори на икономиката и природните системи. </w:t>
      </w:r>
    </w:p>
    <w:p w14:paraId="5D00D107" w14:textId="77777777" w:rsidR="004E05D3" w:rsidRPr="00E15F8F" w:rsidRDefault="004E05D3" w:rsidP="004E05D3">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 xml:space="preserve">Две основни правни рамки за защита и управление на сладководните и морски ресурси, основани на екосистемен подход определят съвременния подход на Общността в областта на управлението на водите:  </w:t>
      </w:r>
    </w:p>
    <w:p w14:paraId="035FE957" w14:textId="43FFE99A" w:rsidR="004E05D3" w:rsidRPr="00E15F8F" w:rsidRDefault="008663D3" w:rsidP="004E05D3">
      <w:pPr>
        <w:spacing w:after="120" w:line="276" w:lineRule="auto"/>
        <w:jc w:val="both"/>
        <w:rPr>
          <w:rFonts w:ascii="Times New Roman" w:eastAsia="Times New Roman" w:hAnsi="Times New Roman" w:cs="Times New Roman"/>
          <w:lang w:val="bg-BG"/>
        </w:rPr>
      </w:pPr>
      <w:hyperlink r:id="rId12" w:history="1">
        <w:r w:rsidR="004E05D3" w:rsidRPr="00E15F8F">
          <w:rPr>
            <w:rFonts w:ascii="Times New Roman" w:hAnsi="Times New Roman" w:cs="Times New Roman"/>
            <w:b/>
            <w:bCs/>
            <w:shd w:val="clear" w:color="auto" w:fill="FFFFFF"/>
            <w:lang w:val="bg-BG"/>
          </w:rPr>
          <w:t>Директива</w:t>
        </w:r>
        <w:r w:rsidR="001B1B03">
          <w:rPr>
            <w:rFonts w:ascii="Times New Roman" w:hAnsi="Times New Roman" w:cs="Times New Roman"/>
            <w:b/>
            <w:bCs/>
            <w:shd w:val="clear" w:color="auto" w:fill="FFFFFF"/>
          </w:rPr>
          <w:t xml:space="preserve"> 2000/60/EO</w:t>
        </w:r>
        <w:r w:rsidR="004E05D3" w:rsidRPr="00E15F8F">
          <w:rPr>
            <w:rFonts w:ascii="Times New Roman" w:hAnsi="Times New Roman" w:cs="Times New Roman"/>
            <w:b/>
            <w:bCs/>
            <w:shd w:val="clear" w:color="auto" w:fill="FFFFFF"/>
            <w:lang w:val="bg-BG"/>
          </w:rPr>
          <w:t> на Европейския парламент и на Съвета от 23 октомври 2000 година за установяване на рамка за действията на Общността в областта на политиката за водите (РДВ)</w:t>
        </w:r>
      </w:hyperlink>
      <w:r w:rsidR="004E05D3" w:rsidRPr="00E15F8F">
        <w:rPr>
          <w:rFonts w:ascii="Times New Roman" w:hAnsi="Times New Roman" w:cs="Times New Roman"/>
          <w:b/>
          <w:bCs/>
          <w:lang w:val="bg-BG"/>
        </w:rPr>
        <w:t xml:space="preserve"> </w:t>
      </w:r>
      <w:r w:rsidR="004E05D3" w:rsidRPr="00E15F8F">
        <w:rPr>
          <w:rFonts w:ascii="Times New Roman" w:hAnsi="Times New Roman" w:cs="Times New Roman"/>
          <w:lang w:val="bg-BG"/>
        </w:rPr>
        <w:t xml:space="preserve">определя основните цели в областта на управлението и опазването на водните ресурси: </w:t>
      </w:r>
      <w:r w:rsidR="004E05D3" w:rsidRPr="00E15F8F">
        <w:rPr>
          <w:rFonts w:ascii="Times New Roman" w:eastAsia="Times New Roman" w:hAnsi="Times New Roman" w:cs="Times New Roman"/>
          <w:lang w:val="bg-BG"/>
        </w:rPr>
        <w:t xml:space="preserve">предотвратяване и намаляване на замърсяването, насърчаване на устойчивото използване на водите, опазване и подобряване на водната среда и смекчаване на последиците от наводненията и засушаванията. Общата цел е да се постигне добро екологично състояние на всички води. Основен ангажимент на държавите – членки е изготвянето и изпълнението на планове за управление на речните басейни въз основа на естествените географски речни басейни, както и специфични програми с мерки за постигане на целите. </w:t>
      </w:r>
    </w:p>
    <w:p w14:paraId="11876262" w14:textId="77777777" w:rsidR="004E05D3" w:rsidRPr="00E15F8F" w:rsidRDefault="004E05D3" w:rsidP="004E05D3">
      <w:pPr>
        <w:spacing w:after="120" w:line="276" w:lineRule="auto"/>
        <w:jc w:val="both"/>
        <w:rPr>
          <w:rFonts w:ascii="Times New Roman" w:eastAsia="Times New Roman" w:hAnsi="Times New Roman" w:cs="Times New Roman"/>
          <w:lang w:val="bg-BG"/>
        </w:rPr>
      </w:pPr>
      <w:bookmarkStart w:id="2" w:name="_Hlk71240451"/>
      <w:r w:rsidRPr="00E15F8F">
        <w:rPr>
          <w:rFonts w:ascii="Times New Roman" w:eastAsia="Times New Roman" w:hAnsi="Times New Roman" w:cs="Times New Roman"/>
          <w:lang w:val="bg-BG"/>
        </w:rPr>
        <w:t xml:space="preserve">Няколко директиви регулират специфични аспекти на опазването и управлението на водните ресурси в Еропейски контекст с принос за изпълнението на целите по Рамковата директива за водите: </w:t>
      </w:r>
    </w:p>
    <w:bookmarkEnd w:id="2"/>
    <w:p w14:paraId="11D610C9" w14:textId="77777777" w:rsidR="004E05D3" w:rsidRPr="00E15F8F" w:rsidRDefault="004E05D3" w:rsidP="004E05D3">
      <w:pPr>
        <w:pStyle w:val="ListParagraph"/>
        <w:numPr>
          <w:ilvl w:val="0"/>
          <w:numId w:val="5"/>
        </w:numPr>
        <w:spacing w:after="120" w:line="276" w:lineRule="auto"/>
        <w:jc w:val="both"/>
        <w:rPr>
          <w:rStyle w:val="Hyperlink"/>
          <w:rFonts w:ascii="Times New Roman" w:eastAsia="Times New Roman" w:hAnsi="Times New Roman" w:cs="Times New Roman"/>
          <w:color w:val="000000" w:themeColor="text1"/>
          <w:u w:val="none"/>
          <w:lang w:val="bg-BG"/>
        </w:rPr>
      </w:pPr>
      <w:r w:rsidRPr="00E15F8F">
        <w:fldChar w:fldCharType="begin"/>
      </w:r>
      <w:r w:rsidRPr="00E15F8F">
        <w:rPr>
          <w:rFonts w:ascii="Times New Roman" w:hAnsi="Times New Roman" w:cs="Times New Roman"/>
          <w:color w:val="000000" w:themeColor="text1"/>
          <w:lang w:val="bg-BG"/>
        </w:rPr>
        <w:instrText xml:space="preserve"> HYPERLINK "https://eur-lex.europa.eu/legal-content/BG/AUTO/?uri=celex:31991L0271" </w:instrText>
      </w:r>
      <w:r w:rsidRPr="00E15F8F">
        <w:fldChar w:fldCharType="separate"/>
      </w:r>
      <w:r w:rsidRPr="00E15F8F">
        <w:rPr>
          <w:rStyle w:val="Hyperlink"/>
          <w:rFonts w:ascii="Times New Roman" w:hAnsi="Times New Roman" w:cs="Times New Roman"/>
          <w:color w:val="000000" w:themeColor="text1"/>
          <w:u w:val="none"/>
          <w:shd w:val="clear" w:color="auto" w:fill="FFFFFF"/>
          <w:lang w:val="bg-BG"/>
        </w:rPr>
        <w:t>Директива 91/271/ЕИО за пречистване на градските отпадъчни води</w:t>
      </w:r>
      <w:r w:rsidRPr="00E15F8F">
        <w:rPr>
          <w:rStyle w:val="Hyperlink"/>
          <w:rFonts w:ascii="Times New Roman" w:hAnsi="Times New Roman" w:cs="Times New Roman"/>
          <w:color w:val="000000" w:themeColor="text1"/>
          <w:u w:val="none"/>
          <w:shd w:val="clear" w:color="auto" w:fill="FFFFFF"/>
          <w:lang w:val="bg-BG"/>
        </w:rPr>
        <w:fldChar w:fldCharType="end"/>
      </w:r>
      <w:r w:rsidRPr="00E15F8F">
        <w:rPr>
          <w:rStyle w:val="Hyperlink"/>
          <w:rFonts w:ascii="Times New Roman" w:hAnsi="Times New Roman" w:cs="Times New Roman"/>
          <w:color w:val="000000" w:themeColor="text1"/>
          <w:u w:val="none"/>
          <w:shd w:val="clear" w:color="auto" w:fill="FFFFFF"/>
          <w:lang w:val="bg-BG"/>
        </w:rPr>
        <w:t xml:space="preserve">; </w:t>
      </w:r>
    </w:p>
    <w:p w14:paraId="5C4EB7EC" w14:textId="77777777" w:rsidR="004E05D3" w:rsidRPr="00E15F8F" w:rsidRDefault="004E05D3" w:rsidP="004E05D3">
      <w:pPr>
        <w:pStyle w:val="ListParagraph"/>
        <w:numPr>
          <w:ilvl w:val="0"/>
          <w:numId w:val="5"/>
        </w:numPr>
        <w:jc w:val="both"/>
        <w:rPr>
          <w:rFonts w:ascii="Times New Roman" w:eastAsia="Times New Roman" w:hAnsi="Times New Roman" w:cs="Times New Roman"/>
          <w:color w:val="000000" w:themeColor="text1"/>
          <w:lang w:val="bg-BG"/>
        </w:rPr>
      </w:pPr>
      <w:r w:rsidRPr="00E15F8F">
        <w:rPr>
          <w:rFonts w:ascii="Times New Roman" w:hAnsi="Times New Roman" w:cs="Times New Roman"/>
          <w:color w:val="000000" w:themeColor="text1"/>
          <w:shd w:val="clear" w:color="auto" w:fill="FFFFFF"/>
          <w:lang w:val="bg-BG"/>
        </w:rPr>
        <w:t>Директива </w:t>
      </w:r>
      <w:hyperlink r:id="rId13" w:history="1">
        <w:r w:rsidRPr="00E15F8F">
          <w:rPr>
            <w:rStyle w:val="Hyperlink"/>
            <w:rFonts w:ascii="Times New Roman" w:hAnsi="Times New Roman" w:cs="Times New Roman"/>
            <w:color w:val="000000" w:themeColor="text1"/>
            <w:u w:val="none"/>
            <w:shd w:val="clear" w:color="auto" w:fill="FFFFFF"/>
            <w:lang w:val="bg-BG"/>
          </w:rPr>
          <w:t>91/676/ЕИО</w:t>
        </w:r>
      </w:hyperlink>
      <w:r w:rsidRPr="00E15F8F">
        <w:rPr>
          <w:rFonts w:ascii="Times New Roman" w:hAnsi="Times New Roman" w:cs="Times New Roman"/>
          <w:color w:val="000000" w:themeColor="text1"/>
          <w:shd w:val="clear" w:color="auto" w:fill="FFFFFF"/>
          <w:lang w:val="bg-BG"/>
        </w:rPr>
        <w:t> за опазване на водите от замърсяване с нитрати от селскостопански източници</w:t>
      </w:r>
      <w:r w:rsidRPr="00E15F8F">
        <w:rPr>
          <w:rFonts w:ascii="Times New Roman" w:eastAsia="Times New Roman" w:hAnsi="Times New Roman" w:cs="Times New Roman"/>
          <w:color w:val="000000" w:themeColor="text1"/>
          <w:lang w:val="bg-BG"/>
        </w:rPr>
        <w:t xml:space="preserve">; </w:t>
      </w:r>
    </w:p>
    <w:p w14:paraId="52F2CED2" w14:textId="77777777" w:rsidR="004E05D3" w:rsidRPr="00E15F8F" w:rsidRDefault="008663D3" w:rsidP="004E05D3">
      <w:pPr>
        <w:pStyle w:val="ListParagraph"/>
        <w:numPr>
          <w:ilvl w:val="0"/>
          <w:numId w:val="5"/>
        </w:numPr>
        <w:jc w:val="both"/>
        <w:rPr>
          <w:rFonts w:ascii="Times New Roman" w:hAnsi="Times New Roman" w:cs="Times New Roman"/>
          <w:color w:val="000000" w:themeColor="text1"/>
          <w:shd w:val="clear" w:color="auto" w:fill="FFFFFF"/>
          <w:lang w:val="bg-BG"/>
        </w:rPr>
      </w:pPr>
      <w:hyperlink r:id="rId14" w:history="1">
        <w:r w:rsidR="004E05D3" w:rsidRPr="00E15F8F">
          <w:rPr>
            <w:rStyle w:val="Hyperlink"/>
            <w:rFonts w:ascii="Times New Roman" w:hAnsi="Times New Roman" w:cs="Times New Roman"/>
            <w:color w:val="000000" w:themeColor="text1"/>
            <w:u w:val="none"/>
            <w:shd w:val="clear" w:color="auto" w:fill="FFFFFF"/>
            <w:lang w:val="bg-BG"/>
          </w:rPr>
          <w:t xml:space="preserve">Директива 98/83/EО </w:t>
        </w:r>
      </w:hyperlink>
      <w:r w:rsidR="004E05D3" w:rsidRPr="00E15F8F">
        <w:rPr>
          <w:rFonts w:ascii="Times New Roman" w:eastAsia="Times New Roman" w:hAnsi="Times New Roman" w:cs="Times New Roman"/>
          <w:color w:val="000000" w:themeColor="text1"/>
          <w:lang w:val="bg-BG"/>
        </w:rPr>
        <w:t xml:space="preserve">относно качеството на водите, предназначени за консумация от човека; </w:t>
      </w:r>
    </w:p>
    <w:p w14:paraId="47F53251" w14:textId="77777777" w:rsidR="004E05D3" w:rsidRPr="00E15F8F" w:rsidRDefault="004E05D3" w:rsidP="004E05D3">
      <w:pPr>
        <w:pStyle w:val="ListParagraph"/>
        <w:numPr>
          <w:ilvl w:val="0"/>
          <w:numId w:val="5"/>
        </w:numPr>
        <w:jc w:val="both"/>
        <w:rPr>
          <w:rFonts w:ascii="Times New Roman" w:hAnsi="Times New Roman" w:cs="Times New Roman"/>
          <w:color w:val="000000" w:themeColor="text1"/>
          <w:lang w:val="bg-BG"/>
        </w:rPr>
      </w:pPr>
      <w:r w:rsidRPr="00E15F8F">
        <w:rPr>
          <w:rFonts w:ascii="Times New Roman" w:hAnsi="Times New Roman" w:cs="Times New Roman"/>
          <w:color w:val="000000" w:themeColor="text1"/>
          <w:shd w:val="clear" w:color="auto" w:fill="FFFFFF"/>
          <w:lang w:val="bg-BG"/>
        </w:rPr>
        <w:t xml:space="preserve">Директива 2006/118/ЕО на Европейския парламент и на Съвета от 12 декември 2006 година за опазване на подземните води от замърсяване и влошаване на състоянието им; </w:t>
      </w:r>
    </w:p>
    <w:p w14:paraId="24983A13" w14:textId="77777777" w:rsidR="004E05D3" w:rsidRPr="00E15F8F" w:rsidRDefault="008663D3" w:rsidP="004E05D3">
      <w:pPr>
        <w:pStyle w:val="ListParagraph"/>
        <w:numPr>
          <w:ilvl w:val="0"/>
          <w:numId w:val="5"/>
        </w:numPr>
        <w:jc w:val="both"/>
        <w:rPr>
          <w:rFonts w:ascii="Times New Roman" w:hAnsi="Times New Roman" w:cs="Times New Roman"/>
          <w:color w:val="000000" w:themeColor="text1"/>
          <w:shd w:val="clear" w:color="auto" w:fill="FFFFFF"/>
          <w:lang w:val="bg-BG"/>
        </w:rPr>
      </w:pPr>
      <w:hyperlink r:id="rId15" w:history="1">
        <w:r w:rsidR="004E05D3" w:rsidRPr="00E15F8F">
          <w:rPr>
            <w:rStyle w:val="Hyperlink"/>
            <w:rFonts w:ascii="Times New Roman" w:hAnsi="Times New Roman" w:cs="Times New Roman"/>
            <w:color w:val="000000" w:themeColor="text1"/>
            <w:u w:val="none"/>
            <w:shd w:val="clear" w:color="auto" w:fill="FFFFFF"/>
            <w:lang w:val="bg-BG"/>
          </w:rPr>
          <w:t>Директива 2006/7/EО за управление качеството на водите за къпане</w:t>
        </w:r>
      </w:hyperlink>
      <w:r w:rsidR="004E05D3" w:rsidRPr="00E15F8F">
        <w:rPr>
          <w:rFonts w:ascii="Times New Roman" w:hAnsi="Times New Roman" w:cs="Times New Roman"/>
          <w:color w:val="000000" w:themeColor="text1"/>
          <w:lang w:val="bg-BG"/>
        </w:rPr>
        <w:t xml:space="preserve">; </w:t>
      </w:r>
    </w:p>
    <w:p w14:paraId="7EF8ACE9" w14:textId="77777777" w:rsidR="004E05D3" w:rsidRPr="00E15F8F" w:rsidRDefault="004E05D3" w:rsidP="004E05D3">
      <w:pPr>
        <w:pStyle w:val="ListParagraph"/>
        <w:numPr>
          <w:ilvl w:val="0"/>
          <w:numId w:val="5"/>
        </w:numPr>
        <w:spacing w:after="120" w:line="276" w:lineRule="auto"/>
        <w:jc w:val="both"/>
        <w:rPr>
          <w:rFonts w:ascii="Times New Roman" w:eastAsia="Times New Roman" w:hAnsi="Times New Roman" w:cs="Times New Roman"/>
          <w:color w:val="000000" w:themeColor="text1"/>
          <w:lang w:val="bg-BG"/>
        </w:rPr>
      </w:pPr>
      <w:r w:rsidRPr="00E15F8F">
        <w:rPr>
          <w:rFonts w:ascii="Times New Roman" w:hAnsi="Times New Roman" w:cs="Times New Roman"/>
          <w:color w:val="000000" w:themeColor="text1"/>
          <w:shd w:val="clear" w:color="auto" w:fill="FFFFFF"/>
          <w:lang w:val="bg-BG"/>
        </w:rPr>
        <w:t>Директива </w:t>
      </w:r>
      <w:hyperlink r:id="rId16" w:history="1">
        <w:r w:rsidRPr="00E15F8F">
          <w:rPr>
            <w:rStyle w:val="Hyperlink"/>
            <w:rFonts w:ascii="Times New Roman" w:hAnsi="Times New Roman" w:cs="Times New Roman"/>
            <w:color w:val="000000" w:themeColor="text1"/>
            <w:u w:val="none"/>
            <w:shd w:val="clear" w:color="auto" w:fill="FFFFFF"/>
            <w:lang w:val="bg-BG"/>
          </w:rPr>
          <w:t>2007/60/ЕО</w:t>
        </w:r>
      </w:hyperlink>
      <w:r w:rsidRPr="00E15F8F">
        <w:rPr>
          <w:rFonts w:ascii="Times New Roman" w:hAnsi="Times New Roman" w:cs="Times New Roman"/>
          <w:color w:val="000000" w:themeColor="text1"/>
          <w:shd w:val="clear" w:color="auto" w:fill="FFFFFF"/>
          <w:lang w:val="bg-BG"/>
        </w:rPr>
        <w:t> относно оценката и управлението на риска от наводнения</w:t>
      </w:r>
      <w:r w:rsidRPr="00E15F8F">
        <w:rPr>
          <w:rFonts w:ascii="Times New Roman" w:eastAsia="Times New Roman" w:hAnsi="Times New Roman" w:cs="Times New Roman"/>
          <w:color w:val="000000" w:themeColor="text1"/>
          <w:lang w:val="bg-BG"/>
        </w:rPr>
        <w:t xml:space="preserve">; </w:t>
      </w:r>
    </w:p>
    <w:p w14:paraId="250E67D3" w14:textId="77777777" w:rsidR="004E05D3" w:rsidRPr="00E15F8F" w:rsidRDefault="008663D3" w:rsidP="004E05D3">
      <w:pPr>
        <w:pStyle w:val="ListParagraph"/>
        <w:numPr>
          <w:ilvl w:val="0"/>
          <w:numId w:val="5"/>
        </w:numPr>
        <w:jc w:val="both"/>
        <w:rPr>
          <w:rFonts w:ascii="Times New Roman" w:eastAsia="Times New Roman" w:hAnsi="Times New Roman" w:cs="Times New Roman"/>
          <w:color w:val="000000" w:themeColor="text1"/>
          <w:lang w:val="bg-BG"/>
        </w:rPr>
      </w:pPr>
      <w:hyperlink r:id="rId17" w:history="1">
        <w:r w:rsidR="004E05D3" w:rsidRPr="00E15F8F">
          <w:rPr>
            <w:rStyle w:val="Hyperlink"/>
            <w:rFonts w:ascii="Times New Roman" w:hAnsi="Times New Roman" w:cs="Times New Roman"/>
            <w:color w:val="000000" w:themeColor="text1"/>
            <w:u w:val="none"/>
            <w:shd w:val="clear" w:color="auto" w:fill="FFFFFF"/>
            <w:lang w:val="bg-BG"/>
          </w:rPr>
          <w:t>Директива 2008/105/ЕО за определяне на стандарти за качеството на околната среда в областта на политиката за водите</w:t>
        </w:r>
      </w:hyperlink>
      <w:r w:rsidR="004E05D3" w:rsidRPr="00E15F8F">
        <w:rPr>
          <w:rFonts w:ascii="Times New Roman" w:hAnsi="Times New Roman" w:cs="Times New Roman"/>
          <w:color w:val="000000" w:themeColor="text1"/>
          <w:lang w:val="bg-BG"/>
        </w:rPr>
        <w:t xml:space="preserve">; </w:t>
      </w:r>
    </w:p>
    <w:p w14:paraId="34B1C2D3" w14:textId="77777777" w:rsidR="004E05D3" w:rsidRPr="00E15F8F" w:rsidRDefault="004E05D3" w:rsidP="004E05D3">
      <w:pPr>
        <w:pStyle w:val="ListParagraph"/>
        <w:numPr>
          <w:ilvl w:val="0"/>
          <w:numId w:val="5"/>
        </w:numPr>
        <w:jc w:val="both"/>
        <w:rPr>
          <w:rFonts w:ascii="Times New Roman" w:eastAsia="Times New Roman" w:hAnsi="Times New Roman" w:cs="Times New Roman"/>
          <w:color w:val="000000" w:themeColor="text1"/>
          <w:lang w:val="bg-BG"/>
        </w:rPr>
      </w:pPr>
      <w:r w:rsidRPr="00E15F8F">
        <w:rPr>
          <w:rFonts w:ascii="Times New Roman" w:eastAsia="Times New Roman" w:hAnsi="Times New Roman" w:cs="Times New Roman"/>
          <w:color w:val="000000" w:themeColor="text1"/>
          <w:lang w:val="bg-BG"/>
        </w:rPr>
        <w:t>Директива </w:t>
      </w:r>
      <w:hyperlink r:id="rId18" w:history="1">
        <w:r w:rsidRPr="00E15F8F">
          <w:rPr>
            <w:rFonts w:ascii="Times New Roman" w:eastAsia="Times New Roman" w:hAnsi="Times New Roman" w:cs="Times New Roman"/>
            <w:color w:val="000000" w:themeColor="text1"/>
            <w:lang w:val="bg-BG"/>
          </w:rPr>
          <w:t>2013/39/EС</w:t>
        </w:r>
      </w:hyperlink>
      <w:r w:rsidRPr="00E15F8F">
        <w:rPr>
          <w:rFonts w:ascii="Times New Roman" w:eastAsia="Times New Roman" w:hAnsi="Times New Roman" w:cs="Times New Roman"/>
          <w:color w:val="000000" w:themeColor="text1"/>
          <w:lang w:val="bg-BG"/>
        </w:rPr>
        <w:t> </w:t>
      </w:r>
      <w:r w:rsidRPr="00E15F8F">
        <w:rPr>
          <w:rFonts w:ascii="Times New Roman" w:hAnsi="Times New Roman" w:cs="Times New Roman"/>
          <w:color w:val="000000" w:themeColor="text1"/>
          <w:shd w:val="clear" w:color="auto" w:fill="FFFFFF"/>
          <w:lang w:val="bg-BG"/>
        </w:rPr>
        <w:t>за изменение на директиви 2000/60/ЕО и 2008/105/ЕО по отношение на приоритетните вещества в областта на политиката за водите</w:t>
      </w:r>
    </w:p>
    <w:p w14:paraId="228BE2D5" w14:textId="77777777" w:rsidR="004E05D3" w:rsidRPr="00E15F8F" w:rsidRDefault="004E05D3" w:rsidP="004E05D3">
      <w:pPr>
        <w:spacing w:after="120" w:line="276" w:lineRule="auto"/>
        <w:jc w:val="both"/>
        <w:rPr>
          <w:rFonts w:ascii="Times New Roman" w:eastAsia="Times New Roman" w:hAnsi="Times New Roman" w:cs="Times New Roman"/>
          <w:lang w:val="bg-BG"/>
        </w:rPr>
      </w:pPr>
      <w:r w:rsidRPr="00E15F8F">
        <w:rPr>
          <w:rFonts w:ascii="Times New Roman" w:hAnsi="Times New Roman" w:cs="Times New Roman"/>
          <w:lang w:val="bg-BG"/>
        </w:rPr>
        <w:t xml:space="preserve">Директива 2008/56/ЕО на Европейския парламент и на Съвета за създаване на рамка за действие на Общността в областта на политиката за морска среда </w:t>
      </w:r>
      <w:r w:rsidRPr="00E15F8F">
        <w:rPr>
          <w:rFonts w:ascii="Times New Roman" w:hAnsi="Times New Roman" w:cs="Times New Roman"/>
          <w:b/>
          <w:bCs/>
          <w:lang w:val="bg-BG"/>
        </w:rPr>
        <w:t>(</w:t>
      </w:r>
      <w:r w:rsidRPr="00E15F8F">
        <w:rPr>
          <w:rFonts w:ascii="Times New Roman" w:eastAsia="Times New Roman" w:hAnsi="Times New Roman" w:cs="Times New Roman"/>
          <w:b/>
          <w:bCs/>
          <w:lang w:val="bg-BG"/>
        </w:rPr>
        <w:t xml:space="preserve">Рамковата </w:t>
      </w:r>
      <w:hyperlink r:id="rId19" w:history="1">
        <w:r w:rsidRPr="00E15F8F">
          <w:rPr>
            <w:rFonts w:ascii="Times New Roman" w:eastAsia="Times New Roman" w:hAnsi="Times New Roman" w:cs="Times New Roman"/>
            <w:b/>
            <w:bCs/>
            <w:u w:val="single"/>
            <w:lang w:val="bg-BG"/>
          </w:rPr>
          <w:t>директива за морска стратегия</w:t>
        </w:r>
      </w:hyperlink>
      <w:r w:rsidRPr="00E15F8F">
        <w:rPr>
          <w:rFonts w:ascii="Times New Roman" w:eastAsia="Times New Roman" w:hAnsi="Times New Roman" w:cs="Times New Roman"/>
          <w:b/>
          <w:bCs/>
          <w:lang w:val="bg-BG"/>
        </w:rPr>
        <w:t xml:space="preserve"> (MSFD)</w:t>
      </w:r>
      <w:r w:rsidRPr="00E15F8F">
        <w:rPr>
          <w:rFonts w:ascii="Times New Roman" w:eastAsia="Times New Roman" w:hAnsi="Times New Roman" w:cs="Times New Roman"/>
          <w:lang w:val="bg-BG"/>
        </w:rPr>
        <w:t xml:space="preserve"> е екологичният стълб на интегрираната морска политика на ЕС (ИМП), създадена с цел подобряване на устойчивото развитие на морската икономика, като същевременно се осигурява по-добра защита на морската среда. Целта на Рамковата директива за морската стратегия (MSFD) е постигането на добро екологично състояние (ДЕС) на морските води на ЕС до 2020 r., продължаването на тяхната защита и съхранение, както и предотвратяването на влошаването на тяхното състояние. Тя определя европейски морски региони (Балтийско море, североизточния Атлантически океан, Средиземно море и Черно море) и подрегиони в рамките на географските граници на съществуващите регионални морски конвенции. </w:t>
      </w:r>
    </w:p>
    <w:p w14:paraId="6B89D879" w14:textId="77777777" w:rsidR="004E05D3" w:rsidRPr="00E15F8F" w:rsidRDefault="004E05D3" w:rsidP="004E05D3">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 xml:space="preserve">За да се постигане „добро екологично състояние“ до 2020 r., държавите членки следва да разработят основани на екосистемния подход стратегии за своите морски води, които следва да се преразглеждат на всеки шест години. </w:t>
      </w:r>
    </w:p>
    <w:p w14:paraId="224284A8" w14:textId="64FD4C86" w:rsidR="004E05D3" w:rsidRPr="00E15F8F" w:rsidRDefault="004E05D3" w:rsidP="004E05D3">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b/>
          <w:bCs/>
          <w:lang w:val="bg-BG"/>
        </w:rPr>
        <w:t xml:space="preserve">Директива </w:t>
      </w:r>
      <w:r w:rsidR="00DB3BE6">
        <w:rPr>
          <w:rFonts w:ascii="Times New Roman" w:eastAsia="Times New Roman" w:hAnsi="Times New Roman" w:cs="Times New Roman"/>
          <w:b/>
          <w:bCs/>
          <w:lang w:val="bg-BG"/>
        </w:rPr>
        <w:t xml:space="preserve">2005/35/ЕО на Европейския парламент и на Съвета </w:t>
      </w:r>
      <w:r w:rsidRPr="00E15F8F">
        <w:rPr>
          <w:rFonts w:ascii="Times New Roman" w:eastAsia="Times New Roman" w:hAnsi="Times New Roman" w:cs="Times New Roman"/>
          <w:b/>
          <w:bCs/>
          <w:lang w:val="bg-BG"/>
        </w:rPr>
        <w:t xml:space="preserve">относно </w:t>
      </w:r>
      <w:hyperlink r:id="rId20" w:history="1">
        <w:r w:rsidRPr="00E15F8F">
          <w:rPr>
            <w:rFonts w:ascii="Times New Roman" w:eastAsia="Times New Roman" w:hAnsi="Times New Roman" w:cs="Times New Roman"/>
            <w:b/>
            <w:bCs/>
            <w:u w:val="single"/>
            <w:lang w:val="bg-BG"/>
          </w:rPr>
          <w:t>замърсяване от кораби</w:t>
        </w:r>
      </w:hyperlink>
      <w:r w:rsidRPr="00E15F8F">
        <w:rPr>
          <w:rFonts w:ascii="Times New Roman" w:eastAsia="Times New Roman" w:hAnsi="Times New Roman" w:cs="Times New Roman"/>
          <w:b/>
          <w:bCs/>
          <w:lang w:val="bg-BG"/>
        </w:rPr>
        <w:t xml:space="preserve"> и налагане на санкции при нарушения</w:t>
      </w:r>
      <w:r w:rsidRPr="00E15F8F">
        <w:rPr>
          <w:rFonts w:ascii="Times New Roman" w:eastAsia="Times New Roman" w:hAnsi="Times New Roman" w:cs="Times New Roman"/>
          <w:lang w:val="bg-BG"/>
        </w:rPr>
        <w:t xml:space="preserve"> има за цел да гарантира, че лицата, отговорни за изхвърлянето на замърсяващи вещества в морето, подлежат на ефективни и възпиращи санкции, които могат да бъдат наказателни или административни. Изхвърлянето на замърсяващи вещества от кораби следва да бъде считано за престъпление, ако е извършено умишлено, по непредпазливост или е резултат от груба небрежност и води до сериозно влошаване на качеството на водата</w:t>
      </w:r>
      <w:r w:rsidR="00DB3BE6">
        <w:rPr>
          <w:rFonts w:ascii="Times New Roman" w:eastAsia="Times New Roman" w:hAnsi="Times New Roman" w:cs="Times New Roman"/>
          <w:lang w:val="bg-BG"/>
        </w:rPr>
        <w:t>.</w:t>
      </w:r>
    </w:p>
    <w:p w14:paraId="6CE7EDAE" w14:textId="77777777" w:rsidR="004E05D3" w:rsidRPr="00E15F8F" w:rsidRDefault="004E05D3" w:rsidP="004E05D3">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 xml:space="preserve">Защитата на морските води в Европа се регулира от четири </w:t>
      </w:r>
      <w:r w:rsidRPr="00E15F8F">
        <w:rPr>
          <w:rFonts w:ascii="Times New Roman" w:eastAsia="Times New Roman" w:hAnsi="Times New Roman" w:cs="Times New Roman"/>
          <w:b/>
          <w:bCs/>
          <w:u w:val="single"/>
          <w:lang w:val="bg-BG"/>
        </w:rPr>
        <w:t>структури за международно сътрудничество</w:t>
      </w:r>
      <w:r w:rsidRPr="00E15F8F">
        <w:rPr>
          <w:rFonts w:ascii="Times New Roman" w:eastAsia="Times New Roman" w:hAnsi="Times New Roman" w:cs="Times New Roman"/>
          <w:b/>
          <w:bCs/>
          <w:lang w:val="bg-BG"/>
        </w:rPr>
        <w:t xml:space="preserve"> (регионалните морски конвенции)</w:t>
      </w:r>
      <w:r w:rsidRPr="00E15F8F">
        <w:rPr>
          <w:rFonts w:ascii="Times New Roman" w:eastAsia="Times New Roman" w:hAnsi="Times New Roman" w:cs="Times New Roman"/>
          <w:lang w:val="bg-BG"/>
        </w:rPr>
        <w:t xml:space="preserve"> между държавите — членки на ЕС, и съседните държави с общи води: Конвенцията ОСПАР от 1992 r. (въз основа на по-ранни конвенции от Осло и Париж) за североизточната част на Атлантическия океан; Конвенцията от Хелзинки (HELCOM) от 1992 r. за района на Балтийско море; Конвенцията от Барселона (UNEP-MAP) от 1995 r. за Средиземноморието; и Букурещката конвенция от 1992 r. за Черно море. Речните води на ЕС са защитени по линия на Конвенцията за опазване на река Дунав от 1996 r. и Конвенцията за защита на Рейн от 2009 r. Междурегионалното сътрудничество в областта на околната среда, съсредоточено върху морски или речни басейни, дава началото на няколко т.нар. макрорегионални стратегии в Европейския съюз: стратегията за региона на Балтийско море от 2009 r. (първата всеобхватна стратегия на ЕС, изготвена за макрорегион); стратегията за Дунавския регион (2011 r.) и най-новата стратегия за региона на Адриатическо и Йонийско море (2014 r.). </w:t>
      </w:r>
    </w:p>
    <w:p w14:paraId="18962573" w14:textId="77777777" w:rsidR="004E05D3" w:rsidRPr="00E15F8F" w:rsidRDefault="004E05D3" w:rsidP="004E05D3">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Приоритетните политики на ЕС в областта на водите поставят конкретни цели в няколко ключови области:</w:t>
      </w:r>
    </w:p>
    <w:p w14:paraId="53275C5B" w14:textId="77777777" w:rsidR="004E05D3" w:rsidRPr="00E15F8F" w:rsidRDefault="004E05D3" w:rsidP="004E05D3">
      <w:pPr>
        <w:pStyle w:val="ListParagraph"/>
        <w:numPr>
          <w:ilvl w:val="0"/>
          <w:numId w:val="5"/>
        </w:num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 xml:space="preserve">Намаляване на натиска от замърсяване на водите, свързано с гарантиране на човешкото здраве – целта е постигане на добро химическо състояние на всички повърхностни и подземни водни тела, намаляване и превенция на замърсяването с нитрати с източник </w:t>
      </w:r>
      <w:r w:rsidRPr="00E15F8F">
        <w:rPr>
          <w:rFonts w:ascii="Times New Roman" w:eastAsia="Times New Roman" w:hAnsi="Times New Roman" w:cs="Times New Roman"/>
          <w:lang w:val="bg-BG"/>
        </w:rPr>
        <w:lastRenderedPageBreak/>
        <w:t>селското стопанство, намаляване на замърсяването от градски отпадъчни води, превенция на замърсяването на водите, предназначени за консумация от човека, премахване на риска за човешкото здраве от замърсяването на водите и токсични вещества;</w:t>
      </w:r>
    </w:p>
    <w:p w14:paraId="280EF603" w14:textId="77777777" w:rsidR="004E05D3" w:rsidRPr="00E15F8F" w:rsidRDefault="004E05D3" w:rsidP="004E05D3">
      <w:pPr>
        <w:pStyle w:val="ListParagraph"/>
        <w:numPr>
          <w:ilvl w:val="0"/>
          <w:numId w:val="5"/>
        </w:num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Намаляване на натиска от водовземане с цел постигане на добро количествено състояние на водните тела, значително намаляване на водния стрес (водовземане под 20% от наличните възобновяеми водни ресурси), ефективно използване на водните ресурси във всички сектори на икономиката и интегрирано управление на водите на всички нива и международно сътрудничество;</w:t>
      </w:r>
    </w:p>
    <w:p w14:paraId="61009A98" w14:textId="77777777" w:rsidR="004E05D3" w:rsidRPr="00E15F8F" w:rsidRDefault="004E05D3" w:rsidP="004E05D3">
      <w:pPr>
        <w:pStyle w:val="ListParagraph"/>
        <w:numPr>
          <w:ilvl w:val="0"/>
          <w:numId w:val="5"/>
        </w:num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Намаляване на хидроморфологичния натиск за оценка и управление на риска от наводнения и постигане на добро екологично състояние на водите;</w:t>
      </w:r>
    </w:p>
    <w:p w14:paraId="6F379A53" w14:textId="49A27DBC" w:rsidR="004E05D3" w:rsidRDefault="004E05D3" w:rsidP="004E05D3">
      <w:pPr>
        <w:pStyle w:val="ListParagraph"/>
        <w:numPr>
          <w:ilvl w:val="0"/>
          <w:numId w:val="5"/>
        </w:num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Постигане на благоприятно природозащитно състояние на водните екосистеми и влажните зони за опазване на водните ресурси и биоразнообразието.</w:t>
      </w:r>
    </w:p>
    <w:p w14:paraId="79BE7DE5" w14:textId="248174CA" w:rsidR="009B333C" w:rsidRDefault="009B333C" w:rsidP="009B333C">
      <w:pPr>
        <w:spacing w:after="120" w:line="276" w:lineRule="auto"/>
        <w:jc w:val="both"/>
        <w:rPr>
          <w:rFonts w:ascii="Times New Roman" w:eastAsia="Times New Roman" w:hAnsi="Times New Roman" w:cs="Times New Roman"/>
          <w:lang w:val="bg-BG"/>
        </w:rPr>
      </w:pPr>
      <w:r>
        <w:rPr>
          <w:rFonts w:ascii="Times New Roman" w:eastAsia="Times New Roman" w:hAnsi="Times New Roman" w:cs="Times New Roman"/>
          <w:lang w:val="bg-BG"/>
        </w:rPr>
        <w:t xml:space="preserve">Приетият през май 2021 г. </w:t>
      </w:r>
      <w:r w:rsidRPr="001B1B03">
        <w:rPr>
          <w:rFonts w:ascii="Times New Roman" w:eastAsia="Times New Roman" w:hAnsi="Times New Roman" w:cs="Times New Roman"/>
          <w:b/>
          <w:bCs/>
          <w:lang w:val="bg-BG"/>
        </w:rPr>
        <w:t>План за действие на ЕС „Към нулево замърсяване на въздуха, водата и почвата“</w:t>
      </w:r>
      <w:r w:rsidR="00DD310F">
        <w:rPr>
          <w:rStyle w:val="FootnoteReference"/>
          <w:rFonts w:ascii="Times New Roman" w:eastAsia="Times New Roman" w:hAnsi="Times New Roman" w:cs="Times New Roman"/>
          <w:b/>
          <w:bCs/>
          <w:lang w:val="bg-BG"/>
        </w:rPr>
        <w:footnoteReference w:id="12"/>
      </w:r>
      <w:r>
        <w:rPr>
          <w:rFonts w:ascii="Times New Roman" w:eastAsia="Times New Roman" w:hAnsi="Times New Roman" w:cs="Times New Roman"/>
          <w:lang w:val="bg-BG"/>
        </w:rPr>
        <w:t xml:space="preserve"> свързва всички политики за борба със замърсяването за постигане на визията към 2050 г. „Здрава планета за всички“. Една от ключовите цели за 2030 г. е подобряване на качеството на водата чрез намаляване </w:t>
      </w:r>
      <w:r w:rsidR="00DD310F">
        <w:rPr>
          <w:rFonts w:ascii="Times New Roman" w:eastAsia="Times New Roman" w:hAnsi="Times New Roman" w:cs="Times New Roman"/>
          <w:lang w:val="bg-BG"/>
        </w:rPr>
        <w:t xml:space="preserve">с 50% </w:t>
      </w:r>
      <w:r>
        <w:rPr>
          <w:rFonts w:ascii="Times New Roman" w:eastAsia="Times New Roman" w:hAnsi="Times New Roman" w:cs="Times New Roman"/>
          <w:lang w:val="bg-BG"/>
        </w:rPr>
        <w:t>на отпадъците, пластмасовите отпадъци в морето</w:t>
      </w:r>
      <w:r w:rsidR="00DD310F">
        <w:rPr>
          <w:rFonts w:ascii="Times New Roman" w:eastAsia="Times New Roman" w:hAnsi="Times New Roman" w:cs="Times New Roman"/>
          <w:lang w:val="bg-BG"/>
        </w:rPr>
        <w:t xml:space="preserve"> </w:t>
      </w:r>
      <w:r>
        <w:rPr>
          <w:rFonts w:ascii="Times New Roman" w:eastAsia="Times New Roman" w:hAnsi="Times New Roman" w:cs="Times New Roman"/>
          <w:lang w:val="bg-BG"/>
        </w:rPr>
        <w:t xml:space="preserve">и </w:t>
      </w:r>
      <w:r w:rsidR="00DD310F">
        <w:rPr>
          <w:rFonts w:ascii="Times New Roman" w:eastAsia="Times New Roman" w:hAnsi="Times New Roman" w:cs="Times New Roman"/>
          <w:lang w:val="bg-BG"/>
        </w:rPr>
        <w:t xml:space="preserve">с 30% на </w:t>
      </w:r>
      <w:r>
        <w:rPr>
          <w:rFonts w:ascii="Times New Roman" w:eastAsia="Times New Roman" w:hAnsi="Times New Roman" w:cs="Times New Roman"/>
          <w:lang w:val="bg-BG"/>
        </w:rPr>
        <w:t>пластмасовите частици, отделяни в околната среда.</w:t>
      </w:r>
      <w:r w:rsidR="002A6465">
        <w:rPr>
          <w:rFonts w:ascii="Times New Roman" w:eastAsia="Times New Roman" w:hAnsi="Times New Roman" w:cs="Times New Roman"/>
          <w:lang w:val="bg-BG"/>
        </w:rPr>
        <w:t xml:space="preserve"> Планът предлага конкретни стъпки за подобряване на европейското законодателство, включително:</w:t>
      </w:r>
    </w:p>
    <w:p w14:paraId="5C3BD740" w14:textId="0CF8A44A" w:rsidR="002A6465" w:rsidRPr="001B1B03" w:rsidRDefault="00C75CB7" w:rsidP="002A6465">
      <w:pPr>
        <w:pStyle w:val="ListParagraph"/>
        <w:numPr>
          <w:ilvl w:val="0"/>
          <w:numId w:val="5"/>
        </w:numPr>
        <w:spacing w:after="120" w:line="276" w:lineRule="auto"/>
        <w:jc w:val="both"/>
        <w:rPr>
          <w:rFonts w:ascii="Times New Roman" w:eastAsia="Times New Roman" w:hAnsi="Times New Roman" w:cs="Times New Roman"/>
          <w:lang w:val="bg-BG"/>
        </w:rPr>
      </w:pPr>
      <w:r>
        <w:rPr>
          <w:rFonts w:ascii="Times New Roman" w:eastAsia="Times New Roman" w:hAnsi="Times New Roman" w:cs="Times New Roman"/>
          <w:lang w:val="bg-BG"/>
        </w:rPr>
        <w:t xml:space="preserve">Въвеждане на по-високи стандарти за качество на питейната вода от държавите членки до януари 2023 г., съгласно </w:t>
      </w:r>
      <w:r w:rsidR="002A6465">
        <w:rPr>
          <w:rFonts w:ascii="Times New Roman" w:eastAsia="Times New Roman" w:hAnsi="Times New Roman" w:cs="Times New Roman"/>
          <w:lang w:val="bg-BG"/>
        </w:rPr>
        <w:t>Директива (ЕС) 2020/2184 относно качеството на водата, предназначена за консумация от човека</w:t>
      </w:r>
      <w:r w:rsidR="002A6465">
        <w:rPr>
          <w:rFonts w:ascii="Times New Roman" w:hAnsi="Times New Roman" w:cs="Times New Roman"/>
          <w:shd w:val="clear" w:color="auto" w:fill="FFFFFF"/>
          <w:lang w:val="bg-BG"/>
        </w:rPr>
        <w:t>;</w:t>
      </w:r>
    </w:p>
    <w:p w14:paraId="39C36FAB" w14:textId="645BC62D" w:rsidR="00C75CB7" w:rsidRPr="001B1B03" w:rsidRDefault="00C75CB7" w:rsidP="002A6465">
      <w:pPr>
        <w:pStyle w:val="ListParagraph"/>
        <w:numPr>
          <w:ilvl w:val="0"/>
          <w:numId w:val="5"/>
        </w:numPr>
        <w:spacing w:after="120" w:line="276" w:lineRule="auto"/>
        <w:jc w:val="both"/>
        <w:rPr>
          <w:rFonts w:ascii="Times New Roman" w:eastAsia="Times New Roman" w:hAnsi="Times New Roman" w:cs="Times New Roman"/>
          <w:lang w:val="bg-BG"/>
        </w:rPr>
      </w:pPr>
      <w:r>
        <w:rPr>
          <w:rFonts w:ascii="Times New Roman" w:eastAsia="Times New Roman" w:hAnsi="Times New Roman" w:cs="Times New Roman"/>
          <w:lang w:val="bg-BG"/>
        </w:rPr>
        <w:t xml:space="preserve">До 2023 г. оценка на необходимостта от изменения на </w:t>
      </w:r>
      <w:hyperlink r:id="rId21" w:history="1">
        <w:r w:rsidRPr="00E15F8F">
          <w:rPr>
            <w:rStyle w:val="Hyperlink"/>
            <w:rFonts w:ascii="Times New Roman" w:hAnsi="Times New Roman" w:cs="Times New Roman"/>
            <w:color w:val="000000" w:themeColor="text1"/>
            <w:u w:val="none"/>
            <w:shd w:val="clear" w:color="auto" w:fill="FFFFFF"/>
            <w:lang w:val="bg-BG"/>
          </w:rPr>
          <w:t>Директива 2006/7/EО за управление качеството на водите за къпане</w:t>
        </w:r>
      </w:hyperlink>
      <w:r w:rsidRPr="00E15F8F">
        <w:rPr>
          <w:rFonts w:ascii="Times New Roman" w:hAnsi="Times New Roman" w:cs="Times New Roman"/>
          <w:color w:val="000000" w:themeColor="text1"/>
          <w:lang w:val="bg-BG"/>
        </w:rPr>
        <w:t>;</w:t>
      </w:r>
    </w:p>
    <w:p w14:paraId="74CDFBD2" w14:textId="3A04EF48" w:rsidR="00DD310F" w:rsidRPr="001B1B03" w:rsidRDefault="00DD310F" w:rsidP="002A6465">
      <w:pPr>
        <w:pStyle w:val="ListParagraph"/>
        <w:numPr>
          <w:ilvl w:val="0"/>
          <w:numId w:val="5"/>
        </w:numPr>
        <w:spacing w:after="120" w:line="276" w:lineRule="auto"/>
        <w:jc w:val="both"/>
        <w:rPr>
          <w:rFonts w:ascii="Times New Roman" w:eastAsia="Times New Roman" w:hAnsi="Times New Roman" w:cs="Times New Roman"/>
          <w:lang w:val="bg-BG"/>
        </w:rPr>
      </w:pPr>
      <w:r w:rsidRPr="001B1B03">
        <w:rPr>
          <w:rFonts w:ascii="Times New Roman" w:hAnsi="Times New Roman" w:cs="Times New Roman"/>
          <w:lang w:val="bg-BG"/>
        </w:rPr>
        <w:t>До 2023 г. оценка на Рамковата директива за морска стратегия, като се вземе предвид нивото на приложение на европейското законодателство, свързано с основните източници на замърсяване и необходимостта от намаляване на пластмасовите и други отпадъци и подводния шум</w:t>
      </w:r>
      <w:r>
        <w:rPr>
          <w:rFonts w:ascii="Times New Roman" w:hAnsi="Times New Roman" w:cs="Times New Roman"/>
          <w:lang w:val="bg-BG"/>
        </w:rPr>
        <w:t>;</w:t>
      </w:r>
    </w:p>
    <w:p w14:paraId="3FD9EB84" w14:textId="63B9AD42" w:rsidR="00D22DFE" w:rsidRDefault="00D22DFE" w:rsidP="002A6465">
      <w:pPr>
        <w:pStyle w:val="ListParagraph"/>
        <w:numPr>
          <w:ilvl w:val="0"/>
          <w:numId w:val="5"/>
        </w:numPr>
        <w:spacing w:after="120" w:line="276" w:lineRule="auto"/>
        <w:jc w:val="both"/>
        <w:rPr>
          <w:rFonts w:ascii="Times New Roman" w:eastAsia="Times New Roman" w:hAnsi="Times New Roman" w:cs="Times New Roman"/>
          <w:lang w:val="bg-BG"/>
        </w:rPr>
      </w:pPr>
      <w:r>
        <w:rPr>
          <w:rFonts w:ascii="Times New Roman" w:eastAsia="Times New Roman" w:hAnsi="Times New Roman" w:cs="Times New Roman"/>
          <w:lang w:val="bg-BG"/>
        </w:rPr>
        <w:t>Оценка на възможността за въвеждане на постоянен мониторинг на свързани с човешкото здраве показатели на отпадъчните води.</w:t>
      </w:r>
    </w:p>
    <w:p w14:paraId="6538AF9D" w14:textId="34356F1A" w:rsidR="00D22DFE" w:rsidRDefault="00D22DFE" w:rsidP="00D22DFE">
      <w:pPr>
        <w:spacing w:after="120" w:line="276" w:lineRule="auto"/>
        <w:jc w:val="both"/>
        <w:rPr>
          <w:rFonts w:ascii="Times New Roman" w:eastAsia="Times New Roman" w:hAnsi="Times New Roman" w:cs="Times New Roman"/>
          <w:lang w:val="bg-BG"/>
        </w:rPr>
      </w:pPr>
      <w:r>
        <w:rPr>
          <w:rFonts w:ascii="Times New Roman" w:eastAsia="Times New Roman" w:hAnsi="Times New Roman" w:cs="Times New Roman"/>
          <w:lang w:val="bg-BG"/>
        </w:rPr>
        <w:t>Акцент се поставя върху засилване на сътрудничеството със Световната здравна организация и други международни организации и инициативи за превенция на риска за околната среда и човешкото здраве</w:t>
      </w:r>
      <w:r w:rsidR="006C207B">
        <w:rPr>
          <w:rFonts w:ascii="Times New Roman" w:eastAsia="Times New Roman" w:hAnsi="Times New Roman" w:cs="Times New Roman"/>
          <w:lang w:val="bg-BG"/>
        </w:rPr>
        <w:t xml:space="preserve">. </w:t>
      </w:r>
    </w:p>
    <w:p w14:paraId="00F4124A" w14:textId="4ADCBEB8" w:rsidR="006C207B" w:rsidRPr="001B1B03" w:rsidRDefault="006C207B" w:rsidP="00D22DFE">
      <w:pPr>
        <w:spacing w:after="120" w:line="276" w:lineRule="auto"/>
        <w:jc w:val="both"/>
        <w:rPr>
          <w:rFonts w:ascii="Times New Roman" w:eastAsia="Times New Roman" w:hAnsi="Times New Roman" w:cs="Times New Roman"/>
          <w:lang w:val="bg-BG"/>
        </w:rPr>
      </w:pPr>
      <w:r>
        <w:rPr>
          <w:rFonts w:ascii="Times New Roman" w:eastAsia="Times New Roman" w:hAnsi="Times New Roman" w:cs="Times New Roman"/>
          <w:lang w:val="bg-BG"/>
        </w:rPr>
        <w:t>Стриктното прилагане на изискванията на Рамковата директива за водите и Рамковата директива за морска стратегия се определя като основен приоритет и ангажимент на държавите членки по отношение на устойчиво потребление и консумация на вода, намаляване на замърсяването и въвеждането на справедливо заплащане за всички потребители и замърсители.</w:t>
      </w:r>
    </w:p>
    <w:p w14:paraId="35E41D49" w14:textId="77777777" w:rsidR="001B1B03" w:rsidRDefault="001B1B03" w:rsidP="004E05D3">
      <w:pPr>
        <w:autoSpaceDE w:val="0"/>
        <w:autoSpaceDN w:val="0"/>
        <w:adjustRightInd w:val="0"/>
        <w:spacing w:after="0" w:line="240" w:lineRule="auto"/>
        <w:rPr>
          <w:rFonts w:ascii="Times New Roman" w:hAnsi="Times New Roman" w:cs="Times New Roman"/>
          <w:b/>
          <w:bCs/>
          <w:color w:val="000000"/>
          <w:lang w:val="bg-BG"/>
        </w:rPr>
      </w:pPr>
    </w:p>
    <w:p w14:paraId="577B1F60" w14:textId="77777777" w:rsidR="001B1B03" w:rsidRDefault="001B1B03" w:rsidP="004E05D3">
      <w:pPr>
        <w:autoSpaceDE w:val="0"/>
        <w:autoSpaceDN w:val="0"/>
        <w:adjustRightInd w:val="0"/>
        <w:spacing w:after="0" w:line="240" w:lineRule="auto"/>
        <w:rPr>
          <w:rFonts w:ascii="Times New Roman" w:hAnsi="Times New Roman" w:cs="Times New Roman"/>
          <w:b/>
          <w:bCs/>
          <w:color w:val="000000"/>
          <w:lang w:val="bg-BG"/>
        </w:rPr>
      </w:pPr>
    </w:p>
    <w:p w14:paraId="39B950A8" w14:textId="77777777" w:rsidR="001B1B03" w:rsidRDefault="001B1B03" w:rsidP="004E05D3">
      <w:pPr>
        <w:autoSpaceDE w:val="0"/>
        <w:autoSpaceDN w:val="0"/>
        <w:adjustRightInd w:val="0"/>
        <w:spacing w:after="0" w:line="240" w:lineRule="auto"/>
        <w:rPr>
          <w:rFonts w:ascii="Times New Roman" w:hAnsi="Times New Roman" w:cs="Times New Roman"/>
          <w:b/>
          <w:bCs/>
          <w:color w:val="000000"/>
          <w:lang w:val="bg-BG"/>
        </w:rPr>
      </w:pPr>
    </w:p>
    <w:p w14:paraId="7353A46C" w14:textId="296F9BD0" w:rsidR="004E05D3" w:rsidRPr="00E15F8F" w:rsidRDefault="004E05D3" w:rsidP="004E05D3">
      <w:pPr>
        <w:autoSpaceDE w:val="0"/>
        <w:autoSpaceDN w:val="0"/>
        <w:adjustRightInd w:val="0"/>
        <w:spacing w:after="0" w:line="240" w:lineRule="auto"/>
        <w:rPr>
          <w:rFonts w:ascii="Times New Roman" w:hAnsi="Times New Roman" w:cs="Times New Roman"/>
          <w:b/>
          <w:bCs/>
          <w:color w:val="000000"/>
          <w:lang w:val="bg-BG"/>
        </w:rPr>
      </w:pPr>
      <w:r w:rsidRPr="00E15F8F">
        <w:rPr>
          <w:rFonts w:ascii="Times New Roman" w:hAnsi="Times New Roman" w:cs="Times New Roman"/>
          <w:b/>
          <w:bCs/>
          <w:color w:val="000000"/>
          <w:lang w:val="bg-BG"/>
        </w:rPr>
        <w:t>Политики на България в областта на управлението на водите</w:t>
      </w:r>
    </w:p>
    <w:p w14:paraId="6AD7ACE2" w14:textId="77777777" w:rsidR="004E05D3" w:rsidRPr="00E15F8F" w:rsidRDefault="004E05D3" w:rsidP="004E05D3">
      <w:pPr>
        <w:autoSpaceDE w:val="0"/>
        <w:autoSpaceDN w:val="0"/>
        <w:adjustRightInd w:val="0"/>
        <w:spacing w:after="0" w:line="240" w:lineRule="auto"/>
        <w:rPr>
          <w:rFonts w:ascii="Times New Roman" w:hAnsi="Times New Roman" w:cs="Times New Roman"/>
          <w:b/>
          <w:bCs/>
          <w:color w:val="000000"/>
          <w:lang w:val="bg-BG"/>
        </w:rPr>
      </w:pPr>
    </w:p>
    <w:p w14:paraId="6F10386F" w14:textId="33AE4BC4" w:rsidR="004E05D3" w:rsidRPr="00E15F8F" w:rsidRDefault="004E05D3" w:rsidP="004E05D3">
      <w:pPr>
        <w:shd w:val="clear" w:color="auto" w:fill="FFFFFF"/>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Националн</w:t>
      </w:r>
      <w:r w:rsidR="008854ED" w:rsidRPr="00E15F8F">
        <w:rPr>
          <w:rFonts w:ascii="Times New Roman" w:eastAsia="Times New Roman" w:hAnsi="Times New Roman" w:cs="Times New Roman"/>
          <w:lang w:val="bg-BG"/>
        </w:rPr>
        <w:t>ата</w:t>
      </w:r>
      <w:r w:rsidRPr="00E15F8F">
        <w:rPr>
          <w:rFonts w:ascii="Times New Roman" w:eastAsia="Times New Roman" w:hAnsi="Times New Roman" w:cs="Times New Roman"/>
          <w:lang w:val="bg-BG"/>
        </w:rPr>
        <w:t xml:space="preserve"> политик</w:t>
      </w:r>
      <w:r w:rsidR="008854ED" w:rsidRPr="00E15F8F">
        <w:rPr>
          <w:rFonts w:ascii="Times New Roman" w:eastAsia="Times New Roman" w:hAnsi="Times New Roman" w:cs="Times New Roman"/>
          <w:lang w:val="bg-BG"/>
        </w:rPr>
        <w:t>а</w:t>
      </w:r>
      <w:r w:rsidRPr="00E15F8F">
        <w:rPr>
          <w:rFonts w:ascii="Times New Roman" w:eastAsia="Times New Roman" w:hAnsi="Times New Roman" w:cs="Times New Roman"/>
          <w:lang w:val="bg-BG"/>
        </w:rPr>
        <w:t xml:space="preserve"> по управление на водите се разработва</w:t>
      </w:r>
      <w:r w:rsidR="00576F37">
        <w:rPr>
          <w:rFonts w:ascii="Times New Roman" w:eastAsia="Times New Roman" w:hAnsi="Times New Roman" w:cs="Times New Roman"/>
          <w:lang w:val="bg-BG"/>
        </w:rPr>
        <w:t>т</w:t>
      </w:r>
      <w:r w:rsidRPr="00E15F8F">
        <w:rPr>
          <w:rFonts w:ascii="Times New Roman" w:eastAsia="Times New Roman" w:hAnsi="Times New Roman" w:cs="Times New Roman"/>
          <w:lang w:val="bg-BG"/>
        </w:rPr>
        <w:t xml:space="preserve"> и прилага</w:t>
      </w:r>
      <w:r w:rsidR="00576F37">
        <w:rPr>
          <w:rFonts w:ascii="Times New Roman" w:eastAsia="Times New Roman" w:hAnsi="Times New Roman" w:cs="Times New Roman"/>
          <w:lang w:val="bg-BG"/>
        </w:rPr>
        <w:t>т</w:t>
      </w:r>
      <w:r w:rsidRPr="00E15F8F">
        <w:rPr>
          <w:rFonts w:ascii="Times New Roman" w:eastAsia="Times New Roman" w:hAnsi="Times New Roman" w:cs="Times New Roman"/>
          <w:lang w:val="bg-BG"/>
        </w:rPr>
        <w:t xml:space="preserve"> в съответствие с европейското законодателство с цел постигане и поддържане на добро състояние на всички подземни, повърхностни и морски води, като ресурс от особено значение за ограничаване на вредните въздействия върху човешкия живот и здраве, околната среда, културното наследство и стопанската дейност.</w:t>
      </w:r>
    </w:p>
    <w:p w14:paraId="5C51EE89" w14:textId="77777777" w:rsidR="004E05D3" w:rsidRPr="00E15F8F" w:rsidRDefault="004E05D3" w:rsidP="004E05D3">
      <w:pPr>
        <w:shd w:val="clear" w:color="auto" w:fill="FFFFFF"/>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 xml:space="preserve">В </w:t>
      </w:r>
      <w:r w:rsidRPr="00E15F8F">
        <w:rPr>
          <w:rFonts w:ascii="Times New Roman" w:eastAsia="Times New Roman" w:hAnsi="Times New Roman" w:cs="Times New Roman"/>
          <w:b/>
          <w:bCs/>
          <w:lang w:val="bg-BG"/>
        </w:rPr>
        <w:t>стратегически план</w:t>
      </w:r>
      <w:r w:rsidRPr="00E15F8F">
        <w:rPr>
          <w:rFonts w:ascii="Times New Roman" w:eastAsia="Times New Roman" w:hAnsi="Times New Roman" w:cs="Times New Roman"/>
          <w:lang w:val="bg-BG"/>
        </w:rPr>
        <w:t>, рамката на националните политики се формира от:</w:t>
      </w:r>
    </w:p>
    <w:p w14:paraId="4E38F37B" w14:textId="77777777" w:rsidR="004E05D3" w:rsidRPr="00E15F8F" w:rsidRDefault="004E05D3" w:rsidP="004E05D3">
      <w:pPr>
        <w:shd w:val="clear" w:color="auto" w:fill="FFFFFF"/>
        <w:spacing w:after="240" w:line="276" w:lineRule="auto"/>
        <w:jc w:val="both"/>
        <w:rPr>
          <w:rFonts w:ascii="Times New Roman" w:eastAsia="Times New Roman" w:hAnsi="Times New Roman" w:cs="Times New Roman"/>
          <w:b/>
          <w:bCs/>
          <w:lang w:val="bg-BG"/>
        </w:rPr>
      </w:pPr>
      <w:bookmarkStart w:id="3" w:name="_Hlk72858163"/>
      <w:r w:rsidRPr="00E15F8F">
        <w:rPr>
          <w:rFonts w:ascii="Times New Roman" w:eastAsia="Times New Roman" w:hAnsi="Times New Roman" w:cs="Times New Roman"/>
          <w:b/>
          <w:bCs/>
          <w:lang w:val="bg-BG"/>
        </w:rPr>
        <w:t>Национална стратегия за управление и развитие на водния сектор</w:t>
      </w:r>
    </w:p>
    <w:bookmarkEnd w:id="3"/>
    <w:p w14:paraId="79E19D3B" w14:textId="77777777" w:rsidR="004E05D3" w:rsidRPr="00E15F8F" w:rsidRDefault="004E05D3" w:rsidP="004E05D3">
      <w:pPr>
        <w:spacing w:after="120" w:line="276" w:lineRule="auto"/>
        <w:jc w:val="both"/>
        <w:rPr>
          <w:rFonts w:ascii="Times New Roman" w:hAnsi="Times New Roman" w:cs="Times New Roman"/>
          <w:lang w:val="bg-BG"/>
        </w:rPr>
      </w:pPr>
      <w:r w:rsidRPr="00E15F8F">
        <w:rPr>
          <w:rFonts w:ascii="Times New Roman" w:hAnsi="Times New Roman" w:cs="Times New Roman"/>
          <w:shd w:val="clear" w:color="auto" w:fill="FFFFFF"/>
          <w:lang w:val="bg-BG"/>
        </w:rPr>
        <w:t xml:space="preserve">Националната стратегия за управление и развитие на водния сектор (НСУРВС) в Република България се разработва във връзка с изискванията на чл. 151 от Закона за водите и съдържа анализ на състоянието на водния сектор в страната, </w:t>
      </w:r>
      <w:r w:rsidRPr="00E15F8F">
        <w:rPr>
          <w:rFonts w:ascii="Times New Roman" w:hAnsi="Times New Roman" w:cs="Times New Roman"/>
          <w:lang w:val="bg-BG"/>
        </w:rPr>
        <w:t>алтернативи за постигане на целите за интегрирано управление на водните ресурси, стратегия за развитие на сектора и план за действие.</w:t>
      </w:r>
    </w:p>
    <w:p w14:paraId="5F59E1AF" w14:textId="77777777" w:rsidR="004E05D3" w:rsidRPr="00E15F8F" w:rsidRDefault="004E05D3" w:rsidP="004E05D3">
      <w:pPr>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Стратегията е приета с решение на Народното събрание на Република България през 2012 г. и разглежда </w:t>
      </w:r>
      <w:r w:rsidRPr="00E15F8F">
        <w:rPr>
          <w:rFonts w:ascii="Times New Roman" w:hAnsi="Times New Roman" w:cs="Times New Roman"/>
          <w:shd w:val="clear" w:color="auto" w:fill="FFFFFF"/>
          <w:lang w:val="bg-BG"/>
        </w:rPr>
        <w:t>краткосрочни (2013-2015 г.), средносрочни (2016-2021 г.) и дългосрочни (2022-2037 г.) перспективи за развитие.</w:t>
      </w:r>
    </w:p>
    <w:p w14:paraId="1633DD27" w14:textId="77777777" w:rsidR="004E05D3" w:rsidRPr="00E15F8F" w:rsidRDefault="004E05D3" w:rsidP="004E05D3">
      <w:pPr>
        <w:pStyle w:val="BodyTextIndent2"/>
        <w:spacing w:before="0" w:line="276" w:lineRule="auto"/>
        <w:ind w:firstLine="0"/>
        <w:rPr>
          <w:rFonts w:ascii="Times New Roman" w:hAnsi="Times New Roman"/>
          <w:b w:val="0"/>
          <w:sz w:val="22"/>
          <w:szCs w:val="22"/>
        </w:rPr>
      </w:pPr>
      <w:r w:rsidRPr="00E15F8F">
        <w:rPr>
          <w:rFonts w:ascii="Times New Roman" w:hAnsi="Times New Roman"/>
          <w:b w:val="0"/>
          <w:sz w:val="22"/>
          <w:szCs w:val="22"/>
        </w:rPr>
        <w:t>Дългосрочната стратегическа цел на страната в областта на водния сектор се определя като устойчиво ползване на водните ресурси, осигуряващо в оптимална степен сегашните и бъдещите нужди на населението и икономиката на страната, както и на водните екосистеми. Формулирани са 4 основни цели за развитие:</w:t>
      </w:r>
    </w:p>
    <w:p w14:paraId="5EB7EE31" w14:textId="77777777" w:rsidR="004E05D3" w:rsidRPr="00E15F8F" w:rsidRDefault="004E05D3" w:rsidP="004E05D3">
      <w:pPr>
        <w:spacing w:after="120" w:line="276" w:lineRule="auto"/>
        <w:jc w:val="both"/>
        <w:rPr>
          <w:rFonts w:ascii="Times New Roman" w:hAnsi="Times New Roman" w:cs="Times New Roman"/>
          <w:lang w:val="bg-BG"/>
        </w:rPr>
      </w:pPr>
      <w:r w:rsidRPr="00E15F8F">
        <w:rPr>
          <w:rFonts w:ascii="Times New Roman" w:hAnsi="Times New Roman" w:cs="Times New Roman"/>
          <w:lang w:val="bg-BG"/>
        </w:rPr>
        <w:t>Цел 1: Гарантирано осигуряване на вода за населението и бизнеса в условията на промени на климата, водещи до засушаване</w:t>
      </w:r>
    </w:p>
    <w:p w14:paraId="5139C383" w14:textId="77777777" w:rsidR="004E05D3" w:rsidRPr="00E15F8F" w:rsidRDefault="004E05D3" w:rsidP="004E05D3">
      <w:pPr>
        <w:spacing w:after="120" w:line="276" w:lineRule="auto"/>
        <w:jc w:val="both"/>
        <w:rPr>
          <w:rFonts w:ascii="Times New Roman" w:hAnsi="Times New Roman" w:cs="Times New Roman"/>
          <w:lang w:val="bg-BG"/>
        </w:rPr>
      </w:pPr>
      <w:r w:rsidRPr="00E15F8F">
        <w:rPr>
          <w:rFonts w:ascii="Times New Roman" w:hAnsi="Times New Roman" w:cs="Times New Roman"/>
          <w:lang w:val="bg-BG"/>
        </w:rPr>
        <w:t>Цел 2: Запазване и подобряване на състоянието на повърхностните и подземните води</w:t>
      </w:r>
    </w:p>
    <w:p w14:paraId="300E6024" w14:textId="77777777" w:rsidR="004E05D3" w:rsidRPr="00E15F8F" w:rsidRDefault="004E05D3" w:rsidP="004E05D3">
      <w:pPr>
        <w:spacing w:after="120" w:line="276" w:lineRule="auto"/>
        <w:jc w:val="both"/>
        <w:rPr>
          <w:rFonts w:ascii="Times New Roman" w:hAnsi="Times New Roman" w:cs="Times New Roman"/>
          <w:lang w:val="bg-BG"/>
        </w:rPr>
      </w:pPr>
      <w:r w:rsidRPr="00E15F8F">
        <w:rPr>
          <w:rFonts w:ascii="Times New Roman" w:hAnsi="Times New Roman" w:cs="Times New Roman"/>
          <w:lang w:val="bg-BG"/>
        </w:rPr>
        <w:t>Цел 3: Подобряване на ефективността при интегрираното управление на водата като стопански ресурс</w:t>
      </w:r>
    </w:p>
    <w:p w14:paraId="328B1FF8" w14:textId="77777777" w:rsidR="004E05D3" w:rsidRPr="00E15F8F" w:rsidRDefault="004E05D3" w:rsidP="004E05D3">
      <w:pPr>
        <w:pStyle w:val="Header"/>
        <w:tabs>
          <w:tab w:val="clear" w:pos="4320"/>
          <w:tab w:val="clear" w:pos="8640"/>
        </w:tabs>
        <w:spacing w:after="120" w:line="276" w:lineRule="auto"/>
        <w:rPr>
          <w:rFonts w:ascii="Times New Roman" w:hAnsi="Times New Roman"/>
          <w:sz w:val="22"/>
          <w:szCs w:val="22"/>
          <w:lang w:val="bg-BG"/>
        </w:rPr>
      </w:pPr>
      <w:r w:rsidRPr="00E15F8F">
        <w:rPr>
          <w:rFonts w:ascii="Times New Roman" w:hAnsi="Times New Roman"/>
          <w:sz w:val="22"/>
          <w:szCs w:val="22"/>
          <w:lang w:val="bg-BG"/>
        </w:rPr>
        <w:t>Цел 4. Намаляване на риска от щети при наводнения</w:t>
      </w:r>
    </w:p>
    <w:p w14:paraId="1E562D3C" w14:textId="34ED0BED" w:rsidR="004E05D3" w:rsidRPr="00E15F8F" w:rsidRDefault="004E05D3" w:rsidP="004E05D3">
      <w:pPr>
        <w:shd w:val="clear" w:color="auto" w:fill="FFFFFF"/>
        <w:spacing w:after="240" w:line="276" w:lineRule="auto"/>
        <w:jc w:val="both"/>
        <w:rPr>
          <w:rFonts w:ascii="Times New Roman" w:eastAsia="Times New Roman" w:hAnsi="Times New Roman" w:cs="Times New Roman"/>
          <w:b/>
          <w:bCs/>
          <w:lang w:val="bg-BG"/>
        </w:rPr>
      </w:pPr>
      <w:r w:rsidRPr="00E15F8F">
        <w:rPr>
          <w:rFonts w:ascii="Times New Roman" w:eastAsia="Times New Roman" w:hAnsi="Times New Roman" w:cs="Times New Roman"/>
          <w:b/>
          <w:bCs/>
          <w:lang w:val="bg-BG"/>
        </w:rPr>
        <w:t>Планове за управление на речните басейни</w:t>
      </w:r>
    </w:p>
    <w:p w14:paraId="6B121CDA" w14:textId="77777777" w:rsidR="004E05D3" w:rsidRPr="00E15F8F" w:rsidRDefault="004E05D3" w:rsidP="004E05D3">
      <w:pPr>
        <w:shd w:val="clear" w:color="auto" w:fill="FFFFFF"/>
        <w:spacing w:after="120" w:line="276" w:lineRule="auto"/>
        <w:jc w:val="both"/>
        <w:rPr>
          <w:rFonts w:ascii="Times New Roman" w:hAnsi="Times New Roman" w:cs="Times New Roman"/>
          <w:lang w:val="bg-BG"/>
        </w:rPr>
      </w:pPr>
      <w:r w:rsidRPr="00E15F8F">
        <w:rPr>
          <w:rFonts w:ascii="Times New Roman" w:eastAsia="Batang" w:hAnsi="Times New Roman" w:cs="Times New Roman"/>
          <w:lang w:val="bg-BG"/>
        </w:rPr>
        <w:t xml:space="preserve">Плановете за управление на речните басейни се разработват от четирите дирекции за басейново управление, съгласно изискването на чл. 155, ал. 1, т. 2 от Закона за водите и чл. 13 на Рамковата директива за водите. Плановете се разработват за период от 6 години и представляват основен инструмент за интегрирано </w:t>
      </w:r>
      <w:r w:rsidRPr="00E15F8F">
        <w:rPr>
          <w:rFonts w:ascii="Times New Roman" w:hAnsi="Times New Roman" w:cs="Times New Roman"/>
          <w:lang w:val="bg-BG"/>
        </w:rPr>
        <w:t>управление на водите.</w:t>
      </w:r>
    </w:p>
    <w:p w14:paraId="30E9D108" w14:textId="77777777" w:rsidR="004E05D3" w:rsidRPr="00E15F8F" w:rsidRDefault="004E05D3" w:rsidP="004E05D3">
      <w:pPr>
        <w:shd w:val="clear" w:color="auto" w:fill="FFFFFF"/>
        <w:spacing w:after="120" w:line="276" w:lineRule="auto"/>
        <w:jc w:val="both"/>
        <w:rPr>
          <w:rFonts w:ascii="Times New Roman" w:eastAsia="Times New Roman" w:hAnsi="Times New Roman" w:cs="Times New Roman"/>
          <w:lang w:val="bg-BG"/>
        </w:rPr>
      </w:pPr>
      <w:r w:rsidRPr="00E15F8F">
        <w:rPr>
          <w:rFonts w:ascii="Times New Roman" w:hAnsi="Times New Roman" w:cs="Times New Roman"/>
          <w:lang w:val="bg-BG"/>
        </w:rPr>
        <w:t>Към момента на изготвяне на настоящата стратегия, в процес на разработване е трето поколение планове за управление за периода 2022 – 2027 г. ПУРБ</w:t>
      </w:r>
      <w:r w:rsidRPr="00E15F8F">
        <w:rPr>
          <w:rFonts w:ascii="Times New Roman" w:eastAsia="Times New Roman" w:hAnsi="Times New Roman" w:cs="Times New Roman"/>
          <w:lang w:val="bg-BG"/>
        </w:rPr>
        <w:t xml:space="preserve"> за следващия цикъл се актуализират чрез проект BG16M10P002-1.017-0001-C01 ПУРБ 2022 – 2027, финансиран чрез ОП „Околна среда“ 2014- 2020. В рамките на проекта се извършват проучвания, оценки, анализи и разработки, включително методики, подходи и критерии необходими за изпълнение на изискванията на </w:t>
      </w:r>
      <w:r w:rsidRPr="00E15F8F">
        <w:rPr>
          <w:rFonts w:ascii="Times New Roman" w:eastAsia="Times New Roman" w:hAnsi="Times New Roman" w:cs="Times New Roman"/>
          <w:lang w:val="bg-BG"/>
        </w:rPr>
        <w:lastRenderedPageBreak/>
        <w:t>европейското и националното законодателство, попълване на пропуските и изпълнение на препоръките на Европейската комисия при оценката на първите и вторите ПУРБ, включително актуализация на характеристиките на повърхностните и подземните водни тела и зоните за защита на водите.</w:t>
      </w:r>
    </w:p>
    <w:p w14:paraId="1504E0DF" w14:textId="77777777" w:rsidR="004E05D3" w:rsidRPr="00E15F8F" w:rsidRDefault="004E05D3" w:rsidP="004E05D3">
      <w:pPr>
        <w:shd w:val="clear" w:color="auto" w:fill="FFFFFF"/>
        <w:spacing w:after="240" w:line="276" w:lineRule="auto"/>
        <w:jc w:val="both"/>
        <w:rPr>
          <w:rFonts w:ascii="Times New Roman" w:eastAsia="Times New Roman" w:hAnsi="Times New Roman" w:cs="Times New Roman"/>
          <w:b/>
          <w:bCs/>
          <w:lang w:val="bg-BG"/>
        </w:rPr>
      </w:pPr>
      <w:r w:rsidRPr="00E15F8F">
        <w:rPr>
          <w:rFonts w:ascii="Times New Roman" w:eastAsia="Times New Roman" w:hAnsi="Times New Roman" w:cs="Times New Roman"/>
          <w:b/>
          <w:bCs/>
          <w:lang w:val="bg-BG"/>
        </w:rPr>
        <w:t>Планове за управление на риска от наводнения</w:t>
      </w:r>
    </w:p>
    <w:p w14:paraId="773390FE" w14:textId="0031ED21" w:rsidR="004E05D3" w:rsidRPr="00E15F8F" w:rsidRDefault="004710D6" w:rsidP="004E05D3">
      <w:pPr>
        <w:shd w:val="clear" w:color="auto" w:fill="FFFFFF"/>
        <w:spacing w:after="120" w:line="276" w:lineRule="auto"/>
        <w:jc w:val="both"/>
        <w:rPr>
          <w:rFonts w:ascii="Times New Roman" w:hAnsi="Times New Roman" w:cs="Times New Roman"/>
          <w:color w:val="000000"/>
          <w:shd w:val="clear" w:color="auto" w:fill="FFFFFF"/>
          <w:lang w:val="bg-BG"/>
        </w:rPr>
      </w:pPr>
      <w:r w:rsidRPr="00E15F8F">
        <w:rPr>
          <w:rFonts w:ascii="Times New Roman" w:eastAsia="Times New Roman" w:hAnsi="Times New Roman" w:cs="Times New Roman"/>
          <w:lang w:val="bg-BG"/>
        </w:rPr>
        <w:t>А</w:t>
      </w:r>
      <w:r w:rsidR="004E05D3" w:rsidRPr="00E15F8F">
        <w:rPr>
          <w:rFonts w:ascii="Times New Roman" w:eastAsia="Times New Roman" w:hAnsi="Times New Roman" w:cs="Times New Roman"/>
          <w:lang w:val="bg-BG"/>
        </w:rPr>
        <w:t xml:space="preserve">ктуализацията на плановите докумети за четирите района за басейново управление се извършва в рамките на проект BG16M1OP002-4.005-0001-C01: „ПУРН – втори цикъл 2022-2027 г.“, финансиран по Оперативна програма „Околна среда“ 2014-2020 г.“ </w:t>
      </w:r>
      <w:bookmarkStart w:id="4" w:name="_Hlk71236399"/>
      <w:r w:rsidR="004E05D3" w:rsidRPr="00E15F8F">
        <w:rPr>
          <w:rFonts w:ascii="Times New Roman" w:eastAsia="Times New Roman" w:hAnsi="Times New Roman" w:cs="Times New Roman"/>
          <w:lang w:val="bg-BG"/>
        </w:rPr>
        <w:t>Към датата на изготвяне на настоящия доклад, е стартирало изпълнението на всички основни дейности, включени в проекта.</w:t>
      </w:r>
    </w:p>
    <w:bookmarkEnd w:id="4"/>
    <w:p w14:paraId="104E5324" w14:textId="77777777" w:rsidR="004E05D3" w:rsidRPr="00E15F8F" w:rsidRDefault="004E05D3" w:rsidP="004E05D3">
      <w:pPr>
        <w:shd w:val="clear" w:color="auto" w:fill="FFFFFF"/>
        <w:spacing w:after="120" w:line="276" w:lineRule="auto"/>
        <w:jc w:val="both"/>
        <w:rPr>
          <w:rFonts w:ascii="Times New Roman" w:hAnsi="Times New Roman" w:cs="Times New Roman"/>
          <w:color w:val="000000"/>
          <w:shd w:val="clear" w:color="auto" w:fill="FFFFFF"/>
          <w:lang w:val="bg-BG"/>
        </w:rPr>
      </w:pPr>
      <w:r w:rsidRPr="00E15F8F">
        <w:rPr>
          <w:rFonts w:ascii="Times New Roman" w:hAnsi="Times New Roman" w:cs="Times New Roman"/>
          <w:color w:val="000000"/>
          <w:shd w:val="clear" w:color="auto" w:fill="FFFFFF"/>
          <w:lang w:val="bg-BG"/>
        </w:rPr>
        <w:t>На база на докладите на ЕК за България в рамките на първия цикъл на прилагане на Директивата за наводненията и препоръките за цялостно приложение на директивата на европейско ниво, е извършена актуализация на методиката за предварителна оценка на риска от наводнения по отношение на:</w:t>
      </w:r>
    </w:p>
    <w:p w14:paraId="27D85117" w14:textId="77777777" w:rsidR="004E05D3" w:rsidRPr="00E15F8F" w:rsidRDefault="004E05D3" w:rsidP="004E05D3">
      <w:pPr>
        <w:pStyle w:val="ListParagraph"/>
        <w:numPr>
          <w:ilvl w:val="0"/>
          <w:numId w:val="4"/>
        </w:numPr>
        <w:shd w:val="clear" w:color="auto" w:fill="FFFFFF"/>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критериите и праговете за оценка на минали и потенциални бъдещи наводнения със значителни неблагоприятни последици;</w:t>
      </w:r>
    </w:p>
    <w:p w14:paraId="30AB9DFF" w14:textId="77777777" w:rsidR="004E05D3" w:rsidRPr="00E15F8F" w:rsidRDefault="004E05D3" w:rsidP="004E05D3">
      <w:pPr>
        <w:pStyle w:val="ListParagraph"/>
        <w:numPr>
          <w:ilvl w:val="0"/>
          <w:numId w:val="4"/>
        </w:numPr>
        <w:shd w:val="clear" w:color="auto" w:fill="FFFFFF"/>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създаване на подход за оценка на влиянието на климатичните промени върху честотата и мащаба на всички типове наводнения;</w:t>
      </w:r>
    </w:p>
    <w:p w14:paraId="42D913C8" w14:textId="77777777" w:rsidR="004E05D3" w:rsidRPr="00E15F8F" w:rsidRDefault="004E05D3" w:rsidP="00E15F8F">
      <w:pPr>
        <w:pStyle w:val="ListParagraph"/>
        <w:numPr>
          <w:ilvl w:val="0"/>
          <w:numId w:val="4"/>
        </w:numPr>
        <w:shd w:val="clear" w:color="auto" w:fill="FFFFFF"/>
        <w:spacing w:before="120" w:after="120" w:line="264" w:lineRule="auto"/>
        <w:jc w:val="both"/>
        <w:rPr>
          <w:rFonts w:ascii="Times New Roman" w:eastAsia="Times New Roman" w:hAnsi="Times New Roman" w:cs="Times New Roman"/>
          <w:b/>
          <w:bCs/>
          <w:lang w:val="bg-BG"/>
        </w:rPr>
      </w:pPr>
      <w:r w:rsidRPr="00E15F8F">
        <w:rPr>
          <w:rFonts w:ascii="Times New Roman" w:eastAsia="Times New Roman" w:hAnsi="Times New Roman" w:cs="Times New Roman"/>
          <w:lang w:val="bg-BG"/>
        </w:rPr>
        <w:t>създаване на подход за оценка на заплахата от наводнения, причинени от интензивни валежи;</w:t>
      </w:r>
    </w:p>
    <w:p w14:paraId="1CD8B8D3" w14:textId="77777777" w:rsidR="004E05D3" w:rsidRPr="00E15F8F" w:rsidRDefault="004E05D3" w:rsidP="00E15F8F">
      <w:pPr>
        <w:pStyle w:val="ListParagraph"/>
        <w:numPr>
          <w:ilvl w:val="0"/>
          <w:numId w:val="4"/>
        </w:numPr>
        <w:shd w:val="clear" w:color="auto" w:fill="FFFFFF"/>
        <w:spacing w:before="120" w:after="120" w:line="264" w:lineRule="auto"/>
        <w:jc w:val="both"/>
        <w:rPr>
          <w:rFonts w:ascii="Times New Roman" w:eastAsia="Times New Roman" w:hAnsi="Times New Roman" w:cs="Times New Roman"/>
          <w:b/>
          <w:bCs/>
          <w:lang w:val="bg-BG"/>
        </w:rPr>
      </w:pPr>
      <w:r w:rsidRPr="00E15F8F">
        <w:rPr>
          <w:rFonts w:ascii="Times New Roman" w:eastAsia="Times New Roman" w:hAnsi="Times New Roman" w:cs="Times New Roman"/>
          <w:lang w:val="bg-BG"/>
        </w:rPr>
        <w:t>създаване на концепция за структуриране на информацията за изпълнение на ПОРН.</w:t>
      </w:r>
    </w:p>
    <w:p w14:paraId="41372FF9" w14:textId="77777777" w:rsidR="004E05D3" w:rsidRPr="00E15F8F" w:rsidRDefault="004E05D3" w:rsidP="00E15F8F">
      <w:pPr>
        <w:shd w:val="clear" w:color="auto" w:fill="FFFFFF"/>
        <w:spacing w:before="120" w:after="120" w:line="264"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Методиката е утвърдена със Заповед №РД-940/20.11.2020 г. на министъра на ОСВ и е публикувана на интернет страницата на ведомството.</w:t>
      </w:r>
    </w:p>
    <w:p w14:paraId="7D383B92" w14:textId="77777777" w:rsidR="004E05D3" w:rsidRPr="00E15F8F" w:rsidRDefault="004E05D3" w:rsidP="00E15F8F">
      <w:pPr>
        <w:shd w:val="clear" w:color="auto" w:fill="FFFFFF"/>
        <w:spacing w:before="120" w:after="120" w:line="264"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По отношение актуализацията на ПОРН, в т.ч определянето на районите със значителен потенциален риск от наводнения, след края на обществените консултации (7 юни, 2021) ще бъде изготвен финален вариант на документа.</w:t>
      </w:r>
    </w:p>
    <w:p w14:paraId="71524141" w14:textId="77777777" w:rsidR="004E05D3" w:rsidRPr="00E15F8F" w:rsidRDefault="004E05D3" w:rsidP="00E15F8F">
      <w:pPr>
        <w:shd w:val="clear" w:color="auto" w:fill="FFFFFF"/>
        <w:spacing w:before="120" w:after="120" w:line="264"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В краткосрочен план предстои и финализирането на Актуализираната методика за карти на заплахата и на риска от наводнения.</w:t>
      </w:r>
    </w:p>
    <w:p w14:paraId="7B9E4622" w14:textId="77777777" w:rsidR="004E05D3" w:rsidRPr="00E15F8F" w:rsidRDefault="004E05D3" w:rsidP="00E15F8F">
      <w:pPr>
        <w:shd w:val="clear" w:color="auto" w:fill="FFFFFF"/>
        <w:spacing w:before="120" w:after="120" w:line="264" w:lineRule="auto"/>
        <w:jc w:val="both"/>
        <w:rPr>
          <w:rFonts w:ascii="Times New Roman" w:eastAsia="Times New Roman" w:hAnsi="Times New Roman" w:cs="Times New Roman"/>
          <w:b/>
          <w:bCs/>
          <w:lang w:val="bg-BG"/>
        </w:rPr>
      </w:pPr>
      <w:bookmarkStart w:id="5" w:name="_Hlk72858190"/>
      <w:r w:rsidRPr="00E15F8F">
        <w:rPr>
          <w:rFonts w:ascii="Times New Roman" w:eastAsia="Times New Roman" w:hAnsi="Times New Roman" w:cs="Times New Roman"/>
          <w:b/>
          <w:bCs/>
          <w:lang w:val="bg-BG"/>
        </w:rPr>
        <w:t>Морска стратегия на Република България</w:t>
      </w:r>
    </w:p>
    <w:bookmarkEnd w:id="5"/>
    <w:p w14:paraId="01F5795F" w14:textId="77777777" w:rsidR="004E05D3" w:rsidRPr="00E15F8F" w:rsidRDefault="004E05D3" w:rsidP="00E15F8F">
      <w:pPr>
        <w:shd w:val="clear" w:color="auto" w:fill="FFFFFF"/>
        <w:spacing w:before="120" w:after="120" w:line="264" w:lineRule="auto"/>
        <w:jc w:val="both"/>
        <w:rPr>
          <w:rFonts w:ascii="Times New Roman" w:hAnsi="Times New Roman" w:cs="Times New Roman"/>
          <w:shd w:val="clear" w:color="auto" w:fill="FFFFFF"/>
          <w:lang w:val="bg-BG"/>
        </w:rPr>
      </w:pPr>
      <w:r w:rsidRPr="00E15F8F">
        <w:rPr>
          <w:rFonts w:ascii="Times New Roman" w:hAnsi="Times New Roman" w:cs="Times New Roman"/>
          <w:shd w:val="clear" w:color="auto" w:fill="FFFFFF"/>
          <w:lang w:val="bg-BG"/>
        </w:rPr>
        <w:t xml:space="preserve">В изпълнение на изискванията на Рамковата Директива за Морска Стратегия 2008/56/ЕС </w:t>
      </w:r>
      <w:r w:rsidRPr="00E15F8F">
        <w:rPr>
          <w:rFonts w:ascii="Times New Roman" w:hAnsi="Times New Roman" w:cs="Times New Roman"/>
          <w:color w:val="000000" w:themeColor="text1"/>
          <w:shd w:val="clear" w:color="auto" w:fill="FFFFFF"/>
          <w:lang w:val="bg-BG"/>
        </w:rPr>
        <w:t>(РДМС) с </w:t>
      </w:r>
      <w:hyperlink r:id="rId22" w:history="1">
        <w:r w:rsidRPr="00E15F8F">
          <w:rPr>
            <w:rStyle w:val="Hyperlink"/>
            <w:rFonts w:ascii="Times New Roman" w:hAnsi="Times New Roman" w:cs="Times New Roman"/>
            <w:color w:val="000000" w:themeColor="text1"/>
            <w:shd w:val="clear" w:color="auto" w:fill="FFFFFF"/>
            <w:lang w:val="bg-BG"/>
          </w:rPr>
          <w:t>Решение № 1111/29.12.2016 г.</w:t>
        </w:r>
      </w:hyperlink>
      <w:r w:rsidRPr="00E15F8F">
        <w:rPr>
          <w:rFonts w:ascii="Times New Roman" w:hAnsi="Times New Roman" w:cs="Times New Roman"/>
          <w:color w:val="000000" w:themeColor="text1"/>
          <w:shd w:val="clear" w:color="auto" w:fill="FFFFFF"/>
          <w:lang w:val="bg-BG"/>
        </w:rPr>
        <w:t> Министерския съвет прие </w:t>
      </w:r>
      <w:hyperlink r:id="rId23" w:history="1">
        <w:r w:rsidRPr="00E15F8F">
          <w:rPr>
            <w:rStyle w:val="Hyperlink"/>
            <w:rFonts w:ascii="Times New Roman" w:hAnsi="Times New Roman" w:cs="Times New Roman"/>
            <w:color w:val="000000" w:themeColor="text1"/>
            <w:shd w:val="clear" w:color="auto" w:fill="FFFFFF"/>
            <w:lang w:val="bg-BG"/>
          </w:rPr>
          <w:t>Морска стратегия за опазване на околната среда в морските води на Република България и програма от мерки</w:t>
        </w:r>
      </w:hyperlink>
      <w:r w:rsidRPr="00E15F8F">
        <w:rPr>
          <w:rFonts w:ascii="Times New Roman" w:hAnsi="Times New Roman" w:cs="Times New Roman"/>
          <w:shd w:val="clear" w:color="auto" w:fill="FFFFFF"/>
          <w:lang w:val="bg-BG"/>
        </w:rPr>
        <w:t> за постигане и поддържане на добро състояние на морската околна среда.</w:t>
      </w:r>
    </w:p>
    <w:p w14:paraId="413DDE18" w14:textId="77777777" w:rsidR="004E05D3" w:rsidRPr="00E15F8F" w:rsidRDefault="004E05D3" w:rsidP="004E05D3">
      <w:pPr>
        <w:shd w:val="clear" w:color="auto" w:fill="FFFFFF"/>
        <w:spacing w:after="120" w:line="276" w:lineRule="auto"/>
        <w:jc w:val="both"/>
        <w:rPr>
          <w:rFonts w:ascii="Times New Roman" w:eastAsia="Times New Roman" w:hAnsi="Times New Roman" w:cs="Times New Roman"/>
          <w:lang w:val="bg-BG"/>
        </w:rPr>
      </w:pPr>
      <w:r w:rsidRPr="00E15F8F">
        <w:rPr>
          <w:rFonts w:ascii="Times New Roman" w:hAnsi="Times New Roman" w:cs="Times New Roman"/>
          <w:lang w:val="bg-BG"/>
        </w:rPr>
        <w:t xml:space="preserve">Първоначалната оценка на състоянието на морската околна среда (съгласно чл. 8 от РДМС), дефинициите за добро състояние на морската околна среда - ДСМОС (съгласно чл. 9 РДМС) и набелязването на екологични цели и свързаните с тях индикатори (съгласно чл. 10 РДМС) представляват първата част от морската стратегия. Разработени са през 2012 г. </w:t>
      </w:r>
    </w:p>
    <w:p w14:paraId="7D7E1B7B" w14:textId="77777777" w:rsidR="004E05D3" w:rsidRPr="00E15F8F" w:rsidRDefault="004E05D3" w:rsidP="004E05D3">
      <w:pPr>
        <w:shd w:val="clear" w:color="auto" w:fill="FFFFFF"/>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Програмата за мониторинг (съгласно чл. 11 от РДМС) е втората част на Морската стратегия за опазване на околната среда в морските води и е разработена през 2014 г.</w:t>
      </w:r>
    </w:p>
    <w:p w14:paraId="69F12994" w14:textId="77777777" w:rsidR="004E05D3" w:rsidRPr="00E15F8F" w:rsidRDefault="004E05D3" w:rsidP="004E05D3">
      <w:pPr>
        <w:shd w:val="clear" w:color="auto" w:fill="FFFFFF"/>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lastRenderedPageBreak/>
        <w:t>Съгласно РДМС, оценката на състоянието на морската околна среда се извършва на база единадесет качествени дескриптори (характеристики): Дескриптор 1 Биологично разнообразие; Дескриптор 2 Неместни видове;  Дескриптор 3 Търговски видове риби и черупкови, обект на промишлен риболов; Дескриптор 4 Хранителни мрежи; Дескриптор 5 Еутрофикация; Дескриптор 6 Цялост на морското дъно; Дескриптор 7 Изменения на хидрографските условия; Дескриптор 8 Концентрации на химични замърсители в морската околна среда; Дескриптор 9 Замърсители в риба и други морски храни; Дескриптор 10 Морски отпадъци; Дескриптор 11 Въвеждане на подводен шум и енергия в морската околна среда.</w:t>
      </w:r>
    </w:p>
    <w:p w14:paraId="63D5022F" w14:textId="77777777" w:rsidR="004E05D3" w:rsidRPr="00E15F8F" w:rsidRDefault="004E05D3" w:rsidP="004E05D3">
      <w:pPr>
        <w:shd w:val="clear" w:color="auto" w:fill="FFFFFF"/>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Програмата от мерки е третата част на стратегията, разработена през периода 2015 – 2016 г. Програмата е с период на действие 2016 – 2021 г. и включва:</w:t>
      </w:r>
    </w:p>
    <w:p w14:paraId="7DC1A2BB" w14:textId="77777777" w:rsidR="004E05D3" w:rsidRPr="00E15F8F" w:rsidRDefault="004E05D3" w:rsidP="004E05D3">
      <w:pPr>
        <w:numPr>
          <w:ilvl w:val="0"/>
          <w:numId w:val="4"/>
        </w:numPr>
        <w:shd w:val="clear" w:color="auto" w:fill="FFFFFF"/>
        <w:spacing w:before="120" w:after="120" w:line="264" w:lineRule="auto"/>
        <w:contextualSpacing/>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мерки свързани с наземни дейности извън РДВ;</w:t>
      </w:r>
    </w:p>
    <w:p w14:paraId="088CE216" w14:textId="77777777" w:rsidR="004E05D3" w:rsidRPr="00E15F8F" w:rsidRDefault="004E05D3" w:rsidP="004E05D3">
      <w:pPr>
        <w:numPr>
          <w:ilvl w:val="0"/>
          <w:numId w:val="4"/>
        </w:numPr>
        <w:shd w:val="clear" w:color="auto" w:fill="FFFFFF"/>
        <w:spacing w:before="120" w:after="120" w:line="264" w:lineRule="auto"/>
        <w:contextualSpacing/>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мерки, свързани с управлението на морските защитени зони;</w:t>
      </w:r>
    </w:p>
    <w:p w14:paraId="1FCA2D1A" w14:textId="77777777" w:rsidR="004E05D3" w:rsidRPr="00E15F8F" w:rsidRDefault="004E05D3" w:rsidP="004E05D3">
      <w:pPr>
        <w:numPr>
          <w:ilvl w:val="0"/>
          <w:numId w:val="4"/>
        </w:numPr>
        <w:shd w:val="clear" w:color="auto" w:fill="FFFFFF"/>
        <w:spacing w:before="120" w:after="120" w:line="264" w:lineRule="auto"/>
        <w:contextualSpacing/>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мерки, свързани с рибарството;</w:t>
      </w:r>
    </w:p>
    <w:p w14:paraId="2A310062" w14:textId="77777777" w:rsidR="004E05D3" w:rsidRPr="00E15F8F" w:rsidRDefault="004E05D3" w:rsidP="004E05D3">
      <w:pPr>
        <w:numPr>
          <w:ilvl w:val="0"/>
          <w:numId w:val="4"/>
        </w:numPr>
        <w:shd w:val="clear" w:color="auto" w:fill="FFFFFF"/>
        <w:spacing w:before="120" w:after="120" w:line="264" w:lineRule="auto"/>
        <w:contextualSpacing/>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мерки, свързани с морските отпадъци;</w:t>
      </w:r>
    </w:p>
    <w:p w14:paraId="34E88373" w14:textId="77777777" w:rsidR="004E05D3" w:rsidRPr="00E15F8F" w:rsidRDefault="004E05D3" w:rsidP="004E05D3">
      <w:pPr>
        <w:numPr>
          <w:ilvl w:val="0"/>
          <w:numId w:val="4"/>
        </w:numPr>
        <w:shd w:val="clear" w:color="auto" w:fill="FFFFFF"/>
        <w:spacing w:before="120" w:after="120" w:line="264" w:lineRule="auto"/>
        <w:contextualSpacing/>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мерки, свързани с подводния шум;</w:t>
      </w:r>
    </w:p>
    <w:p w14:paraId="57079011" w14:textId="77777777" w:rsidR="004E05D3" w:rsidRPr="00E15F8F" w:rsidRDefault="004E05D3" w:rsidP="004E05D3">
      <w:pPr>
        <w:numPr>
          <w:ilvl w:val="0"/>
          <w:numId w:val="4"/>
        </w:numPr>
        <w:shd w:val="clear" w:color="auto" w:fill="FFFFFF"/>
        <w:spacing w:before="120" w:after="120" w:line="264" w:lineRule="auto"/>
        <w:contextualSpacing/>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мерки, свързани с корабоплаването.</w:t>
      </w:r>
    </w:p>
    <w:p w14:paraId="582ECC58" w14:textId="77777777" w:rsidR="004E05D3" w:rsidRPr="00E15F8F" w:rsidRDefault="004E05D3" w:rsidP="004E05D3">
      <w:pPr>
        <w:shd w:val="clear" w:color="auto" w:fill="FFFFFF"/>
        <w:spacing w:before="120" w:after="120" w:line="264"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Мерките обхващат 9 теми, седем от които са обвързани с единадесетте качествени дескриптори на морската среда и две допълнителни теми по отношение на защитените морски зони и по общото управление и координация между администрациите, участието на обществеността..</w:t>
      </w:r>
    </w:p>
    <w:p w14:paraId="16622297" w14:textId="77777777" w:rsidR="004E05D3" w:rsidRPr="00E15F8F" w:rsidRDefault="004E05D3" w:rsidP="004E05D3">
      <w:pPr>
        <w:shd w:val="clear" w:color="auto" w:fill="FFFFFF"/>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Изпълнението на стратегията се извършва и в контекста на различни форми на регионално и трансгранично сътрудничество, в които страната участва. България е страна и по няколко международни Конвенции в областта на водите, сред които – Конвенция за сътрудничество при опазването и устойчивото използване на река Дунав, Конвенция за опазване на Черно море от замърсяване и Конвенция за опазване и използване на трансграничните водни течения и международните езера.</w:t>
      </w:r>
    </w:p>
    <w:p w14:paraId="4DD5AD6E" w14:textId="77777777" w:rsidR="004E05D3" w:rsidRPr="00E15F8F" w:rsidRDefault="004E05D3" w:rsidP="004E05D3">
      <w:pPr>
        <w:autoSpaceDE w:val="0"/>
        <w:autoSpaceDN w:val="0"/>
        <w:adjustRightInd w:val="0"/>
        <w:spacing w:before="120" w:after="120" w:line="264" w:lineRule="auto"/>
        <w:jc w:val="both"/>
        <w:rPr>
          <w:rFonts w:ascii="Times New Roman" w:eastAsia="Times New Roman,Bold" w:hAnsi="Times New Roman" w:cs="Times New Roman"/>
          <w:color w:val="000000"/>
          <w:lang w:val="bg-BG"/>
        </w:rPr>
      </w:pPr>
      <w:r w:rsidRPr="00E15F8F">
        <w:rPr>
          <w:rFonts w:ascii="Times New Roman" w:eastAsia="Times New Roman,Bold" w:hAnsi="Times New Roman" w:cs="Times New Roman"/>
          <w:color w:val="000000"/>
          <w:lang w:val="bg-BG"/>
        </w:rPr>
        <w:t>Съгласно Програмата от мерки към Морската стратегия, БДЧР самостоятелно или в партньорство, участва с други компетентни органи в изпълнението на следните мерки:</w:t>
      </w:r>
    </w:p>
    <w:p w14:paraId="196B461B" w14:textId="77777777" w:rsidR="004E05D3" w:rsidRPr="00E15F8F" w:rsidRDefault="004E05D3" w:rsidP="004E05D3">
      <w:pPr>
        <w:autoSpaceDE w:val="0"/>
        <w:autoSpaceDN w:val="0"/>
        <w:adjustRightInd w:val="0"/>
        <w:spacing w:after="120" w:line="240" w:lineRule="auto"/>
        <w:jc w:val="both"/>
        <w:rPr>
          <w:rFonts w:ascii="Times New Roman" w:eastAsia="Times New Roman,Bold" w:hAnsi="Times New Roman" w:cs="Times New Roman"/>
          <w:color w:val="000000"/>
          <w:lang w:val="bg-BG"/>
        </w:rPr>
      </w:pPr>
      <w:r w:rsidRPr="00E15F8F">
        <w:rPr>
          <w:rFonts w:ascii="Times New Roman" w:eastAsia="Times New Roman,Bold" w:hAnsi="Times New Roman" w:cs="Times New Roman"/>
          <w:color w:val="000000"/>
          <w:lang w:val="bg-BG"/>
        </w:rPr>
        <w:t>Мярка № 3 “Приемане и прилагане на Регионален план за действие за Черно море по отношение на морските отпадъци“;</w:t>
      </w:r>
    </w:p>
    <w:p w14:paraId="436D37ED" w14:textId="77777777" w:rsidR="004E05D3" w:rsidRPr="00E15F8F" w:rsidRDefault="004E05D3" w:rsidP="004E05D3">
      <w:pPr>
        <w:autoSpaceDE w:val="0"/>
        <w:autoSpaceDN w:val="0"/>
        <w:adjustRightInd w:val="0"/>
        <w:spacing w:after="120" w:line="240"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Мярка № 5 „Координирано организиране/подкрепа на провеждането на годишни кампании за повишаване на осведомеността на бизнес сектора и обществеността по отношение на последствията върху морската околна среда, причинени от морски отпадъци;</w:t>
      </w:r>
    </w:p>
    <w:p w14:paraId="500748D4" w14:textId="77777777" w:rsidR="004E05D3" w:rsidRPr="00E15F8F" w:rsidRDefault="004E05D3" w:rsidP="004E05D3">
      <w:pPr>
        <w:autoSpaceDE w:val="0"/>
        <w:autoSpaceDN w:val="0"/>
        <w:adjustRightInd w:val="0"/>
        <w:spacing w:after="120" w:line="240"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Мярка № 16 „ Разработване и прилагане на общ план за действие за ранно откриване, и смекчаване, и оценка на въздействието на неместни видове“;</w:t>
      </w:r>
    </w:p>
    <w:p w14:paraId="4281BCAA" w14:textId="77777777" w:rsidR="004E05D3" w:rsidRPr="00E15F8F" w:rsidRDefault="004E05D3" w:rsidP="004E05D3">
      <w:pPr>
        <w:autoSpaceDE w:val="0"/>
        <w:autoSpaceDN w:val="0"/>
        <w:adjustRightInd w:val="0"/>
        <w:spacing w:after="120" w:line="240"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Мярка № 17 „Изменение на съществуващото законодателство, при необходимост, чрез въвеждане на разрешителен режим за дейности в морската среда или други регулаторни</w:t>
      </w:r>
      <w:r w:rsidRPr="00E15F8F">
        <w:rPr>
          <w:rFonts w:ascii="Times New Roman" w:eastAsia="Times New Roman,Bold" w:hAnsi="Times New Roman" w:cs="Times New Roman"/>
          <w:sz w:val="24"/>
          <w:szCs w:val="24"/>
          <w:lang w:val="bg-BG"/>
        </w:rPr>
        <w:t xml:space="preserve"> </w:t>
      </w:r>
      <w:r w:rsidRPr="00E15F8F">
        <w:rPr>
          <w:rFonts w:ascii="Times New Roman" w:eastAsia="Times New Roman,Bold" w:hAnsi="Times New Roman" w:cs="Times New Roman"/>
          <w:lang w:val="bg-BG"/>
        </w:rPr>
        <w:t>изменения“;</w:t>
      </w:r>
    </w:p>
    <w:p w14:paraId="062FA2D3" w14:textId="77777777" w:rsidR="004E05D3" w:rsidRPr="00E15F8F" w:rsidRDefault="004E05D3" w:rsidP="00E15F8F">
      <w:pPr>
        <w:autoSpaceDE w:val="0"/>
        <w:autoSpaceDN w:val="0"/>
        <w:adjustRightInd w:val="0"/>
        <w:spacing w:before="120" w:after="120" w:line="264"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„Мониторинг на избрани видове морски птици за 2018 г., съгласно Програмата за мониторинг по Дескриптор 1 - Биоразнообразие на Рамковата директива за морска стратегия“;</w:t>
      </w:r>
    </w:p>
    <w:p w14:paraId="6C861CB1" w14:textId="77777777" w:rsidR="004E05D3" w:rsidRPr="00E15F8F" w:rsidRDefault="004E05D3" w:rsidP="00E15F8F">
      <w:pPr>
        <w:autoSpaceDE w:val="0"/>
        <w:autoSpaceDN w:val="0"/>
        <w:adjustRightInd w:val="0"/>
        <w:spacing w:before="120" w:after="120" w:line="264"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„Провеждане на мониторинг на макроотпадъци по плажните/бреговите ивици на Северното и Южното Черноморие за 2018 г. съгласно Програмата за мониторинг по Дескриптор 10 – Морски отпадъци и РДМС“.</w:t>
      </w:r>
    </w:p>
    <w:p w14:paraId="70079A4C" w14:textId="77777777" w:rsidR="004E05D3" w:rsidRPr="00E15F8F" w:rsidRDefault="004E05D3" w:rsidP="00E15F8F">
      <w:pPr>
        <w:autoSpaceDE w:val="0"/>
        <w:autoSpaceDN w:val="0"/>
        <w:adjustRightInd w:val="0"/>
        <w:spacing w:before="120" w:after="120" w:line="264" w:lineRule="auto"/>
        <w:jc w:val="both"/>
        <w:rPr>
          <w:rFonts w:ascii="Times New Roman" w:eastAsia="Times New Roman" w:hAnsi="Times New Roman" w:cs="Times New Roman"/>
          <w:b/>
          <w:bCs/>
          <w:lang w:val="bg-BG"/>
        </w:rPr>
      </w:pPr>
      <w:r w:rsidRPr="00E15F8F">
        <w:rPr>
          <w:rFonts w:ascii="Times New Roman" w:eastAsia="Times New Roman,Bold" w:hAnsi="Times New Roman" w:cs="Times New Roman"/>
          <w:lang w:val="bg-BG"/>
        </w:rPr>
        <w:lastRenderedPageBreak/>
        <w:t>Актуализацията на Морската стратегия (втори цикъл) за периода 2021-2027 г. е планирано с финансовата подкрепа на програма „Опазване на околната среда и климатични промени“ (ООСКП) на ФМ на ЕИП 2014-2021 г., средства от държавния бюджет и Предприятието за управление на дейностите по околна среда.</w:t>
      </w:r>
    </w:p>
    <w:p w14:paraId="6EB75A4E" w14:textId="77777777" w:rsidR="004E05D3" w:rsidRPr="00E15F8F" w:rsidRDefault="004E05D3" w:rsidP="00E15F8F">
      <w:pPr>
        <w:shd w:val="clear" w:color="auto" w:fill="FFFFFF"/>
        <w:spacing w:before="120" w:after="120" w:line="264" w:lineRule="auto"/>
        <w:jc w:val="both"/>
        <w:rPr>
          <w:rFonts w:ascii="Times New Roman" w:eastAsia="Times New Roman" w:hAnsi="Times New Roman" w:cs="Times New Roman"/>
          <w:lang w:val="bg-BG"/>
        </w:rPr>
      </w:pPr>
      <w:bookmarkStart w:id="6" w:name="_Hlk72858209"/>
      <w:r w:rsidRPr="00E15F8F">
        <w:rPr>
          <w:rFonts w:ascii="Times New Roman" w:eastAsia="Times New Roman" w:hAnsi="Times New Roman" w:cs="Times New Roman"/>
          <w:b/>
          <w:bCs/>
          <w:lang w:val="bg-BG"/>
        </w:rPr>
        <w:t>Законодателна основа</w:t>
      </w:r>
      <w:r w:rsidRPr="00E15F8F">
        <w:rPr>
          <w:rFonts w:ascii="Times New Roman" w:eastAsia="Times New Roman" w:hAnsi="Times New Roman" w:cs="Times New Roman"/>
          <w:lang w:val="bg-BG"/>
        </w:rPr>
        <w:t xml:space="preserve"> за планиране и изпълнение на политиките, свързани с опазване и управление на водите на територията на Република България са Закона за опазване на околната среда, Закона за водите и пакет от наредби, въвеждащи регулации и механизми за мониторинг, опазване и използване на водните ресурси.</w:t>
      </w:r>
    </w:p>
    <w:bookmarkEnd w:id="6"/>
    <w:p w14:paraId="0B10568E" w14:textId="77777777" w:rsidR="004E05D3" w:rsidRPr="00E15F8F" w:rsidRDefault="004E05D3" w:rsidP="00E15F8F">
      <w:pPr>
        <w:shd w:val="clear" w:color="auto" w:fill="FFFFFF"/>
        <w:spacing w:before="120" w:after="120" w:line="264" w:lineRule="auto"/>
        <w:jc w:val="both"/>
        <w:rPr>
          <w:rFonts w:ascii="Times New Roman" w:eastAsia="Times New Roman" w:hAnsi="Times New Roman" w:cs="Times New Roman"/>
          <w:lang w:val="bg-BG"/>
        </w:rPr>
      </w:pPr>
      <w:r w:rsidRPr="00E15F8F">
        <w:rPr>
          <w:rFonts w:ascii="Times New Roman" w:eastAsia="Times New Roman" w:hAnsi="Times New Roman" w:cs="Times New Roman"/>
          <w:b/>
          <w:bCs/>
          <w:lang w:val="bg-BG"/>
        </w:rPr>
        <w:t xml:space="preserve">Законът за опазването на околната среда </w:t>
      </w:r>
      <w:r w:rsidRPr="00E15F8F">
        <w:rPr>
          <w:rFonts w:ascii="Times New Roman" w:eastAsia="Times New Roman" w:hAnsi="Times New Roman" w:cs="Times New Roman"/>
          <w:lang w:val="bg-BG"/>
        </w:rPr>
        <w:t>(</w:t>
      </w:r>
      <w:r w:rsidRPr="00E15F8F">
        <w:rPr>
          <w:rFonts w:ascii="Times New Roman" w:hAnsi="Times New Roman" w:cs="Times New Roman"/>
          <w:color w:val="000000"/>
          <w:shd w:val="clear" w:color="auto" w:fill="FEFEFE"/>
          <w:lang w:val="bg-BG"/>
        </w:rPr>
        <w:t>обн. ДВ. бр.91 от 25 септември 2002г., изм. ДВ. бр.21 от 12 март 2021г.</w:t>
      </w:r>
      <w:r w:rsidRPr="00E15F8F">
        <w:rPr>
          <w:rFonts w:ascii="Times New Roman" w:eastAsia="Times New Roman" w:hAnsi="Times New Roman" w:cs="Times New Roman"/>
          <w:lang w:val="bg-BG"/>
        </w:rPr>
        <w:t>) въвежда основните принципи по отношение опазването и ползването на компонентите на околната среда, включително водните ресурси. Чл. 35 на Закона подчертава дългосрочния характер на държавната политика по опазване и използване на водите и водните обекти, основана на рационално управление на национално и ниво райони на басейново управление, с основна цел постигане на добро състояние за всички води, осигуряване на необходимото количество и качество на вода за настоящите и бъдещите поколения, постигане на благоприятно природозащитно състояние и развитие на екосистемите и влажните зони, както и баланс между експлоатация и естествено възстановяване.</w:t>
      </w:r>
    </w:p>
    <w:p w14:paraId="0CD52E93" w14:textId="77777777" w:rsidR="004E05D3" w:rsidRPr="00E15F8F" w:rsidRDefault="004E05D3" w:rsidP="00E15F8F">
      <w:pPr>
        <w:spacing w:before="120" w:after="120" w:line="264" w:lineRule="auto"/>
        <w:jc w:val="both"/>
        <w:rPr>
          <w:rFonts w:ascii="Times New Roman" w:eastAsia="Times New Roman" w:hAnsi="Times New Roman" w:cs="Times New Roman"/>
          <w:lang w:val="bg-BG"/>
        </w:rPr>
      </w:pPr>
      <w:r w:rsidRPr="00E15F8F">
        <w:rPr>
          <w:rFonts w:ascii="Times New Roman" w:eastAsia="Times New Roman" w:hAnsi="Times New Roman" w:cs="Times New Roman"/>
          <w:b/>
          <w:bCs/>
          <w:lang w:val="bg-BG"/>
        </w:rPr>
        <w:t xml:space="preserve">Законът за водите </w:t>
      </w:r>
      <w:r w:rsidRPr="00E15F8F">
        <w:rPr>
          <w:rFonts w:ascii="Times New Roman" w:eastAsia="Times New Roman" w:hAnsi="Times New Roman" w:cs="Times New Roman"/>
          <w:lang w:val="bg-BG"/>
        </w:rPr>
        <w:t>(</w:t>
      </w:r>
      <w:r w:rsidRPr="00E15F8F">
        <w:rPr>
          <w:rFonts w:ascii="Times New Roman" w:hAnsi="Times New Roman" w:cs="Times New Roman"/>
          <w:color w:val="000000"/>
          <w:shd w:val="clear" w:color="auto" w:fill="FEFEFE"/>
          <w:lang w:val="bg-BG"/>
        </w:rPr>
        <w:t>обн. ДВ. бр.67 от 27 юли 1999г., изм. и доп. ДВ. бр.17 от 26 февруари 2021г.</w:t>
      </w:r>
      <w:r w:rsidRPr="00E15F8F">
        <w:rPr>
          <w:rFonts w:ascii="Times New Roman" w:eastAsia="Times New Roman" w:hAnsi="Times New Roman" w:cs="Times New Roman"/>
          <w:lang w:val="bg-BG"/>
        </w:rPr>
        <w:t xml:space="preserve">), в сила от 2000 г. има за цел да осигури нормативната основа за интегрирано управление на водите в интерес на обществото и за опазване на здравето на населението. Законът урежда отношенията, свързани със собствеността върху водите, водните обекти и водностопанските системи и съоръжения, целите по опазване на околната среда по отношение на количеството и качеството на водите, създаването и функциите на басейнови дирекции за управление на речните басейни, разработване и прилагане на планове за управление на речните басейни и планове за управление на риска от наводнения, </w:t>
      </w:r>
      <w:r w:rsidRPr="00E15F8F">
        <w:rPr>
          <w:rFonts w:ascii="Times New Roman" w:hAnsi="Times New Roman" w:cs="Times New Roman"/>
          <w:lang w:val="bg-BG"/>
        </w:rPr>
        <w:t xml:space="preserve">мониторинг на водите и на зоните за защита на водите. С изменението на закона през 2009 г., за нуждите на </w:t>
      </w:r>
      <w:r w:rsidRPr="00E15F8F">
        <w:rPr>
          <w:rFonts w:ascii="Times New Roman" w:eastAsia="Times New Roman" w:hAnsi="Times New Roman" w:cs="Times New Roman"/>
          <w:lang w:val="bg-BG"/>
        </w:rPr>
        <w:t xml:space="preserve">управлението, планирането и изграждането на ВиК системи и за предоставянето на ВиК услуги, територията на страната се разделя на обособени територии, регламентира се създаването на асоциации по ВиК, определя се йерархията на планиране на развитието на ВиК системите и съоръженията. </w:t>
      </w:r>
    </w:p>
    <w:p w14:paraId="68CD41BE" w14:textId="3D20C98F" w:rsidR="004E05D3" w:rsidRPr="00E15F8F" w:rsidRDefault="004E05D3" w:rsidP="00E15F8F">
      <w:pPr>
        <w:shd w:val="clear" w:color="auto" w:fill="FFFFFF"/>
        <w:spacing w:before="120" w:after="120" w:line="264"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Основните източници на финансиране на изпълнението на мерки</w:t>
      </w:r>
      <w:r w:rsidR="00CC7432" w:rsidRPr="00E15F8F">
        <w:rPr>
          <w:rFonts w:ascii="Times New Roman" w:eastAsia="Times New Roman" w:hAnsi="Times New Roman" w:cs="Times New Roman"/>
          <w:lang w:val="bg-BG"/>
        </w:rPr>
        <w:t>те</w:t>
      </w:r>
      <w:r w:rsidRPr="00E15F8F">
        <w:rPr>
          <w:rFonts w:ascii="Times New Roman" w:eastAsia="Times New Roman" w:hAnsi="Times New Roman" w:cs="Times New Roman"/>
          <w:lang w:val="bg-BG"/>
        </w:rPr>
        <w:t xml:space="preserve"> за опазване на водните ресурси </w:t>
      </w:r>
      <w:r w:rsidR="00CC7432" w:rsidRPr="00E15F8F">
        <w:rPr>
          <w:rFonts w:ascii="Times New Roman" w:eastAsia="Times New Roman" w:hAnsi="Times New Roman" w:cs="Times New Roman"/>
          <w:lang w:val="bg-BG"/>
        </w:rPr>
        <w:t xml:space="preserve">в страната </w:t>
      </w:r>
      <w:r w:rsidRPr="00E15F8F">
        <w:rPr>
          <w:rFonts w:ascii="Times New Roman" w:eastAsia="Times New Roman" w:hAnsi="Times New Roman" w:cs="Times New Roman"/>
          <w:lang w:val="bg-BG"/>
        </w:rPr>
        <w:t>са европейските структурни и инвестиционни фондове, Предприятие за управление на дейностите по опазване на околната среда, държавен и общински бюджети.</w:t>
      </w:r>
    </w:p>
    <w:p w14:paraId="255FFC87" w14:textId="77777777" w:rsidR="004E05D3" w:rsidRPr="00E15F8F" w:rsidRDefault="004E05D3" w:rsidP="00E15F8F">
      <w:pPr>
        <w:autoSpaceDE w:val="0"/>
        <w:autoSpaceDN w:val="0"/>
        <w:adjustRightInd w:val="0"/>
        <w:spacing w:before="120" w:after="120" w:line="264" w:lineRule="auto"/>
        <w:jc w:val="both"/>
        <w:rPr>
          <w:rFonts w:ascii="Times New Roman" w:eastAsia="Times New Roman,Bold" w:hAnsi="Times New Roman" w:cs="Times New Roman"/>
          <w:lang w:val="bg-BG"/>
        </w:rPr>
      </w:pPr>
      <w:r w:rsidRPr="00E15F8F">
        <w:rPr>
          <w:rFonts w:ascii="Times New Roman" w:eastAsia="Times New Roman" w:hAnsi="Times New Roman" w:cs="Times New Roman"/>
          <w:lang w:val="bg-BG"/>
        </w:rPr>
        <w:t xml:space="preserve">Подкрепата за изпълнението на ангажиментите на страната по отношение на отвеждането и пречистването на отпадъчните води от градските агломерации, модернизация и ефективно управление на ВиК инфраструктурата са приоритет на вече два финансови периода на </w:t>
      </w:r>
      <w:r w:rsidRPr="00E15F8F">
        <w:rPr>
          <w:rFonts w:ascii="Times New Roman" w:eastAsia="Times New Roman" w:hAnsi="Times New Roman" w:cs="Times New Roman"/>
          <w:b/>
          <w:bCs/>
          <w:lang w:val="bg-BG"/>
        </w:rPr>
        <w:t>Оперативна програма „Околна среда“.</w:t>
      </w:r>
      <w:r w:rsidRPr="00E15F8F">
        <w:rPr>
          <w:rFonts w:ascii="Times New Roman" w:eastAsia="Times New Roman" w:hAnsi="Times New Roman" w:cs="Times New Roman"/>
          <w:lang w:val="bg-BG"/>
        </w:rPr>
        <w:t xml:space="preserve"> Осигуреният </w:t>
      </w:r>
      <w:r w:rsidRPr="00E15F8F">
        <w:rPr>
          <w:rFonts w:ascii="Times New Roman" w:eastAsia="Times New Roman,Bold" w:hAnsi="Times New Roman" w:cs="Times New Roman"/>
          <w:lang w:val="bg-BG"/>
        </w:rPr>
        <w:t>финансов ресурс за програмен период 2014 – 2020 г. по приоритетна ос „Води“ на оперативната програма е 2,3 млрд. лв., насочени за изграждане на канализационни мрежи и реконструкция или изграждане на пречиствателни станции за отпадъчни води за 17 населени места.</w:t>
      </w:r>
    </w:p>
    <w:p w14:paraId="6E678D19" w14:textId="77777777" w:rsidR="004E05D3" w:rsidRPr="00E15F8F" w:rsidRDefault="004E05D3" w:rsidP="00E15F8F">
      <w:pPr>
        <w:autoSpaceDE w:val="0"/>
        <w:autoSpaceDN w:val="0"/>
        <w:adjustRightInd w:val="0"/>
        <w:spacing w:before="120" w:after="120" w:line="264"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 xml:space="preserve">Със средства по ОПОС са разработени регионални прединвестиционни проучвания за обособените територии, обслужвани от ВиК операторите в областите Бургас, Варна, Видин, Враца, Добрич, Кърджали, Перник, Пловдив, Русе, Силистра, Сливен, Стара Загора, Шумен, Ямбол и Столична </w:t>
      </w:r>
      <w:r w:rsidRPr="00E15F8F">
        <w:rPr>
          <w:rFonts w:ascii="Times New Roman" w:eastAsia="Times New Roman,Bold" w:hAnsi="Times New Roman" w:cs="Times New Roman"/>
          <w:lang w:val="bg-BG"/>
        </w:rPr>
        <w:lastRenderedPageBreak/>
        <w:t>община. Чрез прилагане на регионалния подход при изпълнение на инвестиции във ВиК инфраструктура, се цели да се идентифицират необходимите мерки и технико-икономически най-изгодни решения, за да се осигури изграждане на необходимата канализационна инфраструктура, за да преустанови натиска от замърсяване с битови отпадъчни води върху водните обекти и да се повиши ефективността на ползване на водите, като се намалят загубите на вода във водопреносните мрежи. Чрез процедура чрез директно предоставяне на безвъзмездна финансова помощ (БФП) „Изграждане на ВиК инфраструктура“ (по ОПОС 2014-2020 г.) с общ размер 1,35 млрд. лв. се финансира изпълнението на РПИП за агломерациите с над 10 000 екв. жители на съответната обособена територия.</w:t>
      </w:r>
    </w:p>
    <w:p w14:paraId="159CF1EB" w14:textId="3DDC1254" w:rsidR="004E05D3" w:rsidRPr="00E15F8F" w:rsidRDefault="004E05D3" w:rsidP="00E15F8F">
      <w:pPr>
        <w:autoSpaceDE w:val="0"/>
        <w:autoSpaceDN w:val="0"/>
        <w:adjustRightInd w:val="0"/>
        <w:spacing w:before="120" w:after="120" w:line="264" w:lineRule="auto"/>
        <w:jc w:val="both"/>
        <w:rPr>
          <w:rFonts w:ascii="Times New Roman" w:hAnsi="Times New Roman" w:cs="Times New Roman"/>
          <w:lang w:val="bg-BG"/>
        </w:rPr>
      </w:pPr>
      <w:r w:rsidRPr="00E15F8F">
        <w:rPr>
          <w:rFonts w:ascii="Times New Roman" w:eastAsia="Times New Roman,Bold" w:hAnsi="Times New Roman" w:cs="Times New Roman"/>
          <w:lang w:val="bg-BG"/>
        </w:rPr>
        <w:t xml:space="preserve">Проектът на програма „Околна среда“ 2021 – 2027 г. </w:t>
      </w:r>
      <w:r w:rsidRPr="00E15F8F">
        <w:rPr>
          <w:rFonts w:ascii="Times New Roman" w:hAnsi="Times New Roman" w:cs="Times New Roman"/>
          <w:lang w:val="bg-BG"/>
        </w:rPr>
        <w:t>продължава усилията за постигане на съответствие с изискванията на Рамковата директива за водите и Директивата за пречистване на градските отпадъчни води. Една от специфичните цели на програмата адресира нуждите от инвестиции с висок приоритет за подобряване на свързаността и пречистването на градските отпадъчни води в агломерациите с ЕЖ над 10 000 е.ж., и намаляване на загубите на вода. При наличие на остатъчен финансов ресурс се планират инвестиции и за агломерации между 2 000 и 10 000 е.ж. Предвижда се подкрепа за разработване на ПУРБ за периода 2028-2033 г. с цел изпълнение на ангажиментите по чл. 13 от Рамковата директива за водите 2000/60/ЕС.</w:t>
      </w:r>
    </w:p>
    <w:p w14:paraId="40F98556" w14:textId="37D0A114" w:rsidR="004E05D3" w:rsidRPr="00E15F8F" w:rsidRDefault="004E05D3" w:rsidP="00E15F8F">
      <w:pPr>
        <w:autoSpaceDE w:val="0"/>
        <w:autoSpaceDN w:val="0"/>
        <w:adjustRightInd w:val="0"/>
        <w:spacing w:before="120" w:after="120" w:line="264" w:lineRule="auto"/>
        <w:jc w:val="both"/>
        <w:rPr>
          <w:rFonts w:ascii="Times New Roman" w:eastAsia="Times New Roman,Bold" w:hAnsi="Times New Roman" w:cs="Times New Roman"/>
          <w:color w:val="000000" w:themeColor="text1"/>
          <w:lang w:val="bg-BG"/>
        </w:rPr>
      </w:pPr>
      <w:r w:rsidRPr="00E15F8F">
        <w:rPr>
          <w:rFonts w:ascii="Times New Roman" w:hAnsi="Times New Roman" w:cs="Times New Roman"/>
          <w:lang w:val="bg-BG"/>
        </w:rPr>
        <w:t>Със 115 млн. евро публични средства и допълнителен ресурс от Европейска банка за възстановяване и развитие</w:t>
      </w:r>
      <w:r w:rsidR="00BB7E8B" w:rsidRPr="00E15F8F">
        <w:rPr>
          <w:rFonts w:ascii="Times New Roman" w:hAnsi="Times New Roman" w:cs="Times New Roman"/>
          <w:lang w:val="bg-BG"/>
        </w:rPr>
        <w:t>,</w:t>
      </w:r>
      <w:r w:rsidRPr="00E15F8F">
        <w:rPr>
          <w:rFonts w:ascii="Times New Roman" w:hAnsi="Times New Roman" w:cs="Times New Roman"/>
          <w:lang w:val="bg-BG"/>
        </w:rPr>
        <w:t xml:space="preserve"> Фонд мениджъра на финансови инструменти в България </w:t>
      </w:r>
      <w:r w:rsidRPr="00E15F8F">
        <w:rPr>
          <w:rFonts w:ascii="Times New Roman" w:hAnsi="Times New Roman" w:cs="Times New Roman"/>
          <w:color w:val="000000" w:themeColor="text1"/>
          <w:lang w:val="bg-BG"/>
        </w:rPr>
        <w:t xml:space="preserve">осигурява възможности за </w:t>
      </w:r>
      <w:r w:rsidRPr="00E15F8F">
        <w:rPr>
          <w:rFonts w:ascii="Times New Roman" w:eastAsia="Times New Roman" w:hAnsi="Times New Roman" w:cs="Times New Roman"/>
          <w:color w:val="000000" w:themeColor="text1"/>
          <w:lang w:val="bg-BG"/>
        </w:rPr>
        <w:t>заеми за ВиК операторите и гаранции за търговски банки, предоставящи кредити за финансиране на допустимите по оперативната програма проекти на ВиК оператори</w:t>
      </w:r>
    </w:p>
    <w:p w14:paraId="3F7CFA3A" w14:textId="77777777" w:rsidR="004E05D3" w:rsidRPr="00E15F8F" w:rsidRDefault="004E05D3" w:rsidP="00E15F8F">
      <w:pPr>
        <w:autoSpaceDE w:val="0"/>
        <w:autoSpaceDN w:val="0"/>
        <w:adjustRightInd w:val="0"/>
        <w:spacing w:before="120" w:after="120" w:line="264"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 xml:space="preserve">Приетите през 2018 г. промени в приоритетите и критериите за приоритизиране на проектните предложения за финансиране на общините чрез бюджета на </w:t>
      </w:r>
      <w:r w:rsidRPr="00E15F8F">
        <w:rPr>
          <w:rFonts w:ascii="Times New Roman" w:eastAsia="Times New Roman,Bold" w:hAnsi="Times New Roman" w:cs="Times New Roman"/>
          <w:b/>
          <w:bCs/>
          <w:lang w:val="bg-BG"/>
        </w:rPr>
        <w:t>Предприятието за управление на дейностите по опазване на околна среда</w:t>
      </w:r>
      <w:r w:rsidRPr="00E15F8F">
        <w:rPr>
          <w:rFonts w:ascii="Times New Roman" w:eastAsia="Times New Roman,Bold" w:hAnsi="Times New Roman" w:cs="Times New Roman"/>
          <w:lang w:val="bg-BG"/>
        </w:rPr>
        <w:t xml:space="preserve"> насочват ресурс в подкрепа на проекти за изграждане на канализационни мрежи и пречиствателни станции за отпадъчни води (ПСОВ) за населени места, представляващи основни мерки в ПУРБ. </w:t>
      </w:r>
    </w:p>
    <w:p w14:paraId="38984F93" w14:textId="77F5198A" w:rsidR="004E05D3" w:rsidRPr="00E15F8F" w:rsidRDefault="004E05D3" w:rsidP="00E15F8F">
      <w:pPr>
        <w:autoSpaceDE w:val="0"/>
        <w:autoSpaceDN w:val="0"/>
        <w:adjustRightInd w:val="0"/>
        <w:spacing w:before="120" w:after="120" w:line="264"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 xml:space="preserve">С новите приоритети се цели намаляване на риска от санкции за неизпълнение на задълженията за пречистване на отпадъчните води от населените места и осигуряване на приоритизиране на обектите съобразно големината на въздействието </w:t>
      </w:r>
      <w:r w:rsidR="00BB7E8B" w:rsidRPr="00E15F8F">
        <w:rPr>
          <w:rFonts w:ascii="Times New Roman" w:eastAsia="Times New Roman,Bold" w:hAnsi="Times New Roman" w:cs="Times New Roman"/>
          <w:lang w:val="bg-BG"/>
        </w:rPr>
        <w:t xml:space="preserve">и състочнието на </w:t>
      </w:r>
      <w:r w:rsidRPr="00E15F8F">
        <w:rPr>
          <w:rFonts w:ascii="Times New Roman" w:eastAsia="Times New Roman,Bold" w:hAnsi="Times New Roman" w:cs="Times New Roman"/>
          <w:lang w:val="bg-BG"/>
        </w:rPr>
        <w:t>водоприемника.</w:t>
      </w:r>
    </w:p>
    <w:p w14:paraId="46317F56" w14:textId="77777777" w:rsidR="004E05D3" w:rsidRPr="00E15F8F" w:rsidRDefault="004E05D3" w:rsidP="00E15F8F">
      <w:pPr>
        <w:spacing w:before="120" w:after="120" w:line="264" w:lineRule="auto"/>
        <w:jc w:val="both"/>
        <w:rPr>
          <w:rFonts w:ascii="Times New Roman" w:hAnsi="Times New Roman" w:cs="Times New Roman"/>
          <w:lang w:val="bg-BG"/>
        </w:rPr>
      </w:pPr>
      <w:r w:rsidRPr="00E15F8F">
        <w:rPr>
          <w:rFonts w:ascii="Times New Roman" w:eastAsia="Times New Roman" w:hAnsi="Times New Roman" w:cs="Times New Roman"/>
          <w:lang w:val="bg-BG"/>
        </w:rPr>
        <w:t xml:space="preserve">Подобряване на ефективността при интегрираното управление на водата като стопански ресурс и подобряването на общинската пътна и ВиК инфраструктура са приоритети на </w:t>
      </w:r>
      <w:r w:rsidRPr="00E15F8F">
        <w:rPr>
          <w:rFonts w:ascii="Times New Roman" w:eastAsia="Times New Roman" w:hAnsi="Times New Roman" w:cs="Times New Roman"/>
          <w:b/>
          <w:bCs/>
          <w:lang w:val="bg-BG"/>
        </w:rPr>
        <w:t>Програмата за развитие на селските райони</w:t>
      </w:r>
      <w:r w:rsidRPr="00E15F8F">
        <w:rPr>
          <w:rFonts w:ascii="Times New Roman" w:eastAsia="Times New Roman" w:hAnsi="Times New Roman" w:cs="Times New Roman"/>
          <w:lang w:val="bg-BG"/>
        </w:rPr>
        <w:t xml:space="preserve"> за програмен период 2014 – 2020 г. Мерките за подкрепа, включени в програмата, са с добавена стойност по отношение на целите заложени в плановете за управление на речните басейни</w:t>
      </w:r>
      <w:r w:rsidRPr="00E15F8F">
        <w:rPr>
          <w:rStyle w:val="FootnoteReference"/>
          <w:rFonts w:ascii="Times New Roman" w:eastAsia="Times New Roman" w:hAnsi="Times New Roman" w:cs="Times New Roman"/>
          <w:lang w:val="bg-BG"/>
        </w:rPr>
        <w:footnoteReference w:id="13"/>
      </w:r>
      <w:r w:rsidRPr="00E15F8F">
        <w:rPr>
          <w:rFonts w:ascii="Times New Roman" w:eastAsia="Times New Roman" w:hAnsi="Times New Roman" w:cs="Times New Roman"/>
          <w:lang w:val="bg-BG"/>
        </w:rPr>
        <w:t>. Интервенциите по Приоритет 1 на ПРСР насърчават повишаването на знанията на земеделските стопани за прилагането на добри земеделски практики, водещи до опазването на биоразнообразието, почвите и водите. Приоритетна област 6Б на програмата предвижда мерки за изграждане на ВИК инфраструктура с принос за по-устойчиво управление на водите. Насърчаването на инвестиции и подходи целящи съхраняване и опазване на околната среда и стимулиране на ресурсната ефективност са приоритет и при прилагането на подхода ВОМР.</w:t>
      </w:r>
    </w:p>
    <w:p w14:paraId="6C24FC68" w14:textId="77777777" w:rsidR="009F40E9" w:rsidRDefault="009F40E9" w:rsidP="008663D3">
      <w:bookmarkStart w:id="7" w:name="_Toc72916677"/>
    </w:p>
    <w:p w14:paraId="4FFC35E7" w14:textId="615099B1" w:rsidR="000532D9" w:rsidRPr="00E15F8F" w:rsidRDefault="000532D9" w:rsidP="008663D3">
      <w:pPr>
        <w:pStyle w:val="Heading2"/>
        <w:spacing w:before="120" w:after="120" w:line="264" w:lineRule="auto"/>
      </w:pPr>
      <w:r w:rsidRPr="00E15F8F">
        <w:t>Състояние и тенденции</w:t>
      </w:r>
      <w:bookmarkEnd w:id="7"/>
      <w:r w:rsidRPr="00E15F8F">
        <w:t xml:space="preserve"> </w:t>
      </w:r>
    </w:p>
    <w:p w14:paraId="0AAA6EA5" w14:textId="3257A904" w:rsidR="000532D9" w:rsidRPr="00E15F8F" w:rsidRDefault="000532D9" w:rsidP="008663D3">
      <w:pPr>
        <w:autoSpaceDE w:val="0"/>
        <w:autoSpaceDN w:val="0"/>
        <w:adjustRightInd w:val="0"/>
        <w:spacing w:before="120" w:after="120" w:line="264" w:lineRule="auto"/>
        <w:rPr>
          <w:rFonts w:ascii="Times New Roman" w:hAnsi="Times New Roman" w:cs="Times New Roman"/>
          <w:b/>
          <w:bCs/>
          <w:lang w:val="bg-BG"/>
        </w:rPr>
      </w:pPr>
      <w:r w:rsidRPr="00E15F8F">
        <w:rPr>
          <w:rFonts w:ascii="Times New Roman" w:hAnsi="Times New Roman" w:cs="Times New Roman"/>
          <w:b/>
          <w:bCs/>
          <w:lang w:val="bg-BG"/>
        </w:rPr>
        <w:t>Състояние на инфраструктурата</w:t>
      </w:r>
    </w:p>
    <w:p w14:paraId="4A517866" w14:textId="77777777" w:rsidR="000532D9" w:rsidRPr="00E15F8F" w:rsidRDefault="000532D9" w:rsidP="008663D3">
      <w:pPr>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 xml:space="preserve">Към 2018 г. общата дължина на </w:t>
      </w:r>
      <w:r w:rsidRPr="00E15F8F">
        <w:rPr>
          <w:rFonts w:ascii="Times New Roman" w:hAnsi="Times New Roman" w:cs="Times New Roman"/>
          <w:b/>
          <w:bCs/>
          <w:lang w:val="bg-BG"/>
        </w:rPr>
        <w:t xml:space="preserve">водопреносната мрежа </w:t>
      </w:r>
      <w:r w:rsidRPr="00E15F8F">
        <w:rPr>
          <w:rFonts w:ascii="Times New Roman" w:hAnsi="Times New Roman" w:cs="Times New Roman"/>
          <w:lang w:val="bg-BG"/>
        </w:rPr>
        <w:t>в страната възлиза на 74 731 км, като 99.5% от населението в страната е свързано с обществено водоснабдяване</w:t>
      </w:r>
      <w:r w:rsidRPr="00E15F8F">
        <w:rPr>
          <w:rStyle w:val="FootnoteReference"/>
          <w:rFonts w:ascii="Times New Roman" w:hAnsi="Times New Roman" w:cs="Times New Roman"/>
          <w:lang w:val="bg-BG"/>
        </w:rPr>
        <w:footnoteReference w:id="14"/>
      </w:r>
      <w:r w:rsidRPr="00E15F8F">
        <w:rPr>
          <w:rFonts w:ascii="Times New Roman" w:hAnsi="Times New Roman" w:cs="Times New Roman"/>
          <w:lang w:val="bg-BG"/>
        </w:rPr>
        <w:t xml:space="preserve">. Последното е показателно за високата степен на достъпност и осигуреност на потребителите с вода за питейно-битови цели. Въпреки отбелязаните положителни тенденции, все още има населени места, в които се налага въвеждане на сезонен или целогодишен режим на водоснабдяване, поради липсата на достатъчно изградени съоръжения за съхранение и складиране на вода, както и на вътрешните загуби по разпределителната мрежа. Населението с режим на водоснабдяване поради недостиг на вода в страната през 2018 г. е 1.1% от свързаното население. Рязко увеличение на процента население (6%) с режим на водоснабдяване се отчита през 2019 г., свързано отново с продължителни периоди на засушаване. </w:t>
      </w:r>
    </w:p>
    <w:p w14:paraId="3284AEAE" w14:textId="77777777" w:rsidR="000532D9" w:rsidRPr="00E15F8F" w:rsidRDefault="000532D9" w:rsidP="001B1B03">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 xml:space="preserve">Сравнително положителна тенденция за периода 2010 – 2018 г. се наблюдава по отношение на </w:t>
      </w:r>
      <w:r w:rsidRPr="00E15F8F">
        <w:rPr>
          <w:rFonts w:ascii="Times New Roman" w:hAnsi="Times New Roman" w:cs="Times New Roman"/>
          <w:b/>
          <w:bCs/>
          <w:lang w:val="bg-BG"/>
        </w:rPr>
        <w:t>загубите на вода</w:t>
      </w:r>
      <w:r w:rsidRPr="00E15F8F">
        <w:rPr>
          <w:rFonts w:ascii="Times New Roman" w:hAnsi="Times New Roman" w:cs="Times New Roman"/>
          <w:lang w:val="bg-BG"/>
        </w:rPr>
        <w:t xml:space="preserve"> в резултат на преноса на вода по водопроводната мрежа, напоителни канали, неоторизирана консумация. През 2018 г. е постигнато близо 20% намаление на загубите на вода в сравнение с 2010 г.</w:t>
      </w:r>
      <w:r w:rsidRPr="00E15F8F">
        <w:rPr>
          <w:rStyle w:val="FootnoteReference"/>
          <w:rFonts w:ascii="Times New Roman" w:hAnsi="Times New Roman" w:cs="Times New Roman"/>
          <w:lang w:val="bg-BG"/>
        </w:rPr>
        <w:footnoteReference w:id="15"/>
      </w:r>
      <w:r w:rsidRPr="00E15F8F">
        <w:rPr>
          <w:rFonts w:ascii="Times New Roman" w:hAnsi="Times New Roman" w:cs="Times New Roman"/>
          <w:lang w:val="bg-BG"/>
        </w:rPr>
        <w:t xml:space="preserve"> Въпреки това загубите на вода възлизат на над 50% от общото количество подадена вода от общественото водоснабдяване. Най-висок е процентът на загубите в Североизточен, следван от Северозападен райони на планиране.</w:t>
      </w:r>
    </w:p>
    <w:p w14:paraId="310BEF7F" w14:textId="77777777" w:rsidR="000532D9" w:rsidRPr="00E15F8F" w:rsidRDefault="000532D9" w:rsidP="000532D9">
      <w:pPr>
        <w:pStyle w:val="Default"/>
        <w:spacing w:line="276" w:lineRule="auto"/>
        <w:jc w:val="both"/>
        <w:rPr>
          <w:sz w:val="22"/>
          <w:szCs w:val="22"/>
          <w:lang w:val="bg-BG"/>
        </w:rPr>
      </w:pPr>
      <w:r w:rsidRPr="00E15F8F">
        <w:rPr>
          <w:b/>
          <w:bCs/>
          <w:sz w:val="22"/>
          <w:szCs w:val="22"/>
          <w:lang w:val="bg-BG"/>
        </w:rPr>
        <w:t xml:space="preserve">Канализационната мрежа </w:t>
      </w:r>
      <w:r w:rsidRPr="00E15F8F">
        <w:rPr>
          <w:sz w:val="22"/>
          <w:szCs w:val="22"/>
          <w:lang w:val="bg-BG"/>
        </w:rPr>
        <w:t>на страната възлиза на 11 967 км., като близо 15% от нея е изградена през периода 2010 – 2018 г. 56.8% е въведена в експлоатация в периода преди 1990 г. Нараства делът на населението, свързано с обществена канализация - от 69.7% (2007 г.) на 76.2% (2018 г.), но при задълбочаване на между- и вътрешнорегионалните различия. С най-нисък процент на свързаност се отличава Северозападен район (59.7% за 2018 г.), а най-висок – Югозападен (89.8%).</w:t>
      </w:r>
    </w:p>
    <w:p w14:paraId="31EFB906" w14:textId="77777777" w:rsidR="000532D9" w:rsidRPr="00E15F8F" w:rsidRDefault="000532D9" w:rsidP="000532D9">
      <w:pPr>
        <w:pStyle w:val="Default"/>
        <w:spacing w:line="276" w:lineRule="auto"/>
        <w:jc w:val="both"/>
        <w:rPr>
          <w:sz w:val="22"/>
          <w:szCs w:val="22"/>
          <w:lang w:val="bg-BG"/>
        </w:rPr>
      </w:pPr>
      <w:r w:rsidRPr="00E15F8F">
        <w:rPr>
          <w:sz w:val="22"/>
          <w:szCs w:val="22"/>
          <w:lang w:val="bg-BG"/>
        </w:rPr>
        <w:t xml:space="preserve">През 2019 г. населението, свързано с пречиствателни станции за отпадъчни води достига 64.6%, като 64.5% е с поне вторично третиране. В сравнение с процентната свързаност през 2007 г. (42.3%) това представлява значителен напредък, който се дължи на целенасочени инвестиционни усилия с подкрепата на оперативните програми, съфинансирани от европейските структурни и инвестиционни фондове, държавен и общински бюджети. </w:t>
      </w:r>
    </w:p>
    <w:p w14:paraId="2F068D43" w14:textId="3D52096D" w:rsidR="000532D9" w:rsidRPr="001B1B03" w:rsidRDefault="006F34D7" w:rsidP="006F34D7">
      <w:pPr>
        <w:pStyle w:val="Caption"/>
        <w:rPr>
          <w:rFonts w:eastAsiaTheme="minorHAnsi" w:cs="Times New Roman"/>
          <w:b w:val="0"/>
          <w:bCs w:val="0"/>
          <w:i/>
          <w:color w:val="000000"/>
          <w:sz w:val="22"/>
          <w:szCs w:val="22"/>
          <w:lang w:val="en-US" w:eastAsia="en-US"/>
        </w:rPr>
      </w:pPr>
      <w:bookmarkStart w:id="8" w:name="_Toc72917591"/>
      <w:r w:rsidRPr="006F34D7">
        <w:rPr>
          <w:rFonts w:eastAsiaTheme="minorHAnsi" w:cs="Times New Roman"/>
          <w:b w:val="0"/>
          <w:bCs w:val="0"/>
          <w:i/>
          <w:color w:val="000000"/>
          <w:sz w:val="22"/>
          <w:szCs w:val="22"/>
          <w:lang w:eastAsia="en-US"/>
        </w:rPr>
        <w:t xml:space="preserve">Таблица </w:t>
      </w:r>
      <w:r w:rsidRPr="006F34D7">
        <w:rPr>
          <w:rFonts w:eastAsiaTheme="minorHAnsi" w:cs="Times New Roman"/>
          <w:b w:val="0"/>
          <w:bCs w:val="0"/>
          <w:i/>
          <w:color w:val="000000"/>
          <w:sz w:val="22"/>
          <w:szCs w:val="22"/>
          <w:lang w:eastAsia="en-US"/>
        </w:rPr>
        <w:fldChar w:fldCharType="begin"/>
      </w:r>
      <w:r w:rsidRPr="006F34D7">
        <w:rPr>
          <w:rFonts w:eastAsiaTheme="minorHAnsi" w:cs="Times New Roman"/>
          <w:b w:val="0"/>
          <w:bCs w:val="0"/>
          <w:i/>
          <w:color w:val="000000"/>
          <w:sz w:val="22"/>
          <w:szCs w:val="22"/>
          <w:lang w:eastAsia="en-US"/>
        </w:rPr>
        <w:instrText xml:space="preserve"> SEQ Таблица \* ARABIC </w:instrText>
      </w:r>
      <w:r w:rsidRPr="006F34D7">
        <w:rPr>
          <w:rFonts w:eastAsiaTheme="minorHAnsi" w:cs="Times New Roman"/>
          <w:b w:val="0"/>
          <w:bCs w:val="0"/>
          <w:i/>
          <w:color w:val="000000"/>
          <w:sz w:val="22"/>
          <w:szCs w:val="22"/>
          <w:lang w:eastAsia="en-US"/>
        </w:rPr>
        <w:fldChar w:fldCharType="separate"/>
      </w:r>
      <w:r w:rsidR="00E050A8">
        <w:rPr>
          <w:rFonts w:eastAsiaTheme="minorHAnsi" w:cs="Times New Roman"/>
          <w:b w:val="0"/>
          <w:bCs w:val="0"/>
          <w:i/>
          <w:noProof/>
          <w:color w:val="000000"/>
          <w:sz w:val="22"/>
          <w:szCs w:val="22"/>
          <w:lang w:eastAsia="en-US"/>
        </w:rPr>
        <w:t>1</w:t>
      </w:r>
      <w:r w:rsidRPr="006F34D7">
        <w:rPr>
          <w:rFonts w:eastAsiaTheme="minorHAnsi" w:cs="Times New Roman"/>
          <w:b w:val="0"/>
          <w:bCs w:val="0"/>
          <w:i/>
          <w:color w:val="000000"/>
          <w:sz w:val="22"/>
          <w:szCs w:val="22"/>
          <w:lang w:eastAsia="en-US"/>
        </w:rPr>
        <w:fldChar w:fldCharType="end"/>
      </w:r>
      <w:r w:rsidRPr="006F34D7">
        <w:rPr>
          <w:rFonts w:eastAsiaTheme="minorHAnsi" w:cs="Times New Roman"/>
          <w:b w:val="0"/>
          <w:bCs w:val="0"/>
          <w:i/>
          <w:color w:val="000000"/>
          <w:sz w:val="22"/>
          <w:szCs w:val="22"/>
          <w:lang w:eastAsia="en-US"/>
        </w:rPr>
        <w:t xml:space="preserve"> </w:t>
      </w:r>
      <w:r w:rsidR="000532D9" w:rsidRPr="006F34D7">
        <w:rPr>
          <w:rFonts w:eastAsiaTheme="minorHAnsi" w:cs="Times New Roman"/>
          <w:b w:val="0"/>
          <w:bCs w:val="0"/>
          <w:i/>
          <w:color w:val="000000"/>
          <w:sz w:val="22"/>
          <w:szCs w:val="22"/>
          <w:lang w:eastAsia="en-US"/>
        </w:rPr>
        <w:t>Относителен дял на населението, свързано със системи за събиране и пречистване на отпадъчни води, 2011 – 2018 г.</w:t>
      </w:r>
      <w:bookmarkEnd w:id="8"/>
      <w:r w:rsidR="001B1B03">
        <w:rPr>
          <w:rFonts w:eastAsiaTheme="minorHAnsi" w:cs="Times New Roman"/>
          <w:b w:val="0"/>
          <w:bCs w:val="0"/>
          <w:i/>
          <w:color w:val="000000"/>
          <w:sz w:val="22"/>
          <w:szCs w:val="22"/>
          <w:lang w:val="en-US" w:eastAsia="en-US"/>
        </w:rPr>
        <w:t xml:space="preserve"> (%)</w:t>
      </w:r>
    </w:p>
    <w:tbl>
      <w:tblPr>
        <w:tblW w:w="5011" w:type="pct"/>
        <w:tblInd w:w="-10" w:type="dxa"/>
        <w:tblLayout w:type="fixed"/>
        <w:tblLook w:val="04A0" w:firstRow="1" w:lastRow="0" w:firstColumn="1" w:lastColumn="0" w:noHBand="0" w:noVBand="1"/>
      </w:tblPr>
      <w:tblGrid>
        <w:gridCol w:w="3416"/>
        <w:gridCol w:w="719"/>
        <w:gridCol w:w="631"/>
        <w:gridCol w:w="631"/>
        <w:gridCol w:w="629"/>
        <w:gridCol w:w="631"/>
        <w:gridCol w:w="631"/>
        <w:gridCol w:w="719"/>
        <w:gridCol w:w="723"/>
        <w:gridCol w:w="631"/>
      </w:tblGrid>
      <w:tr w:rsidR="000532D9" w:rsidRPr="00E15F8F" w14:paraId="11AA970A" w14:textId="77777777" w:rsidTr="001B1B03">
        <w:trPr>
          <w:trHeight w:val="283"/>
        </w:trPr>
        <w:tc>
          <w:tcPr>
            <w:tcW w:w="1824" w:type="pct"/>
            <w:tcBorders>
              <w:top w:val="single" w:sz="8" w:space="0" w:color="969696"/>
              <w:left w:val="single" w:sz="8" w:space="0" w:color="969696"/>
              <w:bottom w:val="single" w:sz="8" w:space="0" w:color="969696"/>
              <w:right w:val="single" w:sz="8" w:space="0" w:color="969696"/>
            </w:tcBorders>
            <w:shd w:val="clear" w:color="auto" w:fill="DEEAF6" w:themeFill="accent5" w:themeFillTint="33"/>
            <w:noWrap/>
            <w:vAlign w:val="bottom"/>
            <w:hideMark/>
          </w:tcPr>
          <w:p w14:paraId="47F63A0B" w14:textId="77777777" w:rsidR="000532D9" w:rsidRPr="00E15F8F" w:rsidRDefault="000532D9" w:rsidP="0047737A">
            <w:pPr>
              <w:spacing w:after="0" w:line="240" w:lineRule="auto"/>
              <w:jc w:val="center"/>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w:t>
            </w:r>
          </w:p>
        </w:tc>
        <w:tc>
          <w:tcPr>
            <w:tcW w:w="384"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4C1D97C1"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2011</w:t>
            </w:r>
          </w:p>
        </w:tc>
        <w:tc>
          <w:tcPr>
            <w:tcW w:w="337"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2653A633"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2012</w:t>
            </w:r>
          </w:p>
        </w:tc>
        <w:tc>
          <w:tcPr>
            <w:tcW w:w="337" w:type="pct"/>
            <w:tcBorders>
              <w:top w:val="single" w:sz="8" w:space="0" w:color="969696"/>
              <w:left w:val="nil"/>
              <w:bottom w:val="nil"/>
              <w:right w:val="single" w:sz="8" w:space="0" w:color="969696"/>
            </w:tcBorders>
            <w:shd w:val="clear" w:color="auto" w:fill="DEEAF6" w:themeFill="accent5" w:themeFillTint="33"/>
            <w:noWrap/>
            <w:vAlign w:val="bottom"/>
            <w:hideMark/>
          </w:tcPr>
          <w:p w14:paraId="721BB942"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2013</w:t>
            </w:r>
          </w:p>
        </w:tc>
        <w:tc>
          <w:tcPr>
            <w:tcW w:w="336" w:type="pct"/>
            <w:tcBorders>
              <w:top w:val="single" w:sz="8" w:space="0" w:color="969696"/>
              <w:left w:val="nil"/>
              <w:bottom w:val="nil"/>
              <w:right w:val="single" w:sz="8" w:space="0" w:color="969696"/>
            </w:tcBorders>
            <w:shd w:val="clear" w:color="auto" w:fill="DEEAF6" w:themeFill="accent5" w:themeFillTint="33"/>
            <w:noWrap/>
            <w:vAlign w:val="bottom"/>
            <w:hideMark/>
          </w:tcPr>
          <w:p w14:paraId="2C9F04CD"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2014</w:t>
            </w:r>
          </w:p>
        </w:tc>
        <w:tc>
          <w:tcPr>
            <w:tcW w:w="337" w:type="pct"/>
            <w:tcBorders>
              <w:top w:val="single" w:sz="8" w:space="0" w:color="969696"/>
              <w:left w:val="nil"/>
              <w:bottom w:val="nil"/>
              <w:right w:val="single" w:sz="8" w:space="0" w:color="969696"/>
            </w:tcBorders>
            <w:shd w:val="clear" w:color="auto" w:fill="DEEAF6" w:themeFill="accent5" w:themeFillTint="33"/>
            <w:noWrap/>
            <w:vAlign w:val="bottom"/>
            <w:hideMark/>
          </w:tcPr>
          <w:p w14:paraId="6B87EEA2"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2015</w:t>
            </w:r>
          </w:p>
        </w:tc>
        <w:tc>
          <w:tcPr>
            <w:tcW w:w="337" w:type="pct"/>
            <w:tcBorders>
              <w:top w:val="single" w:sz="8" w:space="0" w:color="969696"/>
              <w:left w:val="nil"/>
              <w:bottom w:val="nil"/>
              <w:right w:val="single" w:sz="8" w:space="0" w:color="969696"/>
            </w:tcBorders>
            <w:shd w:val="clear" w:color="auto" w:fill="DEEAF6" w:themeFill="accent5" w:themeFillTint="33"/>
            <w:noWrap/>
            <w:vAlign w:val="bottom"/>
            <w:hideMark/>
          </w:tcPr>
          <w:p w14:paraId="58DAA59A"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2016</w:t>
            </w:r>
          </w:p>
        </w:tc>
        <w:tc>
          <w:tcPr>
            <w:tcW w:w="384" w:type="pct"/>
            <w:tcBorders>
              <w:top w:val="single" w:sz="8" w:space="0" w:color="969696"/>
              <w:left w:val="nil"/>
              <w:bottom w:val="nil"/>
              <w:right w:val="single" w:sz="8" w:space="0" w:color="969696"/>
            </w:tcBorders>
            <w:shd w:val="clear" w:color="auto" w:fill="DEEAF6" w:themeFill="accent5" w:themeFillTint="33"/>
            <w:noWrap/>
            <w:vAlign w:val="bottom"/>
            <w:hideMark/>
          </w:tcPr>
          <w:p w14:paraId="570FDC63"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2017</w:t>
            </w:r>
          </w:p>
        </w:tc>
        <w:tc>
          <w:tcPr>
            <w:tcW w:w="386" w:type="pct"/>
            <w:tcBorders>
              <w:top w:val="single" w:sz="8" w:space="0" w:color="969696"/>
              <w:left w:val="nil"/>
              <w:bottom w:val="nil"/>
              <w:right w:val="single" w:sz="8" w:space="0" w:color="969696"/>
            </w:tcBorders>
            <w:shd w:val="clear" w:color="auto" w:fill="DEEAF6" w:themeFill="accent5" w:themeFillTint="33"/>
            <w:noWrap/>
            <w:vAlign w:val="bottom"/>
            <w:hideMark/>
          </w:tcPr>
          <w:p w14:paraId="16869AD5"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2018</w:t>
            </w:r>
          </w:p>
        </w:tc>
        <w:tc>
          <w:tcPr>
            <w:tcW w:w="337" w:type="pct"/>
            <w:tcBorders>
              <w:top w:val="single" w:sz="8" w:space="0" w:color="969696"/>
              <w:left w:val="nil"/>
              <w:bottom w:val="nil"/>
              <w:right w:val="single" w:sz="8" w:space="0" w:color="969696"/>
            </w:tcBorders>
            <w:shd w:val="clear" w:color="auto" w:fill="DEEAF6" w:themeFill="accent5" w:themeFillTint="33"/>
            <w:noWrap/>
            <w:vAlign w:val="bottom"/>
            <w:hideMark/>
          </w:tcPr>
          <w:p w14:paraId="44EEA130"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2019</w:t>
            </w:r>
          </w:p>
        </w:tc>
      </w:tr>
      <w:tr w:rsidR="000532D9" w:rsidRPr="00E15F8F" w14:paraId="0E982E1E" w14:textId="77777777" w:rsidTr="001B1B03">
        <w:trPr>
          <w:trHeight w:val="450"/>
        </w:trPr>
        <w:tc>
          <w:tcPr>
            <w:tcW w:w="1824" w:type="pct"/>
            <w:tcBorders>
              <w:top w:val="nil"/>
              <w:left w:val="single" w:sz="8" w:space="0" w:color="969696"/>
              <w:bottom w:val="single" w:sz="8" w:space="0" w:color="969696"/>
              <w:right w:val="single" w:sz="8" w:space="0" w:color="969696"/>
            </w:tcBorders>
            <w:shd w:val="clear" w:color="auto" w:fill="auto"/>
            <w:noWrap/>
            <w:hideMark/>
          </w:tcPr>
          <w:p w14:paraId="587123FD"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Население, свързано с пречиствателни станции за отпадъчни води</w:t>
            </w:r>
          </w:p>
        </w:tc>
        <w:tc>
          <w:tcPr>
            <w:tcW w:w="384" w:type="pct"/>
            <w:tcBorders>
              <w:top w:val="nil"/>
              <w:left w:val="nil"/>
              <w:bottom w:val="single" w:sz="8" w:space="0" w:color="969696"/>
              <w:right w:val="single" w:sz="8" w:space="0" w:color="969696"/>
            </w:tcBorders>
            <w:shd w:val="clear" w:color="auto" w:fill="auto"/>
            <w:noWrap/>
            <w:hideMark/>
          </w:tcPr>
          <w:p w14:paraId="077E7416"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55.8</w:t>
            </w:r>
          </w:p>
        </w:tc>
        <w:tc>
          <w:tcPr>
            <w:tcW w:w="337" w:type="pct"/>
            <w:tcBorders>
              <w:top w:val="nil"/>
              <w:left w:val="nil"/>
              <w:bottom w:val="single" w:sz="8" w:space="0" w:color="969696"/>
              <w:right w:val="single" w:sz="8" w:space="0" w:color="969696"/>
            </w:tcBorders>
            <w:shd w:val="clear" w:color="auto" w:fill="auto"/>
            <w:noWrap/>
            <w:hideMark/>
          </w:tcPr>
          <w:p w14:paraId="193814EF"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56.1</w:t>
            </w:r>
          </w:p>
        </w:tc>
        <w:tc>
          <w:tcPr>
            <w:tcW w:w="337" w:type="pct"/>
            <w:tcBorders>
              <w:top w:val="nil"/>
              <w:left w:val="nil"/>
              <w:bottom w:val="single" w:sz="8" w:space="0" w:color="969696"/>
              <w:right w:val="single" w:sz="8" w:space="0" w:color="969696"/>
            </w:tcBorders>
            <w:shd w:val="clear" w:color="auto" w:fill="auto"/>
            <w:noWrap/>
            <w:hideMark/>
          </w:tcPr>
          <w:p w14:paraId="1787DD5C"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56.4</w:t>
            </w:r>
          </w:p>
        </w:tc>
        <w:tc>
          <w:tcPr>
            <w:tcW w:w="336" w:type="pct"/>
            <w:tcBorders>
              <w:top w:val="nil"/>
              <w:left w:val="nil"/>
              <w:bottom w:val="single" w:sz="8" w:space="0" w:color="969696"/>
              <w:right w:val="single" w:sz="8" w:space="0" w:color="969696"/>
            </w:tcBorders>
            <w:shd w:val="clear" w:color="auto" w:fill="auto"/>
            <w:noWrap/>
            <w:hideMark/>
          </w:tcPr>
          <w:p w14:paraId="5243BF4E"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56.8</w:t>
            </w:r>
          </w:p>
        </w:tc>
        <w:tc>
          <w:tcPr>
            <w:tcW w:w="337" w:type="pct"/>
            <w:tcBorders>
              <w:top w:val="nil"/>
              <w:left w:val="nil"/>
              <w:bottom w:val="single" w:sz="8" w:space="0" w:color="969696"/>
              <w:right w:val="single" w:sz="8" w:space="0" w:color="969696"/>
            </w:tcBorders>
            <w:shd w:val="clear" w:color="auto" w:fill="auto"/>
            <w:noWrap/>
            <w:hideMark/>
          </w:tcPr>
          <w:p w14:paraId="0C0EE59C"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62.3</w:t>
            </w:r>
          </w:p>
        </w:tc>
        <w:tc>
          <w:tcPr>
            <w:tcW w:w="337" w:type="pct"/>
            <w:tcBorders>
              <w:top w:val="nil"/>
              <w:left w:val="nil"/>
              <w:bottom w:val="single" w:sz="8" w:space="0" w:color="969696"/>
              <w:right w:val="single" w:sz="8" w:space="0" w:color="969696"/>
            </w:tcBorders>
            <w:shd w:val="clear" w:color="auto" w:fill="auto"/>
            <w:noWrap/>
            <w:hideMark/>
          </w:tcPr>
          <w:p w14:paraId="328B5615"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63.1</w:t>
            </w:r>
          </w:p>
        </w:tc>
        <w:tc>
          <w:tcPr>
            <w:tcW w:w="384" w:type="pct"/>
            <w:tcBorders>
              <w:top w:val="nil"/>
              <w:left w:val="nil"/>
              <w:bottom w:val="single" w:sz="8" w:space="0" w:color="969696"/>
              <w:right w:val="single" w:sz="8" w:space="0" w:color="969696"/>
            </w:tcBorders>
            <w:shd w:val="clear" w:color="auto" w:fill="auto"/>
            <w:noWrap/>
            <w:hideMark/>
          </w:tcPr>
          <w:p w14:paraId="26723740"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63.4</w:t>
            </w:r>
          </w:p>
        </w:tc>
        <w:tc>
          <w:tcPr>
            <w:tcW w:w="386" w:type="pct"/>
            <w:tcBorders>
              <w:top w:val="nil"/>
              <w:left w:val="nil"/>
              <w:bottom w:val="single" w:sz="8" w:space="0" w:color="969696"/>
              <w:right w:val="single" w:sz="8" w:space="0" w:color="969696"/>
            </w:tcBorders>
            <w:shd w:val="clear" w:color="auto" w:fill="auto"/>
            <w:noWrap/>
            <w:hideMark/>
          </w:tcPr>
          <w:p w14:paraId="06BE6101"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63.9</w:t>
            </w:r>
          </w:p>
        </w:tc>
        <w:tc>
          <w:tcPr>
            <w:tcW w:w="337" w:type="pct"/>
            <w:tcBorders>
              <w:top w:val="nil"/>
              <w:left w:val="nil"/>
              <w:bottom w:val="single" w:sz="8" w:space="0" w:color="969696"/>
              <w:right w:val="single" w:sz="8" w:space="0" w:color="969696"/>
            </w:tcBorders>
            <w:shd w:val="clear" w:color="auto" w:fill="auto"/>
            <w:noWrap/>
            <w:hideMark/>
          </w:tcPr>
          <w:p w14:paraId="509C132B"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64.6</w:t>
            </w:r>
          </w:p>
        </w:tc>
      </w:tr>
      <w:tr w:rsidR="000532D9" w:rsidRPr="00E15F8F" w14:paraId="0C4779CE" w14:textId="77777777" w:rsidTr="001B1B03">
        <w:trPr>
          <w:trHeight w:val="290"/>
        </w:trPr>
        <w:tc>
          <w:tcPr>
            <w:tcW w:w="1824" w:type="pct"/>
            <w:tcBorders>
              <w:top w:val="nil"/>
              <w:left w:val="single" w:sz="8" w:space="0" w:color="969696"/>
              <w:bottom w:val="single" w:sz="8" w:space="0" w:color="969696"/>
              <w:right w:val="single" w:sz="8" w:space="0" w:color="969696"/>
            </w:tcBorders>
            <w:shd w:val="clear" w:color="auto" w:fill="auto"/>
            <w:noWrap/>
            <w:hideMark/>
          </w:tcPr>
          <w:p w14:paraId="7F2DF209"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xml:space="preserve">    Първично пречистване</w:t>
            </w:r>
          </w:p>
        </w:tc>
        <w:tc>
          <w:tcPr>
            <w:tcW w:w="384" w:type="pct"/>
            <w:tcBorders>
              <w:top w:val="nil"/>
              <w:left w:val="nil"/>
              <w:bottom w:val="single" w:sz="8" w:space="0" w:color="969696"/>
              <w:right w:val="single" w:sz="8" w:space="0" w:color="969696"/>
            </w:tcBorders>
            <w:shd w:val="clear" w:color="auto" w:fill="auto"/>
            <w:noWrap/>
            <w:hideMark/>
          </w:tcPr>
          <w:p w14:paraId="20AB4BDE"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2.2</w:t>
            </w:r>
          </w:p>
        </w:tc>
        <w:tc>
          <w:tcPr>
            <w:tcW w:w="337" w:type="pct"/>
            <w:tcBorders>
              <w:top w:val="nil"/>
              <w:left w:val="nil"/>
              <w:bottom w:val="single" w:sz="8" w:space="0" w:color="969696"/>
              <w:right w:val="single" w:sz="8" w:space="0" w:color="969696"/>
            </w:tcBorders>
            <w:shd w:val="clear" w:color="auto" w:fill="auto"/>
            <w:noWrap/>
            <w:hideMark/>
          </w:tcPr>
          <w:p w14:paraId="668A3C38"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2.2</w:t>
            </w:r>
          </w:p>
        </w:tc>
        <w:tc>
          <w:tcPr>
            <w:tcW w:w="337" w:type="pct"/>
            <w:tcBorders>
              <w:top w:val="nil"/>
              <w:left w:val="nil"/>
              <w:bottom w:val="single" w:sz="8" w:space="0" w:color="969696"/>
              <w:right w:val="single" w:sz="8" w:space="0" w:color="969696"/>
            </w:tcBorders>
            <w:shd w:val="clear" w:color="auto" w:fill="auto"/>
            <w:noWrap/>
            <w:hideMark/>
          </w:tcPr>
          <w:p w14:paraId="60350F80"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1.9</w:t>
            </w:r>
          </w:p>
        </w:tc>
        <w:tc>
          <w:tcPr>
            <w:tcW w:w="336" w:type="pct"/>
            <w:tcBorders>
              <w:top w:val="nil"/>
              <w:left w:val="nil"/>
              <w:bottom w:val="single" w:sz="8" w:space="0" w:color="969696"/>
              <w:right w:val="single" w:sz="8" w:space="0" w:color="969696"/>
            </w:tcBorders>
            <w:shd w:val="clear" w:color="auto" w:fill="auto"/>
            <w:noWrap/>
            <w:hideMark/>
          </w:tcPr>
          <w:p w14:paraId="6EA09590"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w:t>
            </w:r>
          </w:p>
        </w:tc>
        <w:tc>
          <w:tcPr>
            <w:tcW w:w="337" w:type="pct"/>
            <w:tcBorders>
              <w:top w:val="nil"/>
              <w:left w:val="nil"/>
              <w:bottom w:val="single" w:sz="8" w:space="0" w:color="969696"/>
              <w:right w:val="single" w:sz="8" w:space="0" w:color="969696"/>
            </w:tcBorders>
            <w:shd w:val="clear" w:color="auto" w:fill="auto"/>
            <w:noWrap/>
            <w:hideMark/>
          </w:tcPr>
          <w:p w14:paraId="21969D04"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1.7</w:t>
            </w:r>
          </w:p>
        </w:tc>
        <w:tc>
          <w:tcPr>
            <w:tcW w:w="337" w:type="pct"/>
            <w:tcBorders>
              <w:top w:val="nil"/>
              <w:left w:val="nil"/>
              <w:bottom w:val="single" w:sz="8" w:space="0" w:color="969696"/>
              <w:right w:val="single" w:sz="8" w:space="0" w:color="969696"/>
            </w:tcBorders>
            <w:shd w:val="clear" w:color="auto" w:fill="auto"/>
            <w:noWrap/>
            <w:hideMark/>
          </w:tcPr>
          <w:p w14:paraId="2A1264EB"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1.3</w:t>
            </w:r>
          </w:p>
        </w:tc>
        <w:tc>
          <w:tcPr>
            <w:tcW w:w="384" w:type="pct"/>
            <w:tcBorders>
              <w:top w:val="nil"/>
              <w:left w:val="nil"/>
              <w:bottom w:val="single" w:sz="8" w:space="0" w:color="969696"/>
              <w:right w:val="single" w:sz="8" w:space="0" w:color="969696"/>
            </w:tcBorders>
            <w:shd w:val="clear" w:color="auto" w:fill="auto"/>
            <w:noWrap/>
            <w:hideMark/>
          </w:tcPr>
          <w:p w14:paraId="1EB64345"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0.2</w:t>
            </w:r>
          </w:p>
        </w:tc>
        <w:tc>
          <w:tcPr>
            <w:tcW w:w="386" w:type="pct"/>
            <w:tcBorders>
              <w:top w:val="nil"/>
              <w:left w:val="nil"/>
              <w:bottom w:val="single" w:sz="8" w:space="0" w:color="969696"/>
              <w:right w:val="single" w:sz="8" w:space="0" w:color="969696"/>
            </w:tcBorders>
            <w:shd w:val="clear" w:color="auto" w:fill="auto"/>
            <w:noWrap/>
            <w:hideMark/>
          </w:tcPr>
          <w:p w14:paraId="513F74DF"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0.2</w:t>
            </w:r>
          </w:p>
        </w:tc>
        <w:tc>
          <w:tcPr>
            <w:tcW w:w="337" w:type="pct"/>
            <w:tcBorders>
              <w:top w:val="nil"/>
              <w:left w:val="nil"/>
              <w:bottom w:val="single" w:sz="8" w:space="0" w:color="969696"/>
              <w:right w:val="single" w:sz="8" w:space="0" w:color="969696"/>
            </w:tcBorders>
            <w:shd w:val="clear" w:color="auto" w:fill="auto"/>
            <w:noWrap/>
            <w:hideMark/>
          </w:tcPr>
          <w:p w14:paraId="0A7381CE"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0.1</w:t>
            </w:r>
          </w:p>
        </w:tc>
      </w:tr>
      <w:tr w:rsidR="000532D9" w:rsidRPr="00E15F8F" w14:paraId="192DBC39" w14:textId="77777777" w:rsidTr="001B1B03">
        <w:trPr>
          <w:trHeight w:val="310"/>
        </w:trPr>
        <w:tc>
          <w:tcPr>
            <w:tcW w:w="1824" w:type="pct"/>
            <w:tcBorders>
              <w:top w:val="nil"/>
              <w:left w:val="single" w:sz="8" w:space="0" w:color="969696"/>
              <w:bottom w:val="single" w:sz="8" w:space="0" w:color="969696"/>
              <w:right w:val="single" w:sz="8" w:space="0" w:color="969696"/>
            </w:tcBorders>
            <w:shd w:val="clear" w:color="auto" w:fill="auto"/>
            <w:noWrap/>
            <w:hideMark/>
          </w:tcPr>
          <w:p w14:paraId="2D188FA1"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xml:space="preserve">    Вторично пречистване</w:t>
            </w:r>
          </w:p>
        </w:tc>
        <w:tc>
          <w:tcPr>
            <w:tcW w:w="384" w:type="pct"/>
            <w:tcBorders>
              <w:top w:val="nil"/>
              <w:left w:val="nil"/>
              <w:bottom w:val="single" w:sz="8" w:space="0" w:color="969696"/>
              <w:right w:val="single" w:sz="8" w:space="0" w:color="969696"/>
            </w:tcBorders>
            <w:shd w:val="clear" w:color="auto" w:fill="auto"/>
            <w:noWrap/>
            <w:hideMark/>
          </w:tcPr>
          <w:p w14:paraId="224AEB62"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19.2</w:t>
            </w:r>
          </w:p>
        </w:tc>
        <w:tc>
          <w:tcPr>
            <w:tcW w:w="337" w:type="pct"/>
            <w:tcBorders>
              <w:top w:val="nil"/>
              <w:left w:val="nil"/>
              <w:bottom w:val="single" w:sz="8" w:space="0" w:color="969696"/>
              <w:right w:val="single" w:sz="8" w:space="0" w:color="969696"/>
            </w:tcBorders>
            <w:shd w:val="clear" w:color="auto" w:fill="auto"/>
            <w:noWrap/>
            <w:hideMark/>
          </w:tcPr>
          <w:p w14:paraId="2F34C48D"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19.2</w:t>
            </w:r>
          </w:p>
        </w:tc>
        <w:tc>
          <w:tcPr>
            <w:tcW w:w="337" w:type="pct"/>
            <w:tcBorders>
              <w:top w:val="nil"/>
              <w:left w:val="nil"/>
              <w:bottom w:val="single" w:sz="8" w:space="0" w:color="969696"/>
              <w:right w:val="single" w:sz="8" w:space="0" w:color="969696"/>
            </w:tcBorders>
            <w:shd w:val="clear" w:color="auto" w:fill="auto"/>
            <w:noWrap/>
            <w:hideMark/>
          </w:tcPr>
          <w:p w14:paraId="166526AC"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19.3</w:t>
            </w:r>
          </w:p>
        </w:tc>
        <w:tc>
          <w:tcPr>
            <w:tcW w:w="336" w:type="pct"/>
            <w:tcBorders>
              <w:top w:val="nil"/>
              <w:left w:val="nil"/>
              <w:bottom w:val="single" w:sz="8" w:space="0" w:color="969696"/>
              <w:right w:val="single" w:sz="8" w:space="0" w:color="969696"/>
            </w:tcBorders>
            <w:shd w:val="clear" w:color="auto" w:fill="auto"/>
            <w:noWrap/>
            <w:hideMark/>
          </w:tcPr>
          <w:p w14:paraId="418958F8"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20.4</w:t>
            </w:r>
          </w:p>
        </w:tc>
        <w:tc>
          <w:tcPr>
            <w:tcW w:w="337" w:type="pct"/>
            <w:tcBorders>
              <w:top w:val="nil"/>
              <w:left w:val="nil"/>
              <w:bottom w:val="single" w:sz="8" w:space="0" w:color="969696"/>
              <w:right w:val="single" w:sz="8" w:space="0" w:color="969696"/>
            </w:tcBorders>
            <w:shd w:val="clear" w:color="auto" w:fill="auto"/>
            <w:noWrap/>
            <w:hideMark/>
          </w:tcPr>
          <w:p w14:paraId="4D26FCAE"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16.9</w:t>
            </w:r>
          </w:p>
        </w:tc>
        <w:tc>
          <w:tcPr>
            <w:tcW w:w="337" w:type="pct"/>
            <w:tcBorders>
              <w:top w:val="nil"/>
              <w:left w:val="nil"/>
              <w:bottom w:val="single" w:sz="8" w:space="0" w:color="969696"/>
              <w:right w:val="single" w:sz="8" w:space="0" w:color="969696"/>
            </w:tcBorders>
            <w:shd w:val="clear" w:color="auto" w:fill="auto"/>
            <w:noWrap/>
            <w:hideMark/>
          </w:tcPr>
          <w:p w14:paraId="6BB89033"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17.2</w:t>
            </w:r>
          </w:p>
        </w:tc>
        <w:tc>
          <w:tcPr>
            <w:tcW w:w="384" w:type="pct"/>
            <w:tcBorders>
              <w:top w:val="nil"/>
              <w:left w:val="nil"/>
              <w:bottom w:val="single" w:sz="8" w:space="0" w:color="969696"/>
              <w:right w:val="single" w:sz="8" w:space="0" w:color="969696"/>
            </w:tcBorders>
            <w:shd w:val="clear" w:color="auto" w:fill="auto"/>
            <w:noWrap/>
            <w:hideMark/>
          </w:tcPr>
          <w:p w14:paraId="2280F16F"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16.2</w:t>
            </w:r>
          </w:p>
        </w:tc>
        <w:tc>
          <w:tcPr>
            <w:tcW w:w="386" w:type="pct"/>
            <w:tcBorders>
              <w:top w:val="nil"/>
              <w:left w:val="nil"/>
              <w:bottom w:val="single" w:sz="8" w:space="0" w:color="969696"/>
              <w:right w:val="single" w:sz="8" w:space="0" w:color="969696"/>
            </w:tcBorders>
            <w:shd w:val="clear" w:color="auto" w:fill="auto"/>
            <w:noWrap/>
            <w:hideMark/>
          </w:tcPr>
          <w:p w14:paraId="47BB015F"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16.4</w:t>
            </w:r>
          </w:p>
        </w:tc>
        <w:tc>
          <w:tcPr>
            <w:tcW w:w="337" w:type="pct"/>
            <w:tcBorders>
              <w:top w:val="nil"/>
              <w:left w:val="nil"/>
              <w:bottom w:val="single" w:sz="8" w:space="0" w:color="969696"/>
              <w:right w:val="single" w:sz="8" w:space="0" w:color="969696"/>
            </w:tcBorders>
            <w:shd w:val="clear" w:color="auto" w:fill="auto"/>
            <w:noWrap/>
            <w:hideMark/>
          </w:tcPr>
          <w:p w14:paraId="6C306F61"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15.1</w:t>
            </w:r>
          </w:p>
        </w:tc>
      </w:tr>
      <w:tr w:rsidR="000532D9" w:rsidRPr="00E15F8F" w14:paraId="62BD41B2" w14:textId="77777777" w:rsidTr="001B1B03">
        <w:trPr>
          <w:trHeight w:val="290"/>
        </w:trPr>
        <w:tc>
          <w:tcPr>
            <w:tcW w:w="1824" w:type="pct"/>
            <w:tcBorders>
              <w:top w:val="nil"/>
              <w:left w:val="single" w:sz="8" w:space="0" w:color="969696"/>
              <w:bottom w:val="single" w:sz="8" w:space="0" w:color="969696"/>
              <w:right w:val="single" w:sz="8" w:space="0" w:color="969696"/>
            </w:tcBorders>
            <w:shd w:val="clear" w:color="auto" w:fill="auto"/>
            <w:noWrap/>
            <w:hideMark/>
          </w:tcPr>
          <w:p w14:paraId="0A9AA469"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xml:space="preserve">   Допречистване след вторичното</w:t>
            </w:r>
          </w:p>
        </w:tc>
        <w:tc>
          <w:tcPr>
            <w:tcW w:w="384" w:type="pct"/>
            <w:tcBorders>
              <w:top w:val="nil"/>
              <w:left w:val="nil"/>
              <w:bottom w:val="single" w:sz="8" w:space="0" w:color="969696"/>
              <w:right w:val="single" w:sz="8" w:space="0" w:color="969696"/>
            </w:tcBorders>
            <w:shd w:val="clear" w:color="auto" w:fill="auto"/>
            <w:noWrap/>
            <w:hideMark/>
          </w:tcPr>
          <w:p w14:paraId="69A2117B"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34.5</w:t>
            </w:r>
          </w:p>
        </w:tc>
        <w:tc>
          <w:tcPr>
            <w:tcW w:w="337" w:type="pct"/>
            <w:tcBorders>
              <w:top w:val="nil"/>
              <w:left w:val="nil"/>
              <w:bottom w:val="single" w:sz="8" w:space="0" w:color="969696"/>
              <w:right w:val="single" w:sz="8" w:space="0" w:color="969696"/>
            </w:tcBorders>
            <w:shd w:val="clear" w:color="auto" w:fill="auto"/>
            <w:noWrap/>
            <w:hideMark/>
          </w:tcPr>
          <w:p w14:paraId="09858483"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34.7</w:t>
            </w:r>
          </w:p>
        </w:tc>
        <w:tc>
          <w:tcPr>
            <w:tcW w:w="337" w:type="pct"/>
            <w:tcBorders>
              <w:top w:val="nil"/>
              <w:left w:val="nil"/>
              <w:bottom w:val="single" w:sz="8" w:space="0" w:color="969696"/>
              <w:right w:val="single" w:sz="8" w:space="0" w:color="969696"/>
            </w:tcBorders>
            <w:shd w:val="clear" w:color="auto" w:fill="auto"/>
            <w:noWrap/>
            <w:hideMark/>
          </w:tcPr>
          <w:p w14:paraId="62394D7C"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35.3</w:t>
            </w:r>
          </w:p>
        </w:tc>
        <w:tc>
          <w:tcPr>
            <w:tcW w:w="336" w:type="pct"/>
            <w:tcBorders>
              <w:top w:val="nil"/>
              <w:left w:val="nil"/>
              <w:bottom w:val="single" w:sz="8" w:space="0" w:color="969696"/>
              <w:right w:val="single" w:sz="8" w:space="0" w:color="969696"/>
            </w:tcBorders>
            <w:shd w:val="clear" w:color="auto" w:fill="auto"/>
            <w:noWrap/>
            <w:hideMark/>
          </w:tcPr>
          <w:p w14:paraId="4B5E7B38"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34.4</w:t>
            </w:r>
          </w:p>
        </w:tc>
        <w:tc>
          <w:tcPr>
            <w:tcW w:w="337" w:type="pct"/>
            <w:tcBorders>
              <w:top w:val="nil"/>
              <w:left w:val="nil"/>
              <w:bottom w:val="single" w:sz="8" w:space="0" w:color="969696"/>
              <w:right w:val="single" w:sz="8" w:space="0" w:color="969696"/>
            </w:tcBorders>
            <w:shd w:val="clear" w:color="auto" w:fill="auto"/>
            <w:noWrap/>
            <w:hideMark/>
          </w:tcPr>
          <w:p w14:paraId="02A9DFC6"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43.8</w:t>
            </w:r>
          </w:p>
        </w:tc>
        <w:tc>
          <w:tcPr>
            <w:tcW w:w="337" w:type="pct"/>
            <w:tcBorders>
              <w:top w:val="nil"/>
              <w:left w:val="nil"/>
              <w:bottom w:val="single" w:sz="8" w:space="0" w:color="969696"/>
              <w:right w:val="single" w:sz="8" w:space="0" w:color="969696"/>
            </w:tcBorders>
            <w:shd w:val="clear" w:color="auto" w:fill="auto"/>
            <w:noWrap/>
            <w:hideMark/>
          </w:tcPr>
          <w:p w14:paraId="49FA6CE5"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44.7</w:t>
            </w:r>
          </w:p>
        </w:tc>
        <w:tc>
          <w:tcPr>
            <w:tcW w:w="384" w:type="pct"/>
            <w:tcBorders>
              <w:top w:val="nil"/>
              <w:left w:val="nil"/>
              <w:bottom w:val="single" w:sz="8" w:space="0" w:color="969696"/>
              <w:right w:val="single" w:sz="8" w:space="0" w:color="969696"/>
            </w:tcBorders>
            <w:shd w:val="clear" w:color="auto" w:fill="auto"/>
            <w:noWrap/>
            <w:hideMark/>
          </w:tcPr>
          <w:p w14:paraId="27306F5A"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47.0</w:t>
            </w:r>
          </w:p>
        </w:tc>
        <w:tc>
          <w:tcPr>
            <w:tcW w:w="386" w:type="pct"/>
            <w:tcBorders>
              <w:top w:val="nil"/>
              <w:left w:val="nil"/>
              <w:bottom w:val="single" w:sz="8" w:space="0" w:color="969696"/>
              <w:right w:val="single" w:sz="8" w:space="0" w:color="969696"/>
            </w:tcBorders>
            <w:shd w:val="clear" w:color="auto" w:fill="auto"/>
            <w:noWrap/>
            <w:hideMark/>
          </w:tcPr>
          <w:p w14:paraId="082C983B"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47.4</w:t>
            </w:r>
          </w:p>
        </w:tc>
        <w:tc>
          <w:tcPr>
            <w:tcW w:w="337" w:type="pct"/>
            <w:tcBorders>
              <w:top w:val="nil"/>
              <w:left w:val="nil"/>
              <w:bottom w:val="single" w:sz="8" w:space="0" w:color="969696"/>
              <w:right w:val="single" w:sz="8" w:space="0" w:color="969696"/>
            </w:tcBorders>
            <w:shd w:val="clear" w:color="auto" w:fill="auto"/>
            <w:noWrap/>
            <w:hideMark/>
          </w:tcPr>
          <w:p w14:paraId="31D8BC51"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49.4</w:t>
            </w:r>
          </w:p>
        </w:tc>
      </w:tr>
      <w:tr w:rsidR="000532D9" w:rsidRPr="00E15F8F" w14:paraId="211FA46D" w14:textId="77777777" w:rsidTr="001B1B03">
        <w:trPr>
          <w:trHeight w:val="460"/>
        </w:trPr>
        <w:tc>
          <w:tcPr>
            <w:tcW w:w="1824" w:type="pct"/>
            <w:tcBorders>
              <w:top w:val="nil"/>
              <w:left w:val="single" w:sz="8" w:space="0" w:color="969696"/>
              <w:bottom w:val="single" w:sz="8" w:space="0" w:color="969696"/>
              <w:right w:val="single" w:sz="8" w:space="0" w:color="969696"/>
            </w:tcBorders>
            <w:shd w:val="clear" w:color="auto" w:fill="auto"/>
            <w:noWrap/>
            <w:hideMark/>
          </w:tcPr>
          <w:p w14:paraId="118E3471"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lastRenderedPageBreak/>
              <w:t>Население с обществена канализация, без пречистване</w:t>
            </w:r>
          </w:p>
        </w:tc>
        <w:tc>
          <w:tcPr>
            <w:tcW w:w="384" w:type="pct"/>
            <w:tcBorders>
              <w:top w:val="nil"/>
              <w:left w:val="nil"/>
              <w:bottom w:val="single" w:sz="8" w:space="0" w:color="969696"/>
              <w:right w:val="single" w:sz="8" w:space="0" w:color="969696"/>
            </w:tcBorders>
            <w:shd w:val="clear" w:color="auto" w:fill="auto"/>
            <w:noWrap/>
            <w:hideMark/>
          </w:tcPr>
          <w:p w14:paraId="177E804F"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18.3</w:t>
            </w:r>
          </w:p>
        </w:tc>
        <w:tc>
          <w:tcPr>
            <w:tcW w:w="337" w:type="pct"/>
            <w:tcBorders>
              <w:top w:val="nil"/>
              <w:left w:val="nil"/>
              <w:bottom w:val="single" w:sz="8" w:space="0" w:color="969696"/>
              <w:right w:val="single" w:sz="8" w:space="0" w:color="969696"/>
            </w:tcBorders>
            <w:shd w:val="clear" w:color="auto" w:fill="auto"/>
            <w:noWrap/>
            <w:hideMark/>
          </w:tcPr>
          <w:p w14:paraId="6B0D2572"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18.3</w:t>
            </w:r>
          </w:p>
        </w:tc>
        <w:tc>
          <w:tcPr>
            <w:tcW w:w="337" w:type="pct"/>
            <w:tcBorders>
              <w:top w:val="nil"/>
              <w:left w:val="nil"/>
              <w:bottom w:val="single" w:sz="8" w:space="0" w:color="969696"/>
              <w:right w:val="single" w:sz="8" w:space="0" w:color="969696"/>
            </w:tcBorders>
            <w:shd w:val="clear" w:color="auto" w:fill="auto"/>
            <w:noWrap/>
            <w:hideMark/>
          </w:tcPr>
          <w:p w14:paraId="726282F1"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18.3</w:t>
            </w:r>
          </w:p>
        </w:tc>
        <w:tc>
          <w:tcPr>
            <w:tcW w:w="336" w:type="pct"/>
            <w:tcBorders>
              <w:top w:val="nil"/>
              <w:left w:val="nil"/>
              <w:bottom w:val="single" w:sz="8" w:space="0" w:color="969696"/>
              <w:right w:val="single" w:sz="8" w:space="0" w:color="969696"/>
            </w:tcBorders>
            <w:shd w:val="clear" w:color="auto" w:fill="auto"/>
            <w:noWrap/>
            <w:hideMark/>
          </w:tcPr>
          <w:p w14:paraId="4846538F"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18.1</w:t>
            </w:r>
          </w:p>
        </w:tc>
        <w:tc>
          <w:tcPr>
            <w:tcW w:w="337" w:type="pct"/>
            <w:tcBorders>
              <w:top w:val="nil"/>
              <w:left w:val="nil"/>
              <w:bottom w:val="single" w:sz="8" w:space="0" w:color="969696"/>
              <w:right w:val="single" w:sz="8" w:space="0" w:color="969696"/>
            </w:tcBorders>
            <w:shd w:val="clear" w:color="auto" w:fill="auto"/>
            <w:noWrap/>
            <w:hideMark/>
          </w:tcPr>
          <w:p w14:paraId="4D00601A"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13.2</w:t>
            </w:r>
          </w:p>
        </w:tc>
        <w:tc>
          <w:tcPr>
            <w:tcW w:w="337" w:type="pct"/>
            <w:tcBorders>
              <w:top w:val="nil"/>
              <w:left w:val="nil"/>
              <w:bottom w:val="single" w:sz="8" w:space="0" w:color="969696"/>
              <w:right w:val="single" w:sz="8" w:space="0" w:color="969696"/>
            </w:tcBorders>
            <w:shd w:val="clear" w:color="auto" w:fill="auto"/>
            <w:noWrap/>
            <w:hideMark/>
          </w:tcPr>
          <w:p w14:paraId="2273A668"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12.6</w:t>
            </w:r>
          </w:p>
        </w:tc>
        <w:tc>
          <w:tcPr>
            <w:tcW w:w="384" w:type="pct"/>
            <w:tcBorders>
              <w:top w:val="nil"/>
              <w:left w:val="nil"/>
              <w:bottom w:val="single" w:sz="8" w:space="0" w:color="969696"/>
              <w:right w:val="single" w:sz="8" w:space="0" w:color="969696"/>
            </w:tcBorders>
            <w:shd w:val="clear" w:color="auto" w:fill="auto"/>
            <w:noWrap/>
            <w:hideMark/>
          </w:tcPr>
          <w:p w14:paraId="49C398E8"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12.6</w:t>
            </w:r>
          </w:p>
        </w:tc>
        <w:tc>
          <w:tcPr>
            <w:tcW w:w="386" w:type="pct"/>
            <w:tcBorders>
              <w:top w:val="nil"/>
              <w:left w:val="nil"/>
              <w:bottom w:val="single" w:sz="8" w:space="0" w:color="969696"/>
              <w:right w:val="single" w:sz="8" w:space="0" w:color="969696"/>
            </w:tcBorders>
            <w:shd w:val="clear" w:color="auto" w:fill="auto"/>
            <w:noWrap/>
            <w:hideMark/>
          </w:tcPr>
          <w:p w14:paraId="6FCDCDCD"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12.3</w:t>
            </w:r>
          </w:p>
        </w:tc>
        <w:tc>
          <w:tcPr>
            <w:tcW w:w="337" w:type="pct"/>
            <w:tcBorders>
              <w:top w:val="nil"/>
              <w:left w:val="nil"/>
              <w:bottom w:val="single" w:sz="8" w:space="0" w:color="969696"/>
              <w:right w:val="single" w:sz="8" w:space="0" w:color="969696"/>
            </w:tcBorders>
            <w:shd w:val="clear" w:color="auto" w:fill="auto"/>
            <w:noWrap/>
            <w:hideMark/>
          </w:tcPr>
          <w:p w14:paraId="455D234A"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11.8</w:t>
            </w:r>
          </w:p>
        </w:tc>
      </w:tr>
      <w:tr w:rsidR="000532D9" w:rsidRPr="00E15F8F" w14:paraId="68DAF474" w14:textId="77777777" w:rsidTr="001B1B03">
        <w:trPr>
          <w:trHeight w:val="340"/>
        </w:trPr>
        <w:tc>
          <w:tcPr>
            <w:tcW w:w="1824" w:type="pct"/>
            <w:tcBorders>
              <w:top w:val="nil"/>
              <w:left w:val="single" w:sz="8" w:space="0" w:color="969696"/>
              <w:bottom w:val="single" w:sz="8" w:space="0" w:color="969696"/>
              <w:right w:val="single" w:sz="8" w:space="0" w:color="969696"/>
            </w:tcBorders>
            <w:shd w:val="clear" w:color="auto" w:fill="auto"/>
            <w:noWrap/>
            <w:hideMark/>
          </w:tcPr>
          <w:p w14:paraId="55F3BB91"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Население с обществена канализация, общо</w:t>
            </w:r>
          </w:p>
        </w:tc>
        <w:tc>
          <w:tcPr>
            <w:tcW w:w="384" w:type="pct"/>
            <w:tcBorders>
              <w:top w:val="nil"/>
              <w:left w:val="nil"/>
              <w:bottom w:val="single" w:sz="8" w:space="0" w:color="969696"/>
              <w:right w:val="single" w:sz="8" w:space="0" w:color="969696"/>
            </w:tcBorders>
            <w:shd w:val="clear" w:color="auto" w:fill="auto"/>
            <w:noWrap/>
            <w:hideMark/>
          </w:tcPr>
          <w:p w14:paraId="026F9EF1"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74.1</w:t>
            </w:r>
          </w:p>
        </w:tc>
        <w:tc>
          <w:tcPr>
            <w:tcW w:w="337" w:type="pct"/>
            <w:tcBorders>
              <w:top w:val="nil"/>
              <w:left w:val="nil"/>
              <w:bottom w:val="single" w:sz="8" w:space="0" w:color="969696"/>
              <w:right w:val="single" w:sz="8" w:space="0" w:color="969696"/>
            </w:tcBorders>
            <w:shd w:val="clear" w:color="auto" w:fill="auto"/>
            <w:noWrap/>
            <w:hideMark/>
          </w:tcPr>
          <w:p w14:paraId="0F31414C"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74.3</w:t>
            </w:r>
          </w:p>
        </w:tc>
        <w:tc>
          <w:tcPr>
            <w:tcW w:w="337" w:type="pct"/>
            <w:tcBorders>
              <w:top w:val="nil"/>
              <w:left w:val="nil"/>
              <w:bottom w:val="single" w:sz="8" w:space="0" w:color="969696"/>
              <w:right w:val="single" w:sz="8" w:space="0" w:color="969696"/>
            </w:tcBorders>
            <w:shd w:val="clear" w:color="auto" w:fill="auto"/>
            <w:noWrap/>
            <w:hideMark/>
          </w:tcPr>
          <w:p w14:paraId="6FA2A77F"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74.7</w:t>
            </w:r>
          </w:p>
        </w:tc>
        <w:tc>
          <w:tcPr>
            <w:tcW w:w="336" w:type="pct"/>
            <w:tcBorders>
              <w:top w:val="nil"/>
              <w:left w:val="nil"/>
              <w:bottom w:val="single" w:sz="8" w:space="0" w:color="969696"/>
              <w:right w:val="single" w:sz="8" w:space="0" w:color="969696"/>
            </w:tcBorders>
            <w:shd w:val="clear" w:color="auto" w:fill="auto"/>
            <w:noWrap/>
            <w:hideMark/>
          </w:tcPr>
          <w:p w14:paraId="4E00AE65"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74.9</w:t>
            </w:r>
          </w:p>
        </w:tc>
        <w:tc>
          <w:tcPr>
            <w:tcW w:w="337" w:type="pct"/>
            <w:tcBorders>
              <w:top w:val="nil"/>
              <w:left w:val="nil"/>
              <w:bottom w:val="single" w:sz="8" w:space="0" w:color="969696"/>
              <w:right w:val="single" w:sz="8" w:space="0" w:color="969696"/>
            </w:tcBorders>
            <w:shd w:val="clear" w:color="auto" w:fill="auto"/>
            <w:noWrap/>
            <w:hideMark/>
          </w:tcPr>
          <w:p w14:paraId="0B2F2AE4"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75.5</w:t>
            </w:r>
          </w:p>
        </w:tc>
        <w:tc>
          <w:tcPr>
            <w:tcW w:w="337" w:type="pct"/>
            <w:tcBorders>
              <w:top w:val="nil"/>
              <w:left w:val="nil"/>
              <w:bottom w:val="single" w:sz="8" w:space="0" w:color="969696"/>
              <w:right w:val="single" w:sz="8" w:space="0" w:color="969696"/>
            </w:tcBorders>
            <w:shd w:val="clear" w:color="auto" w:fill="auto"/>
            <w:noWrap/>
            <w:hideMark/>
          </w:tcPr>
          <w:p w14:paraId="2B8D2A45"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75.7</w:t>
            </w:r>
          </w:p>
        </w:tc>
        <w:tc>
          <w:tcPr>
            <w:tcW w:w="384" w:type="pct"/>
            <w:tcBorders>
              <w:top w:val="nil"/>
              <w:left w:val="nil"/>
              <w:bottom w:val="single" w:sz="8" w:space="0" w:color="969696"/>
              <w:right w:val="single" w:sz="8" w:space="0" w:color="969696"/>
            </w:tcBorders>
            <w:shd w:val="clear" w:color="auto" w:fill="auto"/>
            <w:noWrap/>
            <w:hideMark/>
          </w:tcPr>
          <w:p w14:paraId="619B70CE"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76.0</w:t>
            </w:r>
          </w:p>
        </w:tc>
        <w:tc>
          <w:tcPr>
            <w:tcW w:w="386" w:type="pct"/>
            <w:tcBorders>
              <w:top w:val="nil"/>
              <w:left w:val="nil"/>
              <w:bottom w:val="single" w:sz="8" w:space="0" w:color="969696"/>
              <w:right w:val="single" w:sz="8" w:space="0" w:color="969696"/>
            </w:tcBorders>
            <w:shd w:val="clear" w:color="auto" w:fill="auto"/>
            <w:noWrap/>
            <w:hideMark/>
          </w:tcPr>
          <w:p w14:paraId="23438394"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76.2</w:t>
            </w:r>
          </w:p>
        </w:tc>
        <w:tc>
          <w:tcPr>
            <w:tcW w:w="337" w:type="pct"/>
            <w:tcBorders>
              <w:top w:val="nil"/>
              <w:left w:val="nil"/>
              <w:bottom w:val="single" w:sz="8" w:space="0" w:color="969696"/>
              <w:right w:val="single" w:sz="8" w:space="0" w:color="969696"/>
            </w:tcBorders>
            <w:shd w:val="clear" w:color="auto" w:fill="auto"/>
            <w:noWrap/>
            <w:hideMark/>
          </w:tcPr>
          <w:p w14:paraId="701B7817" w14:textId="77777777" w:rsidR="000532D9" w:rsidRPr="00E15F8F" w:rsidRDefault="000532D9" w:rsidP="0047737A">
            <w:pPr>
              <w:spacing w:after="0" w:line="240" w:lineRule="auto"/>
              <w:jc w:val="both"/>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76.4</w:t>
            </w:r>
          </w:p>
        </w:tc>
      </w:tr>
    </w:tbl>
    <w:p w14:paraId="32E0E7C6" w14:textId="77777777" w:rsidR="000532D9" w:rsidRPr="00E15F8F" w:rsidRDefault="000532D9" w:rsidP="000532D9">
      <w:pPr>
        <w:pStyle w:val="Default"/>
        <w:rPr>
          <w:i/>
          <w:iCs/>
          <w:sz w:val="22"/>
          <w:szCs w:val="22"/>
          <w:lang w:val="bg-BG"/>
        </w:rPr>
      </w:pPr>
      <w:r w:rsidRPr="00E15F8F">
        <w:rPr>
          <w:i/>
          <w:iCs/>
          <w:sz w:val="22"/>
          <w:szCs w:val="22"/>
          <w:lang w:val="bg-BG"/>
        </w:rPr>
        <w:t>Източник: НСИ</w:t>
      </w:r>
    </w:p>
    <w:p w14:paraId="79286467" w14:textId="77777777" w:rsidR="000532D9" w:rsidRPr="00E15F8F" w:rsidRDefault="000532D9" w:rsidP="000532D9">
      <w:pPr>
        <w:pStyle w:val="Default"/>
        <w:rPr>
          <w:sz w:val="23"/>
          <w:szCs w:val="23"/>
          <w:lang w:val="bg-BG"/>
        </w:rPr>
      </w:pPr>
    </w:p>
    <w:p w14:paraId="1DA0BC94" w14:textId="77777777" w:rsidR="000532D9" w:rsidRPr="00E15F8F" w:rsidRDefault="000532D9" w:rsidP="000532D9">
      <w:pPr>
        <w:pStyle w:val="Default"/>
        <w:spacing w:line="276" w:lineRule="auto"/>
        <w:jc w:val="both"/>
        <w:rPr>
          <w:sz w:val="22"/>
          <w:szCs w:val="22"/>
          <w:lang w:val="bg-BG"/>
        </w:rPr>
      </w:pPr>
      <w:r w:rsidRPr="00E15F8F">
        <w:rPr>
          <w:sz w:val="22"/>
          <w:szCs w:val="22"/>
          <w:lang w:val="bg-BG"/>
        </w:rPr>
        <w:t xml:space="preserve">През 2019 г. броят на изградените и функциониращи ПСОВ достига 173, в сравнение с 62 през 2007 г. Почти двойно увеличение на броя на инсталациите е характерно за периода 2015 – 2016 г., което съвпада с периода на най-интензивни инвестиции по Оперативна програма „Околна среда“. 81 от действащите ПСОВ са с третично пречистване, в т.ч. 77 с отстраняване на азот и 79 с отстраняване на фосфор. </w:t>
      </w:r>
    </w:p>
    <w:p w14:paraId="5A4385DC" w14:textId="471D36A0" w:rsidR="000532D9" w:rsidRPr="006F34D7" w:rsidRDefault="006F34D7" w:rsidP="006F34D7">
      <w:pPr>
        <w:pStyle w:val="Caption"/>
        <w:jc w:val="both"/>
        <w:rPr>
          <w:rFonts w:eastAsiaTheme="minorHAnsi" w:cs="Times New Roman"/>
          <w:b w:val="0"/>
          <w:bCs w:val="0"/>
          <w:i/>
          <w:color w:val="000000"/>
          <w:sz w:val="22"/>
          <w:szCs w:val="22"/>
          <w:lang w:eastAsia="en-US"/>
        </w:rPr>
      </w:pPr>
      <w:bookmarkStart w:id="9" w:name="_Toc72917592"/>
      <w:r w:rsidRPr="006F34D7">
        <w:rPr>
          <w:rFonts w:eastAsiaTheme="minorHAnsi" w:cs="Times New Roman"/>
          <w:b w:val="0"/>
          <w:bCs w:val="0"/>
          <w:i/>
          <w:color w:val="000000"/>
          <w:sz w:val="22"/>
          <w:szCs w:val="22"/>
          <w:lang w:eastAsia="en-US"/>
        </w:rPr>
        <w:t xml:space="preserve">Таблица </w:t>
      </w:r>
      <w:r w:rsidRPr="006F34D7">
        <w:rPr>
          <w:rFonts w:eastAsiaTheme="minorHAnsi" w:cs="Times New Roman"/>
          <w:b w:val="0"/>
          <w:bCs w:val="0"/>
          <w:i/>
          <w:color w:val="000000"/>
          <w:sz w:val="22"/>
          <w:szCs w:val="22"/>
          <w:lang w:eastAsia="en-US"/>
        </w:rPr>
        <w:fldChar w:fldCharType="begin"/>
      </w:r>
      <w:r w:rsidRPr="006F34D7">
        <w:rPr>
          <w:rFonts w:eastAsiaTheme="minorHAnsi" w:cs="Times New Roman"/>
          <w:b w:val="0"/>
          <w:bCs w:val="0"/>
          <w:i/>
          <w:color w:val="000000"/>
          <w:sz w:val="22"/>
          <w:szCs w:val="22"/>
          <w:lang w:eastAsia="en-US"/>
        </w:rPr>
        <w:instrText xml:space="preserve"> SEQ Таблица \* ARABIC </w:instrText>
      </w:r>
      <w:r w:rsidRPr="006F34D7">
        <w:rPr>
          <w:rFonts w:eastAsiaTheme="minorHAnsi" w:cs="Times New Roman"/>
          <w:b w:val="0"/>
          <w:bCs w:val="0"/>
          <w:i/>
          <w:color w:val="000000"/>
          <w:sz w:val="22"/>
          <w:szCs w:val="22"/>
          <w:lang w:eastAsia="en-US"/>
        </w:rPr>
        <w:fldChar w:fldCharType="separate"/>
      </w:r>
      <w:r w:rsidR="00E050A8">
        <w:rPr>
          <w:rFonts w:eastAsiaTheme="minorHAnsi" w:cs="Times New Roman"/>
          <w:b w:val="0"/>
          <w:bCs w:val="0"/>
          <w:i/>
          <w:noProof/>
          <w:color w:val="000000"/>
          <w:sz w:val="22"/>
          <w:szCs w:val="22"/>
          <w:lang w:eastAsia="en-US"/>
        </w:rPr>
        <w:t>2</w:t>
      </w:r>
      <w:r w:rsidRPr="006F34D7">
        <w:rPr>
          <w:rFonts w:eastAsiaTheme="minorHAnsi" w:cs="Times New Roman"/>
          <w:b w:val="0"/>
          <w:bCs w:val="0"/>
          <w:i/>
          <w:color w:val="000000"/>
          <w:sz w:val="22"/>
          <w:szCs w:val="22"/>
          <w:lang w:eastAsia="en-US"/>
        </w:rPr>
        <w:fldChar w:fldCharType="end"/>
      </w:r>
      <w:r w:rsidRPr="006F34D7">
        <w:rPr>
          <w:rFonts w:eastAsiaTheme="minorHAnsi" w:cs="Times New Roman"/>
          <w:b w:val="0"/>
          <w:bCs w:val="0"/>
          <w:i/>
          <w:color w:val="000000"/>
          <w:sz w:val="22"/>
          <w:szCs w:val="22"/>
          <w:lang w:eastAsia="en-US"/>
        </w:rPr>
        <w:t xml:space="preserve"> </w:t>
      </w:r>
      <w:r w:rsidR="000532D9" w:rsidRPr="006F34D7">
        <w:rPr>
          <w:rFonts w:eastAsiaTheme="minorHAnsi" w:cs="Times New Roman"/>
          <w:b w:val="0"/>
          <w:bCs w:val="0"/>
          <w:i/>
          <w:color w:val="000000"/>
          <w:sz w:val="22"/>
          <w:szCs w:val="22"/>
          <w:lang w:eastAsia="en-US"/>
        </w:rPr>
        <w:t xml:space="preserve"> Действащи ПСОВ и свързано население 2010 – 2018 г.</w:t>
      </w:r>
      <w:bookmarkEnd w:id="9"/>
    </w:p>
    <w:tbl>
      <w:tblPr>
        <w:tblW w:w="5000" w:type="pct"/>
        <w:tblLook w:val="04A0" w:firstRow="1" w:lastRow="0" w:firstColumn="1" w:lastColumn="0" w:noHBand="0" w:noVBand="1"/>
      </w:tblPr>
      <w:tblGrid>
        <w:gridCol w:w="3205"/>
        <w:gridCol w:w="674"/>
        <w:gridCol w:w="674"/>
        <w:gridCol w:w="710"/>
        <w:gridCol w:w="708"/>
        <w:gridCol w:w="663"/>
        <w:gridCol w:w="674"/>
        <w:gridCol w:w="687"/>
        <w:gridCol w:w="674"/>
        <w:gridCol w:w="671"/>
      </w:tblGrid>
      <w:tr w:rsidR="000532D9" w:rsidRPr="00E15F8F" w14:paraId="1F5D0B87" w14:textId="77777777" w:rsidTr="001B1B03">
        <w:trPr>
          <w:trHeight w:val="260"/>
        </w:trPr>
        <w:tc>
          <w:tcPr>
            <w:tcW w:w="1715" w:type="pct"/>
            <w:tcBorders>
              <w:top w:val="single" w:sz="8" w:space="0" w:color="969696"/>
              <w:left w:val="single" w:sz="8" w:space="0" w:color="969696"/>
              <w:bottom w:val="single" w:sz="8" w:space="0" w:color="969696"/>
              <w:right w:val="single" w:sz="6" w:space="0" w:color="auto"/>
            </w:tcBorders>
            <w:shd w:val="clear" w:color="auto" w:fill="D9E2F3" w:themeFill="accent1" w:themeFillTint="33"/>
            <w:noWrap/>
            <w:vAlign w:val="bottom"/>
            <w:hideMark/>
          </w:tcPr>
          <w:p w14:paraId="6B733C89" w14:textId="77777777" w:rsidR="000532D9" w:rsidRPr="00E15F8F" w:rsidRDefault="000532D9" w:rsidP="0047737A">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w:t>
            </w:r>
          </w:p>
        </w:tc>
        <w:tc>
          <w:tcPr>
            <w:tcW w:w="361" w:type="pct"/>
            <w:tcBorders>
              <w:top w:val="single" w:sz="6" w:space="0" w:color="auto"/>
              <w:left w:val="single" w:sz="6" w:space="0" w:color="auto"/>
              <w:bottom w:val="single" w:sz="6" w:space="0" w:color="auto"/>
              <w:right w:val="single" w:sz="6" w:space="0" w:color="auto"/>
            </w:tcBorders>
            <w:shd w:val="clear" w:color="auto" w:fill="D9E2F3" w:themeFill="accent1" w:themeFillTint="33"/>
            <w:vAlign w:val="bottom"/>
          </w:tcPr>
          <w:p w14:paraId="3EE63806"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2010</w:t>
            </w:r>
          </w:p>
        </w:tc>
        <w:tc>
          <w:tcPr>
            <w:tcW w:w="361" w:type="pct"/>
            <w:tcBorders>
              <w:top w:val="single" w:sz="8" w:space="0" w:color="969696"/>
              <w:left w:val="single" w:sz="6" w:space="0" w:color="auto"/>
              <w:bottom w:val="single" w:sz="8" w:space="0" w:color="969696"/>
              <w:right w:val="single" w:sz="8" w:space="0" w:color="969696"/>
            </w:tcBorders>
            <w:shd w:val="clear" w:color="auto" w:fill="D9E2F3" w:themeFill="accent1" w:themeFillTint="33"/>
            <w:noWrap/>
            <w:vAlign w:val="bottom"/>
            <w:hideMark/>
          </w:tcPr>
          <w:p w14:paraId="21001985"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2011</w:t>
            </w:r>
          </w:p>
        </w:tc>
        <w:tc>
          <w:tcPr>
            <w:tcW w:w="380" w:type="pct"/>
            <w:tcBorders>
              <w:top w:val="single" w:sz="8" w:space="0" w:color="969696"/>
              <w:left w:val="nil"/>
              <w:bottom w:val="single" w:sz="8" w:space="0" w:color="969696"/>
              <w:right w:val="single" w:sz="8" w:space="0" w:color="969696"/>
            </w:tcBorders>
            <w:shd w:val="clear" w:color="auto" w:fill="D9E2F3" w:themeFill="accent1" w:themeFillTint="33"/>
            <w:noWrap/>
            <w:vAlign w:val="bottom"/>
            <w:hideMark/>
          </w:tcPr>
          <w:p w14:paraId="1BDFC6E7"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2012</w:t>
            </w:r>
          </w:p>
        </w:tc>
        <w:tc>
          <w:tcPr>
            <w:tcW w:w="379" w:type="pct"/>
            <w:tcBorders>
              <w:top w:val="single" w:sz="8" w:space="0" w:color="969696"/>
              <w:left w:val="nil"/>
              <w:bottom w:val="single" w:sz="8" w:space="0" w:color="969696"/>
              <w:right w:val="single" w:sz="8" w:space="0" w:color="969696"/>
            </w:tcBorders>
            <w:shd w:val="clear" w:color="auto" w:fill="D9E2F3" w:themeFill="accent1" w:themeFillTint="33"/>
            <w:noWrap/>
            <w:vAlign w:val="bottom"/>
            <w:hideMark/>
          </w:tcPr>
          <w:p w14:paraId="72DE5F9C"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2013</w:t>
            </w:r>
          </w:p>
        </w:tc>
        <w:tc>
          <w:tcPr>
            <w:tcW w:w="355" w:type="pct"/>
            <w:tcBorders>
              <w:top w:val="single" w:sz="8" w:space="0" w:color="969696"/>
              <w:left w:val="nil"/>
              <w:bottom w:val="single" w:sz="8" w:space="0" w:color="969696"/>
              <w:right w:val="single" w:sz="8" w:space="0" w:color="969696"/>
            </w:tcBorders>
            <w:shd w:val="clear" w:color="auto" w:fill="D9E2F3" w:themeFill="accent1" w:themeFillTint="33"/>
            <w:noWrap/>
            <w:vAlign w:val="bottom"/>
            <w:hideMark/>
          </w:tcPr>
          <w:p w14:paraId="5806DFC1"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2014</w:t>
            </w:r>
          </w:p>
        </w:tc>
        <w:tc>
          <w:tcPr>
            <w:tcW w:w="361" w:type="pct"/>
            <w:tcBorders>
              <w:top w:val="single" w:sz="8" w:space="0" w:color="969696"/>
              <w:left w:val="nil"/>
              <w:bottom w:val="single" w:sz="8" w:space="0" w:color="969696"/>
              <w:right w:val="single" w:sz="8" w:space="0" w:color="969696"/>
            </w:tcBorders>
            <w:shd w:val="clear" w:color="auto" w:fill="D9E2F3" w:themeFill="accent1" w:themeFillTint="33"/>
            <w:noWrap/>
            <w:vAlign w:val="bottom"/>
            <w:hideMark/>
          </w:tcPr>
          <w:p w14:paraId="1AC2C12A"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2015</w:t>
            </w:r>
          </w:p>
        </w:tc>
        <w:tc>
          <w:tcPr>
            <w:tcW w:w="368" w:type="pct"/>
            <w:tcBorders>
              <w:top w:val="single" w:sz="8" w:space="0" w:color="969696"/>
              <w:left w:val="nil"/>
              <w:bottom w:val="single" w:sz="8" w:space="0" w:color="969696"/>
              <w:right w:val="single" w:sz="8" w:space="0" w:color="969696"/>
            </w:tcBorders>
            <w:shd w:val="clear" w:color="auto" w:fill="D9E2F3" w:themeFill="accent1" w:themeFillTint="33"/>
            <w:noWrap/>
            <w:vAlign w:val="bottom"/>
            <w:hideMark/>
          </w:tcPr>
          <w:p w14:paraId="3C7917C3"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2016</w:t>
            </w:r>
          </w:p>
        </w:tc>
        <w:tc>
          <w:tcPr>
            <w:tcW w:w="361" w:type="pct"/>
            <w:tcBorders>
              <w:top w:val="single" w:sz="8" w:space="0" w:color="969696"/>
              <w:left w:val="nil"/>
              <w:bottom w:val="single" w:sz="8" w:space="0" w:color="969696"/>
              <w:right w:val="single" w:sz="8" w:space="0" w:color="969696"/>
            </w:tcBorders>
            <w:shd w:val="clear" w:color="auto" w:fill="D9E2F3" w:themeFill="accent1" w:themeFillTint="33"/>
            <w:noWrap/>
            <w:vAlign w:val="bottom"/>
            <w:hideMark/>
          </w:tcPr>
          <w:p w14:paraId="0C9173D4"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2017</w:t>
            </w:r>
          </w:p>
        </w:tc>
        <w:tc>
          <w:tcPr>
            <w:tcW w:w="360" w:type="pct"/>
            <w:tcBorders>
              <w:top w:val="single" w:sz="8" w:space="0" w:color="969696"/>
              <w:left w:val="nil"/>
              <w:bottom w:val="single" w:sz="8" w:space="0" w:color="969696"/>
              <w:right w:val="single" w:sz="8" w:space="0" w:color="969696"/>
            </w:tcBorders>
            <w:shd w:val="clear" w:color="auto" w:fill="D9E2F3" w:themeFill="accent1" w:themeFillTint="33"/>
            <w:noWrap/>
            <w:vAlign w:val="bottom"/>
            <w:hideMark/>
          </w:tcPr>
          <w:p w14:paraId="43153347"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2018</w:t>
            </w:r>
          </w:p>
        </w:tc>
      </w:tr>
      <w:tr w:rsidR="000532D9" w:rsidRPr="00E15F8F" w14:paraId="3DFEDA78" w14:textId="77777777" w:rsidTr="001B1B03">
        <w:trPr>
          <w:trHeight w:val="525"/>
        </w:trPr>
        <w:tc>
          <w:tcPr>
            <w:tcW w:w="1715" w:type="pct"/>
            <w:tcBorders>
              <w:top w:val="nil"/>
              <w:left w:val="single" w:sz="8" w:space="0" w:color="969696"/>
              <w:bottom w:val="single" w:sz="8" w:space="0" w:color="969696"/>
              <w:right w:val="single" w:sz="6" w:space="0" w:color="auto"/>
            </w:tcBorders>
            <w:shd w:val="clear" w:color="auto" w:fill="auto"/>
            <w:vAlign w:val="bottom"/>
            <w:hideMark/>
          </w:tcPr>
          <w:p w14:paraId="4F9000A0" w14:textId="77777777" w:rsidR="000532D9" w:rsidRPr="00E15F8F" w:rsidRDefault="000532D9" w:rsidP="0047737A">
            <w:pPr>
              <w:spacing w:after="0" w:line="240" w:lineRule="auto"/>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 xml:space="preserve">Селищни пречиствателни станции за отпадъчни води, общ брой </w:t>
            </w:r>
            <w:r w:rsidRPr="00E15F8F">
              <w:rPr>
                <w:rFonts w:ascii="Times New Roman" w:eastAsia="Times New Roman" w:hAnsi="Times New Roman" w:cs="Times New Roman"/>
                <w:b/>
                <w:bCs/>
                <w:sz w:val="18"/>
                <w:szCs w:val="18"/>
                <w:vertAlign w:val="superscript"/>
                <w:lang w:val="bg-BG"/>
              </w:rPr>
              <w:t>1</w:t>
            </w:r>
          </w:p>
        </w:tc>
        <w:tc>
          <w:tcPr>
            <w:tcW w:w="361" w:type="pct"/>
            <w:tcBorders>
              <w:top w:val="single" w:sz="6" w:space="0" w:color="auto"/>
              <w:left w:val="single" w:sz="6" w:space="0" w:color="auto"/>
              <w:bottom w:val="single" w:sz="6" w:space="0" w:color="auto"/>
              <w:right w:val="single" w:sz="6" w:space="0" w:color="auto"/>
            </w:tcBorders>
            <w:vAlign w:val="bottom"/>
          </w:tcPr>
          <w:p w14:paraId="6274D802" w14:textId="77777777" w:rsidR="000532D9" w:rsidRPr="00E15F8F" w:rsidRDefault="000532D9" w:rsidP="0047737A">
            <w:pPr>
              <w:spacing w:after="0" w:line="240" w:lineRule="auto"/>
              <w:jc w:val="right"/>
              <w:rPr>
                <w:rFonts w:ascii="Times New Roman" w:eastAsia="Times New Roman" w:hAnsi="Times New Roman" w:cs="Times New Roman"/>
                <w:b/>
                <w:bCs/>
                <w:color w:val="000000"/>
                <w:sz w:val="18"/>
                <w:szCs w:val="18"/>
                <w:lang w:val="bg-BG"/>
              </w:rPr>
            </w:pPr>
            <w:r w:rsidRPr="00E15F8F">
              <w:rPr>
                <w:rFonts w:ascii="Times New Roman" w:eastAsia="Times New Roman" w:hAnsi="Times New Roman" w:cs="Times New Roman"/>
                <w:b/>
                <w:bCs/>
                <w:color w:val="000000"/>
                <w:sz w:val="18"/>
                <w:szCs w:val="18"/>
                <w:lang w:val="bg-BG"/>
              </w:rPr>
              <w:t>79</w:t>
            </w:r>
          </w:p>
        </w:tc>
        <w:tc>
          <w:tcPr>
            <w:tcW w:w="361" w:type="pct"/>
            <w:tcBorders>
              <w:top w:val="nil"/>
              <w:left w:val="single" w:sz="6" w:space="0" w:color="auto"/>
              <w:bottom w:val="single" w:sz="8" w:space="0" w:color="969696"/>
              <w:right w:val="single" w:sz="8" w:space="0" w:color="969696"/>
            </w:tcBorders>
            <w:shd w:val="clear" w:color="auto" w:fill="auto"/>
            <w:noWrap/>
            <w:vAlign w:val="bottom"/>
            <w:hideMark/>
          </w:tcPr>
          <w:p w14:paraId="378FB56B" w14:textId="77777777" w:rsidR="000532D9" w:rsidRPr="00E15F8F" w:rsidRDefault="000532D9" w:rsidP="0047737A">
            <w:pPr>
              <w:spacing w:after="0" w:line="240" w:lineRule="auto"/>
              <w:jc w:val="right"/>
              <w:rPr>
                <w:rFonts w:ascii="Times New Roman" w:eastAsia="Times New Roman" w:hAnsi="Times New Roman" w:cs="Times New Roman"/>
                <w:b/>
                <w:bCs/>
                <w:color w:val="000000"/>
                <w:sz w:val="18"/>
                <w:szCs w:val="18"/>
                <w:lang w:val="bg-BG"/>
              </w:rPr>
            </w:pPr>
            <w:r w:rsidRPr="00E15F8F">
              <w:rPr>
                <w:rFonts w:ascii="Times New Roman" w:eastAsia="Times New Roman" w:hAnsi="Times New Roman" w:cs="Times New Roman"/>
                <w:b/>
                <w:bCs/>
                <w:color w:val="000000"/>
                <w:sz w:val="18"/>
                <w:szCs w:val="18"/>
                <w:lang w:val="bg-BG"/>
              </w:rPr>
              <w:t>89</w:t>
            </w:r>
          </w:p>
        </w:tc>
        <w:tc>
          <w:tcPr>
            <w:tcW w:w="380" w:type="pct"/>
            <w:tcBorders>
              <w:top w:val="nil"/>
              <w:left w:val="nil"/>
              <w:bottom w:val="single" w:sz="8" w:space="0" w:color="969696"/>
              <w:right w:val="single" w:sz="8" w:space="0" w:color="969696"/>
            </w:tcBorders>
            <w:shd w:val="clear" w:color="auto" w:fill="auto"/>
            <w:noWrap/>
            <w:vAlign w:val="bottom"/>
            <w:hideMark/>
          </w:tcPr>
          <w:p w14:paraId="1F2FAAE8" w14:textId="77777777" w:rsidR="000532D9" w:rsidRPr="00E15F8F" w:rsidRDefault="000532D9" w:rsidP="0047737A">
            <w:pPr>
              <w:spacing w:after="0" w:line="240" w:lineRule="auto"/>
              <w:jc w:val="right"/>
              <w:rPr>
                <w:rFonts w:ascii="Times New Roman" w:eastAsia="Times New Roman" w:hAnsi="Times New Roman" w:cs="Times New Roman"/>
                <w:b/>
                <w:bCs/>
                <w:color w:val="000000"/>
                <w:sz w:val="18"/>
                <w:szCs w:val="18"/>
                <w:lang w:val="bg-BG"/>
              </w:rPr>
            </w:pPr>
            <w:r w:rsidRPr="00E15F8F">
              <w:rPr>
                <w:rFonts w:ascii="Times New Roman" w:eastAsia="Times New Roman" w:hAnsi="Times New Roman" w:cs="Times New Roman"/>
                <w:b/>
                <w:bCs/>
                <w:color w:val="000000"/>
                <w:sz w:val="18"/>
                <w:szCs w:val="18"/>
                <w:lang w:val="bg-BG"/>
              </w:rPr>
              <w:t>87</w:t>
            </w:r>
          </w:p>
        </w:tc>
        <w:tc>
          <w:tcPr>
            <w:tcW w:w="379" w:type="pct"/>
            <w:tcBorders>
              <w:top w:val="nil"/>
              <w:left w:val="nil"/>
              <w:bottom w:val="single" w:sz="8" w:space="0" w:color="969696"/>
              <w:right w:val="single" w:sz="8" w:space="0" w:color="969696"/>
            </w:tcBorders>
            <w:shd w:val="clear" w:color="auto" w:fill="auto"/>
            <w:noWrap/>
            <w:vAlign w:val="bottom"/>
            <w:hideMark/>
          </w:tcPr>
          <w:p w14:paraId="02BC4261" w14:textId="77777777" w:rsidR="000532D9" w:rsidRPr="00E15F8F" w:rsidRDefault="000532D9" w:rsidP="0047737A">
            <w:pPr>
              <w:spacing w:after="0" w:line="240" w:lineRule="auto"/>
              <w:jc w:val="right"/>
              <w:rPr>
                <w:rFonts w:ascii="Times New Roman" w:eastAsia="Times New Roman" w:hAnsi="Times New Roman" w:cs="Times New Roman"/>
                <w:b/>
                <w:bCs/>
                <w:color w:val="000000"/>
                <w:sz w:val="18"/>
                <w:szCs w:val="18"/>
                <w:lang w:val="bg-BG"/>
              </w:rPr>
            </w:pPr>
            <w:r w:rsidRPr="00E15F8F">
              <w:rPr>
                <w:rFonts w:ascii="Times New Roman" w:eastAsia="Times New Roman" w:hAnsi="Times New Roman" w:cs="Times New Roman"/>
                <w:b/>
                <w:bCs/>
                <w:color w:val="000000"/>
                <w:sz w:val="18"/>
                <w:szCs w:val="18"/>
                <w:lang w:val="bg-BG"/>
              </w:rPr>
              <w:t>90</w:t>
            </w:r>
          </w:p>
        </w:tc>
        <w:tc>
          <w:tcPr>
            <w:tcW w:w="355" w:type="pct"/>
            <w:tcBorders>
              <w:top w:val="nil"/>
              <w:left w:val="nil"/>
              <w:bottom w:val="single" w:sz="8" w:space="0" w:color="969696"/>
              <w:right w:val="single" w:sz="8" w:space="0" w:color="969696"/>
            </w:tcBorders>
            <w:shd w:val="clear" w:color="auto" w:fill="auto"/>
            <w:noWrap/>
            <w:vAlign w:val="bottom"/>
            <w:hideMark/>
          </w:tcPr>
          <w:p w14:paraId="0B4B2A48" w14:textId="77777777" w:rsidR="000532D9" w:rsidRPr="00E15F8F" w:rsidRDefault="000532D9" w:rsidP="0047737A">
            <w:pPr>
              <w:spacing w:after="0" w:line="240" w:lineRule="auto"/>
              <w:jc w:val="right"/>
              <w:rPr>
                <w:rFonts w:ascii="Times New Roman" w:eastAsia="Times New Roman" w:hAnsi="Times New Roman" w:cs="Times New Roman"/>
                <w:b/>
                <w:bCs/>
                <w:color w:val="000000"/>
                <w:sz w:val="18"/>
                <w:szCs w:val="18"/>
                <w:lang w:val="bg-BG"/>
              </w:rPr>
            </w:pPr>
            <w:r w:rsidRPr="00E15F8F">
              <w:rPr>
                <w:rFonts w:ascii="Times New Roman" w:eastAsia="Times New Roman" w:hAnsi="Times New Roman" w:cs="Times New Roman"/>
                <w:b/>
                <w:bCs/>
                <w:color w:val="000000"/>
                <w:sz w:val="18"/>
                <w:szCs w:val="18"/>
                <w:lang w:val="bg-BG"/>
              </w:rPr>
              <w:t>89</w:t>
            </w:r>
          </w:p>
        </w:tc>
        <w:tc>
          <w:tcPr>
            <w:tcW w:w="361" w:type="pct"/>
            <w:tcBorders>
              <w:top w:val="nil"/>
              <w:left w:val="nil"/>
              <w:bottom w:val="single" w:sz="8" w:space="0" w:color="969696"/>
              <w:right w:val="single" w:sz="8" w:space="0" w:color="969696"/>
            </w:tcBorders>
            <w:shd w:val="clear" w:color="auto" w:fill="auto"/>
            <w:noWrap/>
            <w:vAlign w:val="bottom"/>
            <w:hideMark/>
          </w:tcPr>
          <w:p w14:paraId="5DA1B19F" w14:textId="77777777" w:rsidR="000532D9" w:rsidRPr="00E15F8F" w:rsidRDefault="000532D9" w:rsidP="0047737A">
            <w:pPr>
              <w:spacing w:after="0" w:line="240" w:lineRule="auto"/>
              <w:jc w:val="right"/>
              <w:rPr>
                <w:rFonts w:ascii="Times New Roman" w:eastAsia="Times New Roman" w:hAnsi="Times New Roman" w:cs="Times New Roman"/>
                <w:b/>
                <w:bCs/>
                <w:color w:val="000000"/>
                <w:sz w:val="18"/>
                <w:szCs w:val="18"/>
                <w:lang w:val="bg-BG"/>
              </w:rPr>
            </w:pPr>
            <w:r w:rsidRPr="00E15F8F">
              <w:rPr>
                <w:rFonts w:ascii="Times New Roman" w:eastAsia="Times New Roman" w:hAnsi="Times New Roman" w:cs="Times New Roman"/>
                <w:b/>
                <w:bCs/>
                <w:color w:val="000000"/>
                <w:sz w:val="18"/>
                <w:szCs w:val="18"/>
                <w:lang w:val="bg-BG"/>
              </w:rPr>
              <w:t>163</w:t>
            </w:r>
          </w:p>
        </w:tc>
        <w:tc>
          <w:tcPr>
            <w:tcW w:w="368" w:type="pct"/>
            <w:tcBorders>
              <w:top w:val="nil"/>
              <w:left w:val="nil"/>
              <w:bottom w:val="single" w:sz="8" w:space="0" w:color="969696"/>
              <w:right w:val="single" w:sz="8" w:space="0" w:color="969696"/>
            </w:tcBorders>
            <w:shd w:val="clear" w:color="auto" w:fill="auto"/>
            <w:noWrap/>
            <w:vAlign w:val="bottom"/>
            <w:hideMark/>
          </w:tcPr>
          <w:p w14:paraId="1F280AB4" w14:textId="77777777" w:rsidR="000532D9" w:rsidRPr="00E15F8F" w:rsidRDefault="000532D9" w:rsidP="0047737A">
            <w:pPr>
              <w:spacing w:after="0" w:line="240" w:lineRule="auto"/>
              <w:jc w:val="right"/>
              <w:rPr>
                <w:rFonts w:ascii="Times New Roman" w:eastAsia="Times New Roman" w:hAnsi="Times New Roman" w:cs="Times New Roman"/>
                <w:b/>
                <w:bCs/>
                <w:color w:val="000000"/>
                <w:sz w:val="18"/>
                <w:szCs w:val="18"/>
                <w:lang w:val="bg-BG"/>
              </w:rPr>
            </w:pPr>
            <w:r w:rsidRPr="00E15F8F">
              <w:rPr>
                <w:rFonts w:ascii="Times New Roman" w:eastAsia="Times New Roman" w:hAnsi="Times New Roman" w:cs="Times New Roman"/>
                <w:b/>
                <w:bCs/>
                <w:color w:val="000000"/>
                <w:sz w:val="18"/>
                <w:szCs w:val="18"/>
                <w:lang w:val="bg-BG"/>
              </w:rPr>
              <w:t>174</w:t>
            </w:r>
          </w:p>
        </w:tc>
        <w:tc>
          <w:tcPr>
            <w:tcW w:w="361" w:type="pct"/>
            <w:tcBorders>
              <w:top w:val="nil"/>
              <w:left w:val="nil"/>
              <w:bottom w:val="single" w:sz="8" w:space="0" w:color="969696"/>
              <w:right w:val="single" w:sz="8" w:space="0" w:color="969696"/>
            </w:tcBorders>
            <w:shd w:val="clear" w:color="auto" w:fill="auto"/>
            <w:noWrap/>
            <w:vAlign w:val="bottom"/>
            <w:hideMark/>
          </w:tcPr>
          <w:p w14:paraId="5E2F5FCC" w14:textId="77777777" w:rsidR="000532D9" w:rsidRPr="00E15F8F" w:rsidRDefault="000532D9" w:rsidP="0047737A">
            <w:pPr>
              <w:spacing w:after="0" w:line="240" w:lineRule="auto"/>
              <w:jc w:val="right"/>
              <w:rPr>
                <w:rFonts w:ascii="Times New Roman" w:eastAsia="Times New Roman" w:hAnsi="Times New Roman" w:cs="Times New Roman"/>
                <w:b/>
                <w:bCs/>
                <w:color w:val="000000"/>
                <w:sz w:val="18"/>
                <w:szCs w:val="18"/>
                <w:lang w:val="bg-BG"/>
              </w:rPr>
            </w:pPr>
            <w:r w:rsidRPr="00E15F8F">
              <w:rPr>
                <w:rFonts w:ascii="Times New Roman" w:eastAsia="Times New Roman" w:hAnsi="Times New Roman" w:cs="Times New Roman"/>
                <w:b/>
                <w:bCs/>
                <w:color w:val="000000"/>
                <w:sz w:val="18"/>
                <w:szCs w:val="18"/>
                <w:lang w:val="bg-BG"/>
              </w:rPr>
              <w:t>169</w:t>
            </w:r>
          </w:p>
        </w:tc>
        <w:tc>
          <w:tcPr>
            <w:tcW w:w="360" w:type="pct"/>
            <w:tcBorders>
              <w:top w:val="nil"/>
              <w:left w:val="nil"/>
              <w:bottom w:val="single" w:sz="8" w:space="0" w:color="969696"/>
              <w:right w:val="single" w:sz="8" w:space="0" w:color="969696"/>
            </w:tcBorders>
            <w:shd w:val="clear" w:color="auto" w:fill="auto"/>
            <w:noWrap/>
            <w:vAlign w:val="bottom"/>
            <w:hideMark/>
          </w:tcPr>
          <w:p w14:paraId="5A7B0F17" w14:textId="77777777" w:rsidR="000532D9" w:rsidRPr="00E15F8F" w:rsidRDefault="000532D9" w:rsidP="0047737A">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170</w:t>
            </w:r>
          </w:p>
        </w:tc>
      </w:tr>
      <w:tr w:rsidR="000532D9" w:rsidRPr="00E15F8F" w14:paraId="0B980048" w14:textId="77777777" w:rsidTr="001B1B03">
        <w:trPr>
          <w:trHeight w:val="283"/>
        </w:trPr>
        <w:tc>
          <w:tcPr>
            <w:tcW w:w="1715" w:type="pct"/>
            <w:tcBorders>
              <w:top w:val="nil"/>
              <w:left w:val="single" w:sz="8" w:space="0" w:color="969696"/>
              <w:bottom w:val="single" w:sz="6" w:space="0" w:color="auto"/>
              <w:right w:val="single" w:sz="6" w:space="0" w:color="auto"/>
            </w:tcBorders>
            <w:shd w:val="clear" w:color="auto" w:fill="auto"/>
            <w:vAlign w:val="bottom"/>
            <w:hideMark/>
          </w:tcPr>
          <w:p w14:paraId="751003C2" w14:textId="77777777" w:rsidR="000532D9" w:rsidRPr="00E15F8F" w:rsidRDefault="000532D9" w:rsidP="0047737A">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Свързано население със СПСОВ, %</w:t>
            </w:r>
          </w:p>
        </w:tc>
        <w:tc>
          <w:tcPr>
            <w:tcW w:w="361" w:type="pct"/>
            <w:tcBorders>
              <w:top w:val="single" w:sz="6" w:space="0" w:color="auto"/>
              <w:left w:val="single" w:sz="6" w:space="0" w:color="auto"/>
              <w:bottom w:val="single" w:sz="6" w:space="0" w:color="auto"/>
              <w:right w:val="single" w:sz="6" w:space="0" w:color="auto"/>
            </w:tcBorders>
            <w:vAlign w:val="bottom"/>
          </w:tcPr>
          <w:p w14:paraId="026D2556"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47.8</w:t>
            </w:r>
          </w:p>
        </w:tc>
        <w:tc>
          <w:tcPr>
            <w:tcW w:w="361" w:type="pct"/>
            <w:tcBorders>
              <w:top w:val="nil"/>
              <w:left w:val="single" w:sz="6" w:space="0" w:color="auto"/>
              <w:bottom w:val="single" w:sz="6" w:space="0" w:color="auto"/>
              <w:right w:val="single" w:sz="8" w:space="0" w:color="969696"/>
            </w:tcBorders>
            <w:shd w:val="clear" w:color="auto" w:fill="auto"/>
            <w:noWrap/>
            <w:vAlign w:val="bottom"/>
            <w:hideMark/>
          </w:tcPr>
          <w:p w14:paraId="303E1176"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55.8</w:t>
            </w:r>
          </w:p>
        </w:tc>
        <w:tc>
          <w:tcPr>
            <w:tcW w:w="380" w:type="pct"/>
            <w:tcBorders>
              <w:top w:val="nil"/>
              <w:left w:val="nil"/>
              <w:bottom w:val="single" w:sz="6" w:space="0" w:color="auto"/>
              <w:right w:val="single" w:sz="8" w:space="0" w:color="969696"/>
            </w:tcBorders>
            <w:shd w:val="clear" w:color="auto" w:fill="auto"/>
            <w:noWrap/>
            <w:vAlign w:val="bottom"/>
            <w:hideMark/>
          </w:tcPr>
          <w:p w14:paraId="58309EB4"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56.1</w:t>
            </w:r>
          </w:p>
        </w:tc>
        <w:tc>
          <w:tcPr>
            <w:tcW w:w="379" w:type="pct"/>
            <w:tcBorders>
              <w:top w:val="nil"/>
              <w:left w:val="nil"/>
              <w:bottom w:val="single" w:sz="6" w:space="0" w:color="auto"/>
              <w:right w:val="single" w:sz="8" w:space="0" w:color="969696"/>
            </w:tcBorders>
            <w:shd w:val="clear" w:color="auto" w:fill="auto"/>
            <w:noWrap/>
            <w:vAlign w:val="bottom"/>
            <w:hideMark/>
          </w:tcPr>
          <w:p w14:paraId="5C455121"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56.4</w:t>
            </w:r>
          </w:p>
        </w:tc>
        <w:tc>
          <w:tcPr>
            <w:tcW w:w="355" w:type="pct"/>
            <w:tcBorders>
              <w:top w:val="nil"/>
              <w:left w:val="nil"/>
              <w:bottom w:val="single" w:sz="6" w:space="0" w:color="auto"/>
              <w:right w:val="single" w:sz="8" w:space="0" w:color="969696"/>
            </w:tcBorders>
            <w:shd w:val="clear" w:color="auto" w:fill="auto"/>
            <w:noWrap/>
            <w:vAlign w:val="bottom"/>
            <w:hideMark/>
          </w:tcPr>
          <w:p w14:paraId="6A4654D9"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56.8</w:t>
            </w:r>
          </w:p>
        </w:tc>
        <w:tc>
          <w:tcPr>
            <w:tcW w:w="361" w:type="pct"/>
            <w:tcBorders>
              <w:top w:val="nil"/>
              <w:left w:val="nil"/>
              <w:bottom w:val="single" w:sz="6" w:space="0" w:color="auto"/>
              <w:right w:val="single" w:sz="8" w:space="0" w:color="969696"/>
            </w:tcBorders>
            <w:shd w:val="clear" w:color="auto" w:fill="auto"/>
            <w:noWrap/>
            <w:vAlign w:val="bottom"/>
            <w:hideMark/>
          </w:tcPr>
          <w:p w14:paraId="2731FE52"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62.3</w:t>
            </w:r>
          </w:p>
        </w:tc>
        <w:tc>
          <w:tcPr>
            <w:tcW w:w="368" w:type="pct"/>
            <w:tcBorders>
              <w:top w:val="nil"/>
              <w:left w:val="nil"/>
              <w:bottom w:val="single" w:sz="6" w:space="0" w:color="auto"/>
              <w:right w:val="single" w:sz="8" w:space="0" w:color="969696"/>
            </w:tcBorders>
            <w:shd w:val="clear" w:color="auto" w:fill="auto"/>
            <w:noWrap/>
            <w:vAlign w:val="bottom"/>
            <w:hideMark/>
          </w:tcPr>
          <w:p w14:paraId="43F6626F"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63.1</w:t>
            </w:r>
          </w:p>
        </w:tc>
        <w:tc>
          <w:tcPr>
            <w:tcW w:w="361" w:type="pct"/>
            <w:tcBorders>
              <w:top w:val="nil"/>
              <w:left w:val="nil"/>
              <w:bottom w:val="single" w:sz="6" w:space="0" w:color="auto"/>
              <w:right w:val="single" w:sz="8" w:space="0" w:color="969696"/>
            </w:tcBorders>
            <w:shd w:val="clear" w:color="auto" w:fill="auto"/>
            <w:noWrap/>
            <w:vAlign w:val="bottom"/>
            <w:hideMark/>
          </w:tcPr>
          <w:p w14:paraId="5E2B2393"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63.4</w:t>
            </w:r>
          </w:p>
        </w:tc>
        <w:tc>
          <w:tcPr>
            <w:tcW w:w="360" w:type="pct"/>
            <w:tcBorders>
              <w:top w:val="nil"/>
              <w:left w:val="nil"/>
              <w:bottom w:val="single" w:sz="6" w:space="0" w:color="auto"/>
              <w:right w:val="single" w:sz="8" w:space="0" w:color="969696"/>
            </w:tcBorders>
            <w:shd w:val="clear" w:color="auto" w:fill="auto"/>
            <w:noWrap/>
            <w:vAlign w:val="bottom"/>
            <w:hideMark/>
          </w:tcPr>
          <w:p w14:paraId="3800A3C8"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63.9</w:t>
            </w:r>
          </w:p>
        </w:tc>
      </w:tr>
      <w:tr w:rsidR="000532D9" w:rsidRPr="00E15F8F" w14:paraId="2B796825" w14:textId="77777777" w:rsidTr="001B1B03">
        <w:trPr>
          <w:trHeight w:val="283"/>
        </w:trPr>
        <w:tc>
          <w:tcPr>
            <w:tcW w:w="1715" w:type="pct"/>
            <w:tcBorders>
              <w:top w:val="single" w:sz="6" w:space="0" w:color="auto"/>
              <w:left w:val="single" w:sz="8" w:space="0" w:color="969696"/>
              <w:bottom w:val="single" w:sz="8" w:space="0" w:color="969696"/>
              <w:right w:val="single" w:sz="6" w:space="0" w:color="auto"/>
            </w:tcBorders>
            <w:shd w:val="clear" w:color="auto" w:fill="auto"/>
            <w:vAlign w:val="bottom"/>
            <w:hideMark/>
          </w:tcPr>
          <w:p w14:paraId="157F0E42" w14:textId="77777777" w:rsidR="000532D9" w:rsidRPr="00E15F8F" w:rsidRDefault="000532D9" w:rsidP="0047737A">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Първично пречистване, брой</w:t>
            </w:r>
          </w:p>
        </w:tc>
        <w:tc>
          <w:tcPr>
            <w:tcW w:w="361" w:type="pct"/>
            <w:tcBorders>
              <w:top w:val="single" w:sz="6" w:space="0" w:color="auto"/>
              <w:left w:val="single" w:sz="6" w:space="0" w:color="auto"/>
              <w:bottom w:val="single" w:sz="6" w:space="0" w:color="auto"/>
              <w:right w:val="single" w:sz="6" w:space="0" w:color="auto"/>
            </w:tcBorders>
            <w:vAlign w:val="bottom"/>
          </w:tcPr>
          <w:p w14:paraId="4652C5CE"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13</w:t>
            </w:r>
          </w:p>
        </w:tc>
        <w:tc>
          <w:tcPr>
            <w:tcW w:w="361" w:type="pct"/>
            <w:tcBorders>
              <w:top w:val="single" w:sz="6" w:space="0" w:color="auto"/>
              <w:left w:val="single" w:sz="6" w:space="0" w:color="auto"/>
              <w:bottom w:val="single" w:sz="8" w:space="0" w:color="969696"/>
              <w:right w:val="single" w:sz="8" w:space="0" w:color="969696"/>
            </w:tcBorders>
            <w:shd w:val="clear" w:color="auto" w:fill="auto"/>
            <w:noWrap/>
            <w:vAlign w:val="bottom"/>
            <w:hideMark/>
          </w:tcPr>
          <w:p w14:paraId="707B42C7"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12</w:t>
            </w:r>
          </w:p>
        </w:tc>
        <w:tc>
          <w:tcPr>
            <w:tcW w:w="380" w:type="pct"/>
            <w:tcBorders>
              <w:top w:val="single" w:sz="6" w:space="0" w:color="auto"/>
              <w:left w:val="nil"/>
              <w:bottom w:val="single" w:sz="8" w:space="0" w:color="969696"/>
              <w:right w:val="single" w:sz="8" w:space="0" w:color="969696"/>
            </w:tcBorders>
            <w:shd w:val="clear" w:color="auto" w:fill="auto"/>
            <w:noWrap/>
            <w:vAlign w:val="bottom"/>
            <w:hideMark/>
          </w:tcPr>
          <w:p w14:paraId="43BDCF6B"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11</w:t>
            </w:r>
          </w:p>
        </w:tc>
        <w:tc>
          <w:tcPr>
            <w:tcW w:w="379" w:type="pct"/>
            <w:tcBorders>
              <w:top w:val="single" w:sz="6" w:space="0" w:color="auto"/>
              <w:left w:val="nil"/>
              <w:bottom w:val="single" w:sz="8" w:space="0" w:color="969696"/>
              <w:right w:val="single" w:sz="8" w:space="0" w:color="969696"/>
            </w:tcBorders>
            <w:shd w:val="clear" w:color="auto" w:fill="auto"/>
            <w:noWrap/>
            <w:vAlign w:val="bottom"/>
            <w:hideMark/>
          </w:tcPr>
          <w:p w14:paraId="63CB10EA"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10</w:t>
            </w:r>
          </w:p>
        </w:tc>
        <w:tc>
          <w:tcPr>
            <w:tcW w:w="355" w:type="pct"/>
            <w:tcBorders>
              <w:top w:val="single" w:sz="6" w:space="0" w:color="auto"/>
              <w:left w:val="nil"/>
              <w:bottom w:val="single" w:sz="8" w:space="0" w:color="969696"/>
              <w:right w:val="single" w:sz="8" w:space="0" w:color="969696"/>
            </w:tcBorders>
            <w:shd w:val="clear" w:color="auto" w:fill="auto"/>
            <w:noWrap/>
            <w:vAlign w:val="bottom"/>
            <w:hideMark/>
          </w:tcPr>
          <w:p w14:paraId="0054C112"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9</w:t>
            </w:r>
          </w:p>
        </w:tc>
        <w:tc>
          <w:tcPr>
            <w:tcW w:w="361" w:type="pct"/>
            <w:tcBorders>
              <w:top w:val="single" w:sz="6" w:space="0" w:color="auto"/>
              <w:left w:val="nil"/>
              <w:bottom w:val="single" w:sz="8" w:space="0" w:color="969696"/>
              <w:right w:val="single" w:sz="8" w:space="0" w:color="969696"/>
            </w:tcBorders>
            <w:shd w:val="clear" w:color="auto" w:fill="auto"/>
            <w:noWrap/>
            <w:vAlign w:val="bottom"/>
            <w:hideMark/>
          </w:tcPr>
          <w:p w14:paraId="4E7F7DC5"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9</w:t>
            </w:r>
          </w:p>
        </w:tc>
        <w:tc>
          <w:tcPr>
            <w:tcW w:w="368" w:type="pct"/>
            <w:tcBorders>
              <w:top w:val="single" w:sz="6" w:space="0" w:color="auto"/>
              <w:left w:val="nil"/>
              <w:bottom w:val="single" w:sz="8" w:space="0" w:color="969696"/>
              <w:right w:val="single" w:sz="8" w:space="0" w:color="969696"/>
            </w:tcBorders>
            <w:shd w:val="clear" w:color="auto" w:fill="auto"/>
            <w:noWrap/>
            <w:vAlign w:val="bottom"/>
            <w:hideMark/>
          </w:tcPr>
          <w:p w14:paraId="0C08CB2F"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7</w:t>
            </w:r>
          </w:p>
        </w:tc>
        <w:tc>
          <w:tcPr>
            <w:tcW w:w="361" w:type="pct"/>
            <w:tcBorders>
              <w:top w:val="single" w:sz="6" w:space="0" w:color="auto"/>
              <w:left w:val="nil"/>
              <w:bottom w:val="single" w:sz="8" w:space="0" w:color="969696"/>
              <w:right w:val="single" w:sz="8" w:space="0" w:color="969696"/>
            </w:tcBorders>
            <w:shd w:val="clear" w:color="auto" w:fill="auto"/>
            <w:noWrap/>
            <w:vAlign w:val="bottom"/>
            <w:hideMark/>
          </w:tcPr>
          <w:p w14:paraId="4867790E"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7</w:t>
            </w:r>
          </w:p>
        </w:tc>
        <w:tc>
          <w:tcPr>
            <w:tcW w:w="360" w:type="pct"/>
            <w:tcBorders>
              <w:top w:val="single" w:sz="6" w:space="0" w:color="auto"/>
              <w:left w:val="nil"/>
              <w:bottom w:val="single" w:sz="8" w:space="0" w:color="969696"/>
              <w:right w:val="single" w:sz="8" w:space="0" w:color="969696"/>
            </w:tcBorders>
            <w:shd w:val="clear" w:color="auto" w:fill="auto"/>
            <w:noWrap/>
            <w:vAlign w:val="bottom"/>
            <w:hideMark/>
          </w:tcPr>
          <w:p w14:paraId="449BE3A7"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w:t>
            </w:r>
          </w:p>
        </w:tc>
      </w:tr>
      <w:tr w:rsidR="000532D9" w:rsidRPr="00E15F8F" w14:paraId="19733029" w14:textId="77777777" w:rsidTr="001B1B03">
        <w:trPr>
          <w:trHeight w:val="283"/>
        </w:trPr>
        <w:tc>
          <w:tcPr>
            <w:tcW w:w="1715" w:type="pct"/>
            <w:tcBorders>
              <w:top w:val="nil"/>
              <w:left w:val="single" w:sz="8" w:space="0" w:color="969696"/>
              <w:bottom w:val="single" w:sz="8" w:space="0" w:color="969696"/>
              <w:right w:val="single" w:sz="6" w:space="0" w:color="auto"/>
            </w:tcBorders>
            <w:shd w:val="clear" w:color="auto" w:fill="auto"/>
            <w:vAlign w:val="bottom"/>
            <w:hideMark/>
          </w:tcPr>
          <w:p w14:paraId="6B9D0B30" w14:textId="77777777" w:rsidR="000532D9" w:rsidRPr="00E15F8F" w:rsidRDefault="000532D9" w:rsidP="0047737A">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Вторично пречистване, брой</w:t>
            </w:r>
          </w:p>
        </w:tc>
        <w:tc>
          <w:tcPr>
            <w:tcW w:w="361" w:type="pct"/>
            <w:tcBorders>
              <w:top w:val="single" w:sz="6" w:space="0" w:color="auto"/>
              <w:left w:val="single" w:sz="6" w:space="0" w:color="auto"/>
              <w:bottom w:val="single" w:sz="6" w:space="0" w:color="auto"/>
              <w:right w:val="single" w:sz="6" w:space="0" w:color="auto"/>
            </w:tcBorders>
            <w:vAlign w:val="bottom"/>
          </w:tcPr>
          <w:p w14:paraId="02C30FAD"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50</w:t>
            </w:r>
          </w:p>
        </w:tc>
        <w:tc>
          <w:tcPr>
            <w:tcW w:w="361" w:type="pct"/>
            <w:tcBorders>
              <w:top w:val="nil"/>
              <w:left w:val="single" w:sz="6" w:space="0" w:color="auto"/>
              <w:bottom w:val="single" w:sz="8" w:space="0" w:color="969696"/>
              <w:right w:val="single" w:sz="8" w:space="0" w:color="969696"/>
            </w:tcBorders>
            <w:shd w:val="clear" w:color="auto" w:fill="auto"/>
            <w:noWrap/>
            <w:vAlign w:val="bottom"/>
            <w:hideMark/>
          </w:tcPr>
          <w:p w14:paraId="103D0E3B"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54</w:t>
            </w:r>
          </w:p>
        </w:tc>
        <w:tc>
          <w:tcPr>
            <w:tcW w:w="380" w:type="pct"/>
            <w:tcBorders>
              <w:top w:val="nil"/>
              <w:left w:val="nil"/>
              <w:bottom w:val="single" w:sz="8" w:space="0" w:color="969696"/>
              <w:right w:val="single" w:sz="8" w:space="0" w:color="969696"/>
            </w:tcBorders>
            <w:shd w:val="clear" w:color="auto" w:fill="auto"/>
            <w:noWrap/>
            <w:vAlign w:val="bottom"/>
            <w:hideMark/>
          </w:tcPr>
          <w:p w14:paraId="1157B1A0"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53</w:t>
            </w:r>
          </w:p>
        </w:tc>
        <w:tc>
          <w:tcPr>
            <w:tcW w:w="379" w:type="pct"/>
            <w:tcBorders>
              <w:top w:val="nil"/>
              <w:left w:val="nil"/>
              <w:bottom w:val="single" w:sz="8" w:space="0" w:color="969696"/>
              <w:right w:val="single" w:sz="8" w:space="0" w:color="969696"/>
            </w:tcBorders>
            <w:shd w:val="clear" w:color="auto" w:fill="auto"/>
            <w:noWrap/>
            <w:vAlign w:val="bottom"/>
            <w:hideMark/>
          </w:tcPr>
          <w:p w14:paraId="6C45F67A"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54</w:t>
            </w:r>
          </w:p>
        </w:tc>
        <w:tc>
          <w:tcPr>
            <w:tcW w:w="355" w:type="pct"/>
            <w:tcBorders>
              <w:top w:val="nil"/>
              <w:left w:val="nil"/>
              <w:bottom w:val="single" w:sz="8" w:space="0" w:color="969696"/>
              <w:right w:val="single" w:sz="8" w:space="0" w:color="969696"/>
            </w:tcBorders>
            <w:shd w:val="clear" w:color="auto" w:fill="auto"/>
            <w:noWrap/>
            <w:vAlign w:val="bottom"/>
            <w:hideMark/>
          </w:tcPr>
          <w:p w14:paraId="530D9EBB"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56</w:t>
            </w:r>
          </w:p>
        </w:tc>
        <w:tc>
          <w:tcPr>
            <w:tcW w:w="361" w:type="pct"/>
            <w:tcBorders>
              <w:top w:val="nil"/>
              <w:left w:val="nil"/>
              <w:bottom w:val="single" w:sz="8" w:space="0" w:color="969696"/>
              <w:right w:val="single" w:sz="8" w:space="0" w:color="969696"/>
            </w:tcBorders>
            <w:shd w:val="clear" w:color="auto" w:fill="auto"/>
            <w:noWrap/>
            <w:vAlign w:val="bottom"/>
            <w:hideMark/>
          </w:tcPr>
          <w:p w14:paraId="4C8F41E0"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91</w:t>
            </w:r>
          </w:p>
        </w:tc>
        <w:tc>
          <w:tcPr>
            <w:tcW w:w="368" w:type="pct"/>
            <w:tcBorders>
              <w:top w:val="nil"/>
              <w:left w:val="nil"/>
              <w:bottom w:val="single" w:sz="8" w:space="0" w:color="969696"/>
              <w:right w:val="single" w:sz="8" w:space="0" w:color="969696"/>
            </w:tcBorders>
            <w:shd w:val="clear" w:color="auto" w:fill="auto"/>
            <w:noWrap/>
            <w:vAlign w:val="bottom"/>
            <w:hideMark/>
          </w:tcPr>
          <w:p w14:paraId="2EDF1554"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97</w:t>
            </w:r>
          </w:p>
        </w:tc>
        <w:tc>
          <w:tcPr>
            <w:tcW w:w="361" w:type="pct"/>
            <w:tcBorders>
              <w:top w:val="nil"/>
              <w:left w:val="nil"/>
              <w:bottom w:val="single" w:sz="8" w:space="0" w:color="969696"/>
              <w:right w:val="single" w:sz="8" w:space="0" w:color="969696"/>
            </w:tcBorders>
            <w:shd w:val="clear" w:color="auto" w:fill="auto"/>
            <w:noWrap/>
            <w:vAlign w:val="bottom"/>
            <w:hideMark/>
          </w:tcPr>
          <w:p w14:paraId="3F420105"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88</w:t>
            </w:r>
          </w:p>
        </w:tc>
        <w:tc>
          <w:tcPr>
            <w:tcW w:w="360" w:type="pct"/>
            <w:tcBorders>
              <w:top w:val="nil"/>
              <w:left w:val="nil"/>
              <w:bottom w:val="single" w:sz="8" w:space="0" w:color="969696"/>
              <w:right w:val="single" w:sz="8" w:space="0" w:color="969696"/>
            </w:tcBorders>
            <w:shd w:val="clear" w:color="auto" w:fill="auto"/>
            <w:noWrap/>
            <w:vAlign w:val="bottom"/>
            <w:hideMark/>
          </w:tcPr>
          <w:p w14:paraId="622DFDEC"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91</w:t>
            </w:r>
          </w:p>
        </w:tc>
      </w:tr>
      <w:tr w:rsidR="000532D9" w:rsidRPr="00E15F8F" w14:paraId="4B193963" w14:textId="77777777" w:rsidTr="001B1B03">
        <w:trPr>
          <w:trHeight w:val="283"/>
        </w:trPr>
        <w:tc>
          <w:tcPr>
            <w:tcW w:w="1715" w:type="pct"/>
            <w:tcBorders>
              <w:top w:val="nil"/>
              <w:left w:val="single" w:sz="8" w:space="0" w:color="969696"/>
              <w:bottom w:val="single" w:sz="8" w:space="0" w:color="969696"/>
              <w:right w:val="single" w:sz="6" w:space="0" w:color="auto"/>
            </w:tcBorders>
            <w:shd w:val="clear" w:color="auto" w:fill="auto"/>
            <w:vAlign w:val="bottom"/>
            <w:hideMark/>
          </w:tcPr>
          <w:p w14:paraId="730B5E2C" w14:textId="77777777" w:rsidR="000532D9" w:rsidRPr="00E15F8F" w:rsidRDefault="000532D9" w:rsidP="0047737A">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Третично пречистване, брой</w:t>
            </w:r>
          </w:p>
        </w:tc>
        <w:tc>
          <w:tcPr>
            <w:tcW w:w="361" w:type="pct"/>
            <w:tcBorders>
              <w:top w:val="single" w:sz="6" w:space="0" w:color="auto"/>
              <w:left w:val="single" w:sz="6" w:space="0" w:color="auto"/>
              <w:bottom w:val="single" w:sz="6" w:space="0" w:color="auto"/>
              <w:right w:val="single" w:sz="6" w:space="0" w:color="auto"/>
            </w:tcBorders>
            <w:vAlign w:val="bottom"/>
          </w:tcPr>
          <w:p w14:paraId="1628B08D"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16</w:t>
            </w:r>
          </w:p>
        </w:tc>
        <w:tc>
          <w:tcPr>
            <w:tcW w:w="361" w:type="pct"/>
            <w:tcBorders>
              <w:top w:val="nil"/>
              <w:left w:val="single" w:sz="6" w:space="0" w:color="auto"/>
              <w:bottom w:val="single" w:sz="8" w:space="0" w:color="969696"/>
              <w:right w:val="single" w:sz="8" w:space="0" w:color="969696"/>
            </w:tcBorders>
            <w:shd w:val="clear" w:color="auto" w:fill="auto"/>
            <w:noWrap/>
            <w:vAlign w:val="bottom"/>
            <w:hideMark/>
          </w:tcPr>
          <w:p w14:paraId="3209E0B9"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23</w:t>
            </w:r>
          </w:p>
        </w:tc>
        <w:tc>
          <w:tcPr>
            <w:tcW w:w="380" w:type="pct"/>
            <w:tcBorders>
              <w:top w:val="nil"/>
              <w:left w:val="nil"/>
              <w:bottom w:val="single" w:sz="8" w:space="0" w:color="969696"/>
              <w:right w:val="single" w:sz="8" w:space="0" w:color="969696"/>
            </w:tcBorders>
            <w:shd w:val="clear" w:color="auto" w:fill="auto"/>
            <w:noWrap/>
            <w:vAlign w:val="bottom"/>
            <w:hideMark/>
          </w:tcPr>
          <w:p w14:paraId="3FFEE855"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23</w:t>
            </w:r>
          </w:p>
        </w:tc>
        <w:tc>
          <w:tcPr>
            <w:tcW w:w="379" w:type="pct"/>
            <w:tcBorders>
              <w:top w:val="nil"/>
              <w:left w:val="nil"/>
              <w:bottom w:val="single" w:sz="8" w:space="0" w:color="969696"/>
              <w:right w:val="single" w:sz="8" w:space="0" w:color="969696"/>
            </w:tcBorders>
            <w:shd w:val="clear" w:color="auto" w:fill="auto"/>
            <w:noWrap/>
            <w:vAlign w:val="bottom"/>
            <w:hideMark/>
          </w:tcPr>
          <w:p w14:paraId="3123D787"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26</w:t>
            </w:r>
          </w:p>
        </w:tc>
        <w:tc>
          <w:tcPr>
            <w:tcW w:w="355" w:type="pct"/>
            <w:tcBorders>
              <w:top w:val="nil"/>
              <w:left w:val="nil"/>
              <w:bottom w:val="single" w:sz="8" w:space="0" w:color="969696"/>
              <w:right w:val="single" w:sz="8" w:space="0" w:color="969696"/>
            </w:tcBorders>
            <w:shd w:val="clear" w:color="auto" w:fill="auto"/>
            <w:noWrap/>
            <w:vAlign w:val="bottom"/>
            <w:hideMark/>
          </w:tcPr>
          <w:p w14:paraId="471016EE"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24</w:t>
            </w:r>
          </w:p>
        </w:tc>
        <w:tc>
          <w:tcPr>
            <w:tcW w:w="361" w:type="pct"/>
            <w:tcBorders>
              <w:top w:val="nil"/>
              <w:left w:val="nil"/>
              <w:bottom w:val="single" w:sz="8" w:space="0" w:color="969696"/>
              <w:right w:val="single" w:sz="8" w:space="0" w:color="969696"/>
            </w:tcBorders>
            <w:shd w:val="clear" w:color="auto" w:fill="auto"/>
            <w:noWrap/>
            <w:vAlign w:val="bottom"/>
            <w:hideMark/>
          </w:tcPr>
          <w:p w14:paraId="4F4C8DD7"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63</w:t>
            </w:r>
          </w:p>
        </w:tc>
        <w:tc>
          <w:tcPr>
            <w:tcW w:w="368" w:type="pct"/>
            <w:tcBorders>
              <w:top w:val="nil"/>
              <w:left w:val="nil"/>
              <w:bottom w:val="single" w:sz="8" w:space="0" w:color="969696"/>
              <w:right w:val="single" w:sz="8" w:space="0" w:color="969696"/>
            </w:tcBorders>
            <w:shd w:val="clear" w:color="auto" w:fill="auto"/>
            <w:noWrap/>
            <w:vAlign w:val="bottom"/>
            <w:hideMark/>
          </w:tcPr>
          <w:p w14:paraId="46EA41BA"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70</w:t>
            </w:r>
          </w:p>
        </w:tc>
        <w:tc>
          <w:tcPr>
            <w:tcW w:w="361" w:type="pct"/>
            <w:tcBorders>
              <w:top w:val="nil"/>
              <w:left w:val="nil"/>
              <w:bottom w:val="single" w:sz="8" w:space="0" w:color="969696"/>
              <w:right w:val="single" w:sz="8" w:space="0" w:color="969696"/>
            </w:tcBorders>
            <w:shd w:val="clear" w:color="auto" w:fill="auto"/>
            <w:noWrap/>
            <w:vAlign w:val="bottom"/>
            <w:hideMark/>
          </w:tcPr>
          <w:p w14:paraId="23E8677F"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74</w:t>
            </w:r>
          </w:p>
        </w:tc>
        <w:tc>
          <w:tcPr>
            <w:tcW w:w="360" w:type="pct"/>
            <w:tcBorders>
              <w:top w:val="nil"/>
              <w:left w:val="nil"/>
              <w:bottom w:val="single" w:sz="8" w:space="0" w:color="969696"/>
              <w:right w:val="single" w:sz="8" w:space="0" w:color="969696"/>
            </w:tcBorders>
            <w:shd w:val="clear" w:color="auto" w:fill="auto"/>
            <w:noWrap/>
            <w:vAlign w:val="bottom"/>
            <w:hideMark/>
          </w:tcPr>
          <w:p w14:paraId="25D72E55"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75</w:t>
            </w:r>
          </w:p>
        </w:tc>
      </w:tr>
      <w:tr w:rsidR="000532D9" w:rsidRPr="00E15F8F" w14:paraId="59C272FC" w14:textId="77777777" w:rsidTr="001B1B03">
        <w:trPr>
          <w:trHeight w:val="283"/>
        </w:trPr>
        <w:tc>
          <w:tcPr>
            <w:tcW w:w="1715" w:type="pct"/>
            <w:tcBorders>
              <w:top w:val="nil"/>
              <w:left w:val="single" w:sz="8" w:space="0" w:color="969696"/>
              <w:bottom w:val="single" w:sz="8" w:space="0" w:color="969696"/>
              <w:right w:val="single" w:sz="6" w:space="0" w:color="auto"/>
            </w:tcBorders>
            <w:shd w:val="clear" w:color="auto" w:fill="auto"/>
            <w:vAlign w:val="bottom"/>
            <w:hideMark/>
          </w:tcPr>
          <w:p w14:paraId="21BB61E2" w14:textId="77777777" w:rsidR="000532D9" w:rsidRPr="00E15F8F" w:rsidRDefault="000532D9" w:rsidP="0047737A">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xml:space="preserve">    в т.ч. отстраняване на Азот</w:t>
            </w:r>
          </w:p>
        </w:tc>
        <w:tc>
          <w:tcPr>
            <w:tcW w:w="361" w:type="pct"/>
            <w:tcBorders>
              <w:top w:val="single" w:sz="6" w:space="0" w:color="auto"/>
              <w:left w:val="single" w:sz="6" w:space="0" w:color="auto"/>
              <w:bottom w:val="single" w:sz="6" w:space="0" w:color="auto"/>
              <w:right w:val="single" w:sz="6" w:space="0" w:color="auto"/>
            </w:tcBorders>
            <w:vAlign w:val="bottom"/>
          </w:tcPr>
          <w:p w14:paraId="2CA6E98E"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15</w:t>
            </w:r>
          </w:p>
        </w:tc>
        <w:tc>
          <w:tcPr>
            <w:tcW w:w="361" w:type="pct"/>
            <w:tcBorders>
              <w:top w:val="nil"/>
              <w:left w:val="single" w:sz="6" w:space="0" w:color="auto"/>
              <w:bottom w:val="single" w:sz="8" w:space="0" w:color="969696"/>
              <w:right w:val="single" w:sz="8" w:space="0" w:color="969696"/>
            </w:tcBorders>
            <w:shd w:val="clear" w:color="auto" w:fill="auto"/>
            <w:noWrap/>
            <w:vAlign w:val="bottom"/>
            <w:hideMark/>
          </w:tcPr>
          <w:p w14:paraId="1A5AA6E2"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22</w:t>
            </w:r>
          </w:p>
        </w:tc>
        <w:tc>
          <w:tcPr>
            <w:tcW w:w="380" w:type="pct"/>
            <w:tcBorders>
              <w:top w:val="nil"/>
              <w:left w:val="nil"/>
              <w:bottom w:val="single" w:sz="8" w:space="0" w:color="969696"/>
              <w:right w:val="single" w:sz="8" w:space="0" w:color="969696"/>
            </w:tcBorders>
            <w:shd w:val="clear" w:color="auto" w:fill="auto"/>
            <w:noWrap/>
            <w:vAlign w:val="bottom"/>
            <w:hideMark/>
          </w:tcPr>
          <w:p w14:paraId="22C0EBB8"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22</w:t>
            </w:r>
          </w:p>
        </w:tc>
        <w:tc>
          <w:tcPr>
            <w:tcW w:w="379" w:type="pct"/>
            <w:tcBorders>
              <w:top w:val="nil"/>
              <w:left w:val="nil"/>
              <w:bottom w:val="single" w:sz="8" w:space="0" w:color="969696"/>
              <w:right w:val="single" w:sz="8" w:space="0" w:color="969696"/>
            </w:tcBorders>
            <w:shd w:val="clear" w:color="auto" w:fill="auto"/>
            <w:noWrap/>
            <w:vAlign w:val="bottom"/>
            <w:hideMark/>
          </w:tcPr>
          <w:p w14:paraId="5E1FAD7C"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26</w:t>
            </w:r>
          </w:p>
        </w:tc>
        <w:tc>
          <w:tcPr>
            <w:tcW w:w="355" w:type="pct"/>
            <w:tcBorders>
              <w:top w:val="nil"/>
              <w:left w:val="nil"/>
              <w:bottom w:val="single" w:sz="8" w:space="0" w:color="969696"/>
              <w:right w:val="single" w:sz="8" w:space="0" w:color="969696"/>
            </w:tcBorders>
            <w:shd w:val="clear" w:color="auto" w:fill="auto"/>
            <w:noWrap/>
            <w:vAlign w:val="bottom"/>
            <w:hideMark/>
          </w:tcPr>
          <w:p w14:paraId="004F5E5E"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24</w:t>
            </w:r>
          </w:p>
        </w:tc>
        <w:tc>
          <w:tcPr>
            <w:tcW w:w="361" w:type="pct"/>
            <w:tcBorders>
              <w:top w:val="nil"/>
              <w:left w:val="nil"/>
              <w:bottom w:val="single" w:sz="8" w:space="0" w:color="969696"/>
              <w:right w:val="single" w:sz="8" w:space="0" w:color="969696"/>
            </w:tcBorders>
            <w:shd w:val="clear" w:color="auto" w:fill="auto"/>
            <w:noWrap/>
            <w:vAlign w:val="bottom"/>
            <w:hideMark/>
          </w:tcPr>
          <w:p w14:paraId="7FE3FA56"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61</w:t>
            </w:r>
          </w:p>
        </w:tc>
        <w:tc>
          <w:tcPr>
            <w:tcW w:w="368" w:type="pct"/>
            <w:tcBorders>
              <w:top w:val="nil"/>
              <w:left w:val="nil"/>
              <w:bottom w:val="single" w:sz="8" w:space="0" w:color="969696"/>
              <w:right w:val="single" w:sz="8" w:space="0" w:color="969696"/>
            </w:tcBorders>
            <w:shd w:val="clear" w:color="auto" w:fill="auto"/>
            <w:noWrap/>
            <w:vAlign w:val="bottom"/>
            <w:hideMark/>
          </w:tcPr>
          <w:p w14:paraId="6807AC4D"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66</w:t>
            </w:r>
          </w:p>
        </w:tc>
        <w:tc>
          <w:tcPr>
            <w:tcW w:w="361" w:type="pct"/>
            <w:tcBorders>
              <w:top w:val="nil"/>
              <w:left w:val="nil"/>
              <w:bottom w:val="single" w:sz="8" w:space="0" w:color="969696"/>
              <w:right w:val="single" w:sz="8" w:space="0" w:color="969696"/>
            </w:tcBorders>
            <w:shd w:val="clear" w:color="auto" w:fill="auto"/>
            <w:noWrap/>
            <w:vAlign w:val="bottom"/>
            <w:hideMark/>
          </w:tcPr>
          <w:p w14:paraId="096A0654"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70</w:t>
            </w:r>
          </w:p>
        </w:tc>
        <w:tc>
          <w:tcPr>
            <w:tcW w:w="360" w:type="pct"/>
            <w:tcBorders>
              <w:top w:val="nil"/>
              <w:left w:val="nil"/>
              <w:bottom w:val="single" w:sz="8" w:space="0" w:color="969696"/>
              <w:right w:val="single" w:sz="8" w:space="0" w:color="969696"/>
            </w:tcBorders>
            <w:shd w:val="clear" w:color="auto" w:fill="auto"/>
            <w:noWrap/>
            <w:vAlign w:val="bottom"/>
            <w:hideMark/>
          </w:tcPr>
          <w:p w14:paraId="43817DC3"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71</w:t>
            </w:r>
          </w:p>
        </w:tc>
      </w:tr>
      <w:tr w:rsidR="000532D9" w:rsidRPr="00E15F8F" w14:paraId="6CE65A16" w14:textId="77777777" w:rsidTr="001B1B03">
        <w:trPr>
          <w:trHeight w:val="283"/>
        </w:trPr>
        <w:tc>
          <w:tcPr>
            <w:tcW w:w="1715" w:type="pct"/>
            <w:tcBorders>
              <w:top w:val="nil"/>
              <w:left w:val="single" w:sz="8" w:space="0" w:color="969696"/>
              <w:bottom w:val="single" w:sz="8" w:space="0" w:color="969696"/>
              <w:right w:val="single" w:sz="6" w:space="0" w:color="auto"/>
            </w:tcBorders>
            <w:shd w:val="clear" w:color="auto" w:fill="auto"/>
            <w:vAlign w:val="bottom"/>
            <w:hideMark/>
          </w:tcPr>
          <w:p w14:paraId="13C222E3" w14:textId="77777777" w:rsidR="000532D9" w:rsidRPr="00E15F8F" w:rsidRDefault="000532D9" w:rsidP="0047737A">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xml:space="preserve">    в т.ч. отстраняване на Фосфор</w:t>
            </w:r>
          </w:p>
        </w:tc>
        <w:tc>
          <w:tcPr>
            <w:tcW w:w="361" w:type="pct"/>
            <w:tcBorders>
              <w:top w:val="single" w:sz="6" w:space="0" w:color="auto"/>
              <w:left w:val="single" w:sz="6" w:space="0" w:color="auto"/>
              <w:bottom w:val="single" w:sz="6" w:space="0" w:color="auto"/>
              <w:right w:val="single" w:sz="6" w:space="0" w:color="auto"/>
            </w:tcBorders>
            <w:vAlign w:val="bottom"/>
          </w:tcPr>
          <w:p w14:paraId="19C1232D"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12</w:t>
            </w:r>
          </w:p>
        </w:tc>
        <w:tc>
          <w:tcPr>
            <w:tcW w:w="361" w:type="pct"/>
            <w:tcBorders>
              <w:top w:val="nil"/>
              <w:left w:val="single" w:sz="6" w:space="0" w:color="auto"/>
              <w:bottom w:val="single" w:sz="8" w:space="0" w:color="969696"/>
              <w:right w:val="single" w:sz="8" w:space="0" w:color="969696"/>
            </w:tcBorders>
            <w:shd w:val="clear" w:color="auto" w:fill="auto"/>
            <w:noWrap/>
            <w:vAlign w:val="bottom"/>
            <w:hideMark/>
          </w:tcPr>
          <w:p w14:paraId="216F3E7B"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18</w:t>
            </w:r>
          </w:p>
        </w:tc>
        <w:tc>
          <w:tcPr>
            <w:tcW w:w="380" w:type="pct"/>
            <w:tcBorders>
              <w:top w:val="nil"/>
              <w:left w:val="nil"/>
              <w:bottom w:val="single" w:sz="8" w:space="0" w:color="969696"/>
              <w:right w:val="single" w:sz="8" w:space="0" w:color="969696"/>
            </w:tcBorders>
            <w:shd w:val="clear" w:color="auto" w:fill="auto"/>
            <w:noWrap/>
            <w:vAlign w:val="bottom"/>
            <w:hideMark/>
          </w:tcPr>
          <w:p w14:paraId="43BCB2F3"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18</w:t>
            </w:r>
          </w:p>
        </w:tc>
        <w:tc>
          <w:tcPr>
            <w:tcW w:w="379" w:type="pct"/>
            <w:tcBorders>
              <w:top w:val="nil"/>
              <w:left w:val="nil"/>
              <w:bottom w:val="single" w:sz="8" w:space="0" w:color="969696"/>
              <w:right w:val="single" w:sz="8" w:space="0" w:color="969696"/>
            </w:tcBorders>
            <w:shd w:val="clear" w:color="auto" w:fill="auto"/>
            <w:noWrap/>
            <w:vAlign w:val="bottom"/>
            <w:hideMark/>
          </w:tcPr>
          <w:p w14:paraId="3929EBF2"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22</w:t>
            </w:r>
          </w:p>
        </w:tc>
        <w:tc>
          <w:tcPr>
            <w:tcW w:w="355" w:type="pct"/>
            <w:tcBorders>
              <w:top w:val="nil"/>
              <w:left w:val="nil"/>
              <w:bottom w:val="single" w:sz="8" w:space="0" w:color="969696"/>
              <w:right w:val="single" w:sz="8" w:space="0" w:color="969696"/>
            </w:tcBorders>
            <w:shd w:val="clear" w:color="auto" w:fill="auto"/>
            <w:noWrap/>
            <w:vAlign w:val="bottom"/>
            <w:hideMark/>
          </w:tcPr>
          <w:p w14:paraId="184D6A53"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20</w:t>
            </w:r>
          </w:p>
        </w:tc>
        <w:tc>
          <w:tcPr>
            <w:tcW w:w="361" w:type="pct"/>
            <w:tcBorders>
              <w:top w:val="nil"/>
              <w:left w:val="nil"/>
              <w:bottom w:val="single" w:sz="8" w:space="0" w:color="969696"/>
              <w:right w:val="single" w:sz="8" w:space="0" w:color="969696"/>
            </w:tcBorders>
            <w:shd w:val="clear" w:color="auto" w:fill="auto"/>
            <w:noWrap/>
            <w:vAlign w:val="bottom"/>
            <w:hideMark/>
          </w:tcPr>
          <w:p w14:paraId="6CF4A999"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59</w:t>
            </w:r>
          </w:p>
        </w:tc>
        <w:tc>
          <w:tcPr>
            <w:tcW w:w="368" w:type="pct"/>
            <w:tcBorders>
              <w:top w:val="nil"/>
              <w:left w:val="nil"/>
              <w:bottom w:val="single" w:sz="8" w:space="0" w:color="969696"/>
              <w:right w:val="single" w:sz="8" w:space="0" w:color="969696"/>
            </w:tcBorders>
            <w:shd w:val="clear" w:color="auto" w:fill="auto"/>
            <w:noWrap/>
            <w:vAlign w:val="bottom"/>
            <w:hideMark/>
          </w:tcPr>
          <w:p w14:paraId="011B3C4F"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67</w:t>
            </w:r>
          </w:p>
        </w:tc>
        <w:tc>
          <w:tcPr>
            <w:tcW w:w="361" w:type="pct"/>
            <w:tcBorders>
              <w:top w:val="nil"/>
              <w:left w:val="nil"/>
              <w:bottom w:val="single" w:sz="8" w:space="0" w:color="969696"/>
              <w:right w:val="single" w:sz="8" w:space="0" w:color="969696"/>
            </w:tcBorders>
            <w:shd w:val="clear" w:color="auto" w:fill="auto"/>
            <w:noWrap/>
            <w:vAlign w:val="bottom"/>
            <w:hideMark/>
          </w:tcPr>
          <w:p w14:paraId="0CE56191" w14:textId="77777777" w:rsidR="000532D9" w:rsidRPr="00E15F8F" w:rsidRDefault="000532D9" w:rsidP="0047737A">
            <w:pPr>
              <w:spacing w:after="0" w:line="240" w:lineRule="auto"/>
              <w:jc w:val="right"/>
              <w:rPr>
                <w:rFonts w:ascii="Times New Roman" w:eastAsia="Times New Roman" w:hAnsi="Times New Roman" w:cs="Times New Roman"/>
                <w:color w:val="000000"/>
                <w:sz w:val="18"/>
                <w:szCs w:val="18"/>
                <w:lang w:val="bg-BG"/>
              </w:rPr>
            </w:pPr>
            <w:r w:rsidRPr="00E15F8F">
              <w:rPr>
                <w:rFonts w:ascii="Times New Roman" w:eastAsia="Times New Roman" w:hAnsi="Times New Roman" w:cs="Times New Roman"/>
                <w:color w:val="000000"/>
                <w:sz w:val="18"/>
                <w:szCs w:val="18"/>
                <w:lang w:val="bg-BG"/>
              </w:rPr>
              <w:t>71</w:t>
            </w:r>
          </w:p>
        </w:tc>
        <w:tc>
          <w:tcPr>
            <w:tcW w:w="360" w:type="pct"/>
            <w:tcBorders>
              <w:top w:val="nil"/>
              <w:left w:val="nil"/>
              <w:bottom w:val="single" w:sz="8" w:space="0" w:color="969696"/>
              <w:right w:val="single" w:sz="8" w:space="0" w:color="969696"/>
            </w:tcBorders>
            <w:shd w:val="clear" w:color="auto" w:fill="auto"/>
            <w:noWrap/>
            <w:vAlign w:val="bottom"/>
            <w:hideMark/>
          </w:tcPr>
          <w:p w14:paraId="56DCBA5D" w14:textId="77777777" w:rsidR="000532D9" w:rsidRPr="00E15F8F" w:rsidRDefault="000532D9" w:rsidP="0047737A">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72</w:t>
            </w:r>
          </w:p>
        </w:tc>
      </w:tr>
    </w:tbl>
    <w:p w14:paraId="5C1AED7C" w14:textId="77777777" w:rsidR="000532D9" w:rsidRPr="00E15F8F" w:rsidRDefault="000532D9" w:rsidP="000532D9">
      <w:pPr>
        <w:autoSpaceDE w:val="0"/>
        <w:autoSpaceDN w:val="0"/>
        <w:adjustRightInd w:val="0"/>
        <w:spacing w:after="0" w:line="240" w:lineRule="auto"/>
        <w:jc w:val="both"/>
        <w:rPr>
          <w:rFonts w:ascii="Times New Roman" w:hAnsi="Times New Roman" w:cs="Times New Roman"/>
          <w:i/>
          <w:iCs/>
          <w:lang w:val="bg-BG"/>
        </w:rPr>
      </w:pPr>
      <w:r w:rsidRPr="00E15F8F">
        <w:rPr>
          <w:rFonts w:ascii="Times New Roman" w:hAnsi="Times New Roman" w:cs="Times New Roman"/>
          <w:i/>
          <w:iCs/>
          <w:lang w:val="bg-BG"/>
        </w:rPr>
        <w:t>Източник: НСИ</w:t>
      </w:r>
    </w:p>
    <w:p w14:paraId="26A8CE84" w14:textId="77777777" w:rsidR="000532D9" w:rsidRPr="00E15F8F" w:rsidRDefault="000532D9" w:rsidP="001B1B03">
      <w:pPr>
        <w:pStyle w:val="Default"/>
        <w:spacing w:before="120" w:line="264" w:lineRule="auto"/>
        <w:jc w:val="both"/>
        <w:rPr>
          <w:sz w:val="22"/>
          <w:szCs w:val="22"/>
          <w:lang w:val="bg-BG"/>
        </w:rPr>
      </w:pPr>
      <w:r w:rsidRPr="00E15F8F">
        <w:rPr>
          <w:sz w:val="22"/>
          <w:szCs w:val="22"/>
          <w:lang w:val="bg-BG"/>
        </w:rPr>
        <w:t>Южен централен район на планиране остава с най-слаба свързаност на населението към пречиствателни съоръжения (55.7% - по данни на НСИ за 2019 г.), следван от Югоизточен район (56%). Регионалните различия са допълнително подчертани от слабия напредък по изграждане на канализационни и пречиствателни системи за отпадъчни води в агломерациите между 2 000 и 10 000 е.ж. и под 2 000 е.ж.</w:t>
      </w:r>
    </w:p>
    <w:p w14:paraId="3507655C" w14:textId="77777777" w:rsidR="000532D9" w:rsidRPr="00E15F8F" w:rsidRDefault="000532D9" w:rsidP="001B1B03">
      <w:pPr>
        <w:spacing w:before="120" w:after="0" w:line="264" w:lineRule="auto"/>
        <w:jc w:val="both"/>
        <w:rPr>
          <w:rFonts w:ascii="Times New Roman" w:eastAsia="Times New Roman" w:hAnsi="Times New Roman" w:cs="Times New Roman"/>
          <w:bCs/>
          <w:lang w:val="bg-BG" w:eastAsia="zh-CN"/>
        </w:rPr>
      </w:pPr>
      <w:r w:rsidRPr="00E15F8F">
        <w:rPr>
          <w:rFonts w:ascii="Times New Roman" w:eastAsia="Times New Roman" w:hAnsi="Times New Roman" w:cs="Times New Roman"/>
          <w:bCs/>
          <w:lang w:val="bg-BG" w:eastAsia="zh-CN"/>
        </w:rPr>
        <w:t>От общо 332 агломерации на територията на страната, 99 са над 10 000 е.ж. 253 от  агломерациите се намират на територията на консолидиран район (общо 22 консолидирани района). Неконсолидираните райони са 6 със 79 агломерации. През последния период на финансиране на ОПОС 2014 – 2020 г. се подкрепя постигането на съответствие с изискванията за отвеждане и пречистване на отпадъчни води в 50 агломерации с над 10 000 е.ж. в 15 консолидирани региона. Само за постигане на пълно съответствие с европейското законодателство за големите агломерации в консолидираните региони са необходими допълнителни инвестиции в още 20 агломерации.</w:t>
      </w:r>
      <w:r w:rsidRPr="00E15F8F">
        <w:rPr>
          <w:rStyle w:val="FootnoteReference"/>
          <w:rFonts w:ascii="Times New Roman" w:eastAsia="Times New Roman" w:hAnsi="Times New Roman" w:cs="Times New Roman"/>
          <w:bCs/>
          <w:lang w:val="bg-BG" w:eastAsia="zh-CN"/>
        </w:rPr>
        <w:footnoteReference w:id="16"/>
      </w:r>
    </w:p>
    <w:p w14:paraId="77C8583B" w14:textId="77777777" w:rsidR="000532D9" w:rsidRPr="00E15F8F" w:rsidRDefault="000532D9" w:rsidP="001B1B03">
      <w:pPr>
        <w:autoSpaceDE w:val="0"/>
        <w:autoSpaceDN w:val="0"/>
        <w:adjustRightInd w:val="0"/>
        <w:spacing w:before="120" w:after="0" w:line="264" w:lineRule="auto"/>
        <w:jc w:val="both"/>
        <w:rPr>
          <w:rFonts w:ascii="Times New Roman" w:hAnsi="Times New Roman" w:cs="Times New Roman"/>
          <w:lang w:val="bg-BG"/>
        </w:rPr>
      </w:pPr>
      <w:r w:rsidRPr="00E15F8F">
        <w:rPr>
          <w:rFonts w:ascii="Times New Roman" w:hAnsi="Times New Roman" w:cs="Times New Roman"/>
          <w:lang w:val="bg-BG"/>
        </w:rPr>
        <w:t xml:space="preserve">Количествата на образуваните отпадъчни води през периода 2010 – 2018 г. показват известно намаление, като статистическите данни за 2018 г. отчитат 427.27 млн. куб.м./ годишно, при 461.73 млн. куб.м. за 2010 г. Отведените отпадъчни води във водни обекти са характеризират със същата тенденция. Отпадъчните води отведени без пречистване за 2018 г. са с близо 33% повече в сравнение с количествата от 2010 г. С близо 7% нараства делът на отведените отпадъчни води от ПСОВ, </w:t>
      </w:r>
      <w:r w:rsidRPr="00E15F8F">
        <w:rPr>
          <w:rFonts w:ascii="Times New Roman" w:hAnsi="Times New Roman" w:cs="Times New Roman"/>
          <w:lang w:val="bg-BG"/>
        </w:rPr>
        <w:lastRenderedPageBreak/>
        <w:t>включително на тези с поне вторично пречистване, в резултат от</w:t>
      </w:r>
      <w:r w:rsidRPr="00E15F8F">
        <w:rPr>
          <w:rFonts w:ascii="Times New Roman" w:hAnsi="Times New Roman" w:cs="Times New Roman"/>
          <w:lang w:val="bg-BG"/>
        </w:rPr>
        <w:tab/>
        <w:t>инвестициите във ВиК инфраструктурата.</w:t>
      </w:r>
    </w:p>
    <w:p w14:paraId="49E518C2" w14:textId="77777777" w:rsidR="000532D9" w:rsidRPr="00E15F8F" w:rsidRDefault="000532D9" w:rsidP="00E15F8F">
      <w:pPr>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Въпреки постигнатия напредък и продължаващите инвестиции в изграждането на необходимата инфраструктура по линия на фондовете от ЕС, България все още изостава значително от стандартите, определени от директивата за пречистване на градските отпадъчни води (Директива 91/271/ЕИО). В пълно съответствие с изискванията на Европейското законодателство се събират едва 26% от отпадъчните води, 20.4% от събраните количества се подлагат на вторично пречистване, а само 6.7% от събраните отпадъчни води се подлагат на пречистване при по-строги условия. Прогнозираните потребности от инвестиции за достигането на пълно съответствие с директивата са в размер на 3 035 млн. евро</w:t>
      </w:r>
      <w:r w:rsidRPr="00E15F8F">
        <w:rPr>
          <w:rStyle w:val="FootnoteReference"/>
          <w:rFonts w:ascii="Times New Roman" w:hAnsi="Times New Roman" w:cs="Times New Roman"/>
          <w:lang w:val="bg-BG"/>
        </w:rPr>
        <w:footnoteReference w:id="17"/>
      </w:r>
      <w:r w:rsidRPr="00E15F8F">
        <w:rPr>
          <w:rFonts w:ascii="Times New Roman" w:hAnsi="Times New Roman" w:cs="Times New Roman"/>
          <w:lang w:val="bg-BG"/>
        </w:rPr>
        <w:t>.</w:t>
      </w:r>
    </w:p>
    <w:p w14:paraId="10666824" w14:textId="718EDEF8" w:rsidR="0047737A" w:rsidRPr="00E15F8F" w:rsidRDefault="0047737A" w:rsidP="00E15F8F">
      <w:pPr>
        <w:pStyle w:val="3vff3xh4yd"/>
        <w:spacing w:before="120" w:beforeAutospacing="0" w:after="120" w:afterAutospacing="0" w:line="264" w:lineRule="auto"/>
        <w:rPr>
          <w:b/>
          <w:bCs/>
          <w:sz w:val="22"/>
          <w:szCs w:val="22"/>
          <w:lang w:val="bg-BG"/>
        </w:rPr>
      </w:pPr>
      <w:r w:rsidRPr="00E15F8F">
        <w:rPr>
          <w:b/>
          <w:bCs/>
          <w:sz w:val="22"/>
          <w:szCs w:val="22"/>
          <w:lang w:val="bg-BG"/>
        </w:rPr>
        <w:t>Състояние и качество на повърхностните води в България</w:t>
      </w:r>
    </w:p>
    <w:p w14:paraId="43B5D59D" w14:textId="77777777" w:rsidR="0047737A" w:rsidRPr="00E15F8F" w:rsidRDefault="0047737A" w:rsidP="00E15F8F">
      <w:pPr>
        <w:autoSpaceDE w:val="0"/>
        <w:autoSpaceDN w:val="0"/>
        <w:adjustRightInd w:val="0"/>
        <w:spacing w:before="120" w:after="120" w:line="264" w:lineRule="auto"/>
        <w:jc w:val="both"/>
        <w:rPr>
          <w:rFonts w:ascii="Times New Roman" w:eastAsia="Times New Roman,Bold" w:hAnsi="Times New Roman" w:cs="Times New Roman"/>
          <w:lang w:val="bg-BG"/>
        </w:rPr>
      </w:pPr>
      <w:bookmarkStart w:id="10" w:name="_Hlk68892793"/>
      <w:r w:rsidRPr="00E15F8F">
        <w:rPr>
          <w:rFonts w:ascii="Times New Roman" w:eastAsia="Times New Roman,Bold" w:hAnsi="Times New Roman" w:cs="Times New Roman"/>
          <w:lang w:val="bg-BG"/>
        </w:rPr>
        <w:t xml:space="preserve">По отношение на качеството на повърхностните води в страната, в периода 1996 – 2018 г., се наблюдава положителна тенденция. Концентрациите на O2 (разтворен кислород), NH4-N (Амониев азот), N-NO3 (Нитратен азот), БПК5 (Биохимична потребност от кислород) и PO4-P (Ортофосфати) показват намаляване на нивата си от предходни години с изключение на 2017 г. Повишаване се наблюдава единствено по показателя ХПК (химична потребност от кислород) през периода 2011 - 2013г. </w:t>
      </w:r>
      <w:r w:rsidRPr="00E15F8F">
        <w:rPr>
          <w:rStyle w:val="FootnoteReference"/>
          <w:rFonts w:ascii="Times New Roman" w:eastAsia="Times New Roman,Bold" w:hAnsi="Times New Roman" w:cs="Times New Roman"/>
          <w:lang w:val="bg-BG"/>
        </w:rPr>
        <w:footnoteReference w:id="18"/>
      </w:r>
    </w:p>
    <w:bookmarkEnd w:id="10"/>
    <w:p w14:paraId="32344E55" w14:textId="2D7977BD" w:rsidR="0047737A" w:rsidRPr="00E15F8F" w:rsidRDefault="0047737A" w:rsidP="00E15F8F">
      <w:pPr>
        <w:autoSpaceDE w:val="0"/>
        <w:autoSpaceDN w:val="0"/>
        <w:adjustRightInd w:val="0"/>
        <w:spacing w:before="120" w:after="120" w:line="264" w:lineRule="auto"/>
        <w:jc w:val="both"/>
        <w:rPr>
          <w:rFonts w:ascii="Times New Roman" w:hAnsi="Times New Roman" w:cs="Times New Roman"/>
          <w:lang w:val="bg-BG"/>
        </w:rPr>
      </w:pPr>
      <w:r w:rsidRPr="00E15F8F">
        <w:rPr>
          <w:rFonts w:ascii="Times New Roman" w:eastAsia="Times New Roman,Bold" w:hAnsi="Times New Roman" w:cs="Times New Roman"/>
          <w:lang w:val="bg-BG"/>
        </w:rPr>
        <w:t>Националният доклад за състоянието и опазването на околната среда от 2018 г. отчита и тенденция за подобряване качеството на повърхностните води в Република България по отношение на основните физико- химични показатели, както в краткосрочен, така и в дългосрочен план. През 2018 г.</w:t>
      </w:r>
      <w:r w:rsidR="001B1B03">
        <w:rPr>
          <w:rFonts w:ascii="Times New Roman" w:eastAsia="Times New Roman,Bold" w:hAnsi="Times New Roman" w:cs="Times New Roman"/>
        </w:rPr>
        <w:t>,</w:t>
      </w:r>
      <w:r w:rsidRPr="00E15F8F">
        <w:rPr>
          <w:rFonts w:ascii="Times New Roman" w:eastAsia="Times New Roman,Bold" w:hAnsi="Times New Roman" w:cs="Times New Roman"/>
          <w:lang w:val="bg-BG"/>
        </w:rPr>
        <w:t xml:space="preserve"> направената оценка на индикативните основни физико-химични показатели, поддържащи биологичните елементи за качество, показва, че голяма част от обследваните пунктове попадат в категорията отлично-добро състояние.</w:t>
      </w:r>
      <w:r w:rsidR="001B1B03">
        <w:rPr>
          <w:rFonts w:ascii="Times New Roman" w:eastAsia="Times New Roman,Bold" w:hAnsi="Times New Roman" w:cs="Times New Roman"/>
        </w:rPr>
        <w:t xml:space="preserve"> </w:t>
      </w:r>
      <w:r w:rsidRPr="00E15F8F">
        <w:rPr>
          <w:rFonts w:ascii="Times New Roman" w:eastAsia="Times New Roman,Bold" w:hAnsi="Times New Roman" w:cs="Times New Roman"/>
          <w:lang w:val="bg-BG"/>
        </w:rPr>
        <w:t>Въпреки тези тенденции се отбелязва наличието на водни тела, определени като тела в риск, за които се изготвят програми от мерки за постигане на добро екологично състояние.</w:t>
      </w:r>
    </w:p>
    <w:p w14:paraId="762EF0C0" w14:textId="77777777" w:rsidR="0047737A" w:rsidRPr="00E15F8F" w:rsidRDefault="0047737A" w:rsidP="00E15F8F">
      <w:pPr>
        <w:autoSpaceDE w:val="0"/>
        <w:autoSpaceDN w:val="0"/>
        <w:adjustRightInd w:val="0"/>
        <w:spacing w:before="120" w:after="120" w:line="264" w:lineRule="auto"/>
        <w:rPr>
          <w:rFonts w:ascii="Times New Roman" w:eastAsia="Times New Roman,Bold" w:hAnsi="Times New Roman" w:cs="Times New Roman"/>
          <w:b/>
          <w:bCs/>
          <w:lang w:val="bg-BG"/>
        </w:rPr>
      </w:pPr>
      <w:r w:rsidRPr="00E15F8F">
        <w:rPr>
          <w:rFonts w:ascii="Times New Roman" w:eastAsia="Times New Roman,Bold" w:hAnsi="Times New Roman" w:cs="Times New Roman"/>
          <w:b/>
          <w:bCs/>
          <w:lang w:val="bg-BG"/>
        </w:rPr>
        <w:t>Физико – химично състояние на повърхностните води</w:t>
      </w:r>
    </w:p>
    <w:p w14:paraId="01D6F821" w14:textId="10E1ADFC" w:rsidR="0047737A" w:rsidRPr="00E15F8F" w:rsidRDefault="0047737A" w:rsidP="00E15F8F">
      <w:pPr>
        <w:autoSpaceDE w:val="0"/>
        <w:autoSpaceDN w:val="0"/>
        <w:adjustRightInd w:val="0"/>
        <w:spacing w:before="120" w:after="120" w:line="264" w:lineRule="auto"/>
        <w:jc w:val="both"/>
        <w:rPr>
          <w:rFonts w:ascii="Times New Roman" w:hAnsi="Times New Roman" w:cs="Times New Roman"/>
          <w:lang w:val="bg-BG"/>
        </w:rPr>
      </w:pPr>
      <w:bookmarkStart w:id="11" w:name="_Hlk68892104"/>
      <w:r w:rsidRPr="00E15F8F">
        <w:rPr>
          <w:rFonts w:ascii="Times New Roman" w:hAnsi="Times New Roman" w:cs="Times New Roman"/>
          <w:lang w:val="bg-BG"/>
        </w:rPr>
        <w:t>Основните индикатори, които се прилагат за оценка на химичното състояние на повърхностните води на национално и европейско ниво са средногодишните концентрации на следните основни показатели –разтворен кислород (DO), БПК5 (BOD5), амониев (NH4- N) и нитратен (NO3- N), азот, фосфати (PO4- P).</w:t>
      </w:r>
    </w:p>
    <w:p w14:paraId="2EF9BF90" w14:textId="0D124ADC" w:rsidR="0047737A" w:rsidRPr="006F34D7" w:rsidRDefault="006F34D7" w:rsidP="006F34D7">
      <w:pPr>
        <w:pStyle w:val="Caption"/>
        <w:jc w:val="both"/>
        <w:rPr>
          <w:rFonts w:eastAsiaTheme="minorHAnsi" w:cs="Times New Roman"/>
          <w:b w:val="0"/>
          <w:bCs w:val="0"/>
          <w:i/>
          <w:sz w:val="22"/>
          <w:szCs w:val="22"/>
          <w:lang w:eastAsia="en-US"/>
        </w:rPr>
      </w:pPr>
      <w:bookmarkStart w:id="12" w:name="_Toc72917653"/>
      <w:bookmarkEnd w:id="11"/>
      <w:r w:rsidRPr="006F34D7">
        <w:rPr>
          <w:rFonts w:eastAsiaTheme="minorHAnsi" w:cs="Times New Roman"/>
          <w:b w:val="0"/>
          <w:bCs w:val="0"/>
          <w:i/>
          <w:sz w:val="22"/>
          <w:szCs w:val="22"/>
          <w:lang w:eastAsia="en-US"/>
        </w:rPr>
        <w:t xml:space="preserve">Фигура </w:t>
      </w:r>
      <w:r w:rsidRPr="006F34D7">
        <w:rPr>
          <w:rFonts w:eastAsiaTheme="minorHAnsi" w:cs="Times New Roman"/>
          <w:b w:val="0"/>
          <w:bCs w:val="0"/>
          <w:i/>
          <w:sz w:val="22"/>
          <w:szCs w:val="22"/>
          <w:lang w:eastAsia="en-US"/>
        </w:rPr>
        <w:fldChar w:fldCharType="begin"/>
      </w:r>
      <w:r w:rsidRPr="006F34D7">
        <w:rPr>
          <w:rFonts w:eastAsiaTheme="minorHAnsi" w:cs="Times New Roman"/>
          <w:b w:val="0"/>
          <w:bCs w:val="0"/>
          <w:i/>
          <w:sz w:val="22"/>
          <w:szCs w:val="22"/>
          <w:lang w:eastAsia="en-US"/>
        </w:rPr>
        <w:instrText xml:space="preserve"> SEQ Фигура \* ARABIC </w:instrText>
      </w:r>
      <w:r w:rsidRPr="006F34D7">
        <w:rPr>
          <w:rFonts w:eastAsiaTheme="minorHAnsi" w:cs="Times New Roman"/>
          <w:b w:val="0"/>
          <w:bCs w:val="0"/>
          <w:i/>
          <w:sz w:val="22"/>
          <w:szCs w:val="22"/>
          <w:lang w:eastAsia="en-US"/>
        </w:rPr>
        <w:fldChar w:fldCharType="separate"/>
      </w:r>
      <w:r w:rsidR="00E050A8">
        <w:rPr>
          <w:rFonts w:eastAsiaTheme="minorHAnsi" w:cs="Times New Roman"/>
          <w:b w:val="0"/>
          <w:bCs w:val="0"/>
          <w:i/>
          <w:noProof/>
          <w:sz w:val="22"/>
          <w:szCs w:val="22"/>
          <w:lang w:eastAsia="en-US"/>
        </w:rPr>
        <w:t>1</w:t>
      </w:r>
      <w:r w:rsidRPr="006F34D7">
        <w:rPr>
          <w:rFonts w:eastAsiaTheme="minorHAnsi" w:cs="Times New Roman"/>
          <w:b w:val="0"/>
          <w:bCs w:val="0"/>
          <w:i/>
          <w:sz w:val="22"/>
          <w:szCs w:val="22"/>
          <w:lang w:eastAsia="en-US"/>
        </w:rPr>
        <w:fldChar w:fldCharType="end"/>
      </w:r>
      <w:r w:rsidR="0047737A" w:rsidRPr="006F34D7">
        <w:rPr>
          <w:rFonts w:eastAsiaTheme="minorHAnsi" w:cs="Times New Roman"/>
          <w:b w:val="0"/>
          <w:bCs w:val="0"/>
          <w:i/>
          <w:sz w:val="22"/>
          <w:szCs w:val="22"/>
          <w:lang w:eastAsia="en-US"/>
        </w:rPr>
        <w:t xml:space="preserve"> Концентрация на основните индикатори за характеризиране на химичното състояние на повърхностните води</w:t>
      </w:r>
      <w:bookmarkEnd w:id="12"/>
    </w:p>
    <w:p w14:paraId="3E36CC49" w14:textId="77777777" w:rsidR="0047737A" w:rsidRPr="00E15F8F" w:rsidRDefault="0047737A" w:rsidP="0047737A">
      <w:pPr>
        <w:autoSpaceDE w:val="0"/>
        <w:autoSpaceDN w:val="0"/>
        <w:adjustRightInd w:val="0"/>
        <w:spacing w:after="120" w:line="240" w:lineRule="auto"/>
        <w:jc w:val="both"/>
        <w:rPr>
          <w:rFonts w:ascii="Times New Roman" w:hAnsi="Times New Roman" w:cs="Times New Roman"/>
          <w:i/>
          <w:iCs/>
          <w:sz w:val="24"/>
          <w:szCs w:val="24"/>
          <w:lang w:val="bg-BG"/>
        </w:rPr>
      </w:pPr>
      <w:r w:rsidRPr="00E15F8F">
        <w:rPr>
          <w:rFonts w:ascii="Times New Roman" w:hAnsi="Times New Roman" w:cs="Times New Roman"/>
          <w:noProof/>
          <w:sz w:val="24"/>
          <w:szCs w:val="24"/>
          <w:lang w:val="bg-BG" w:eastAsia="bg-BG"/>
        </w:rPr>
        <w:drawing>
          <wp:anchor distT="0" distB="0" distL="114300" distR="114300" simplePos="0" relativeHeight="251666432" behindDoc="0" locked="0" layoutInCell="1" allowOverlap="1" wp14:anchorId="77E34715" wp14:editId="60E7AA6D">
            <wp:simplePos x="0" y="0"/>
            <wp:positionH relativeFrom="margin">
              <wp:align>left</wp:align>
            </wp:positionH>
            <wp:positionV relativeFrom="paragraph">
              <wp:posOffset>7620</wp:posOffset>
            </wp:positionV>
            <wp:extent cx="5106492" cy="177800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06264" cy="181273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47D63F" w14:textId="77777777" w:rsidR="0047737A" w:rsidRPr="00E15F8F" w:rsidRDefault="0047737A" w:rsidP="0047737A">
      <w:pPr>
        <w:autoSpaceDE w:val="0"/>
        <w:autoSpaceDN w:val="0"/>
        <w:adjustRightInd w:val="0"/>
        <w:spacing w:after="120" w:line="240" w:lineRule="auto"/>
        <w:jc w:val="both"/>
        <w:rPr>
          <w:rFonts w:ascii="Times New Roman" w:hAnsi="Times New Roman" w:cs="Times New Roman"/>
          <w:i/>
          <w:iCs/>
          <w:sz w:val="24"/>
          <w:szCs w:val="24"/>
          <w:lang w:val="bg-BG"/>
        </w:rPr>
      </w:pPr>
    </w:p>
    <w:p w14:paraId="79F324E5" w14:textId="77777777" w:rsidR="0047737A" w:rsidRPr="00E15F8F" w:rsidRDefault="0047737A" w:rsidP="0047737A">
      <w:pPr>
        <w:autoSpaceDE w:val="0"/>
        <w:autoSpaceDN w:val="0"/>
        <w:adjustRightInd w:val="0"/>
        <w:spacing w:after="120" w:line="240" w:lineRule="auto"/>
        <w:jc w:val="both"/>
        <w:rPr>
          <w:rFonts w:ascii="Times New Roman" w:hAnsi="Times New Roman" w:cs="Times New Roman"/>
          <w:i/>
          <w:iCs/>
          <w:sz w:val="24"/>
          <w:szCs w:val="24"/>
          <w:lang w:val="bg-BG"/>
        </w:rPr>
      </w:pPr>
    </w:p>
    <w:p w14:paraId="7FDB689D" w14:textId="77777777" w:rsidR="0047737A" w:rsidRPr="00E15F8F" w:rsidRDefault="0047737A" w:rsidP="0047737A">
      <w:pPr>
        <w:autoSpaceDE w:val="0"/>
        <w:autoSpaceDN w:val="0"/>
        <w:adjustRightInd w:val="0"/>
        <w:spacing w:after="120" w:line="240" w:lineRule="auto"/>
        <w:jc w:val="both"/>
        <w:rPr>
          <w:rFonts w:ascii="Times New Roman" w:hAnsi="Times New Roman" w:cs="Times New Roman"/>
          <w:i/>
          <w:iCs/>
          <w:sz w:val="24"/>
          <w:szCs w:val="24"/>
          <w:lang w:val="bg-BG"/>
        </w:rPr>
      </w:pPr>
    </w:p>
    <w:p w14:paraId="1F493FF4" w14:textId="3281F363" w:rsidR="0047737A" w:rsidRDefault="0047737A" w:rsidP="0047737A">
      <w:pPr>
        <w:autoSpaceDE w:val="0"/>
        <w:autoSpaceDN w:val="0"/>
        <w:adjustRightInd w:val="0"/>
        <w:spacing w:after="120" w:line="240" w:lineRule="auto"/>
        <w:jc w:val="both"/>
        <w:rPr>
          <w:rFonts w:ascii="Times New Roman" w:hAnsi="Times New Roman" w:cs="Times New Roman"/>
          <w:i/>
          <w:iCs/>
          <w:sz w:val="24"/>
          <w:szCs w:val="24"/>
          <w:lang w:val="bg-BG"/>
        </w:rPr>
      </w:pPr>
    </w:p>
    <w:p w14:paraId="3E62E3FF" w14:textId="77777777" w:rsidR="001B1B03" w:rsidRPr="00E15F8F" w:rsidRDefault="001B1B03" w:rsidP="0047737A">
      <w:pPr>
        <w:autoSpaceDE w:val="0"/>
        <w:autoSpaceDN w:val="0"/>
        <w:adjustRightInd w:val="0"/>
        <w:spacing w:after="120" w:line="240" w:lineRule="auto"/>
        <w:jc w:val="both"/>
        <w:rPr>
          <w:rFonts w:ascii="Times New Roman" w:hAnsi="Times New Roman" w:cs="Times New Roman"/>
          <w:i/>
          <w:iCs/>
          <w:sz w:val="24"/>
          <w:szCs w:val="24"/>
          <w:lang w:val="bg-BG"/>
        </w:rPr>
      </w:pPr>
    </w:p>
    <w:p w14:paraId="3140F052" w14:textId="77777777" w:rsidR="0047737A" w:rsidRPr="006F34D7" w:rsidRDefault="0047737A" w:rsidP="0047737A">
      <w:pPr>
        <w:autoSpaceDE w:val="0"/>
        <w:autoSpaceDN w:val="0"/>
        <w:adjustRightInd w:val="0"/>
        <w:spacing w:after="120" w:line="240" w:lineRule="auto"/>
        <w:jc w:val="both"/>
        <w:rPr>
          <w:rFonts w:ascii="Times New Roman" w:hAnsi="Times New Roman" w:cs="Times New Roman"/>
          <w:i/>
          <w:iCs/>
          <w:lang w:val="bg-BG"/>
        </w:rPr>
      </w:pPr>
      <w:r w:rsidRPr="006F34D7">
        <w:rPr>
          <w:rFonts w:ascii="Times New Roman" w:hAnsi="Times New Roman" w:cs="Times New Roman"/>
          <w:i/>
          <w:iCs/>
          <w:lang w:val="bg-BG"/>
        </w:rPr>
        <w:t>Източник: ИАОС</w:t>
      </w:r>
    </w:p>
    <w:p w14:paraId="23503B81" w14:textId="77777777" w:rsidR="0047737A" w:rsidRPr="00E15F8F" w:rsidRDefault="0047737A" w:rsidP="0047737A">
      <w:pPr>
        <w:autoSpaceDE w:val="0"/>
        <w:autoSpaceDN w:val="0"/>
        <w:adjustRightInd w:val="0"/>
        <w:spacing w:after="120" w:line="240" w:lineRule="auto"/>
        <w:jc w:val="both"/>
        <w:rPr>
          <w:rFonts w:ascii="Times New Roman" w:hAnsi="Times New Roman" w:cs="Times New Roman"/>
          <w:sz w:val="24"/>
          <w:szCs w:val="24"/>
          <w:lang w:val="bg-BG"/>
        </w:rPr>
      </w:pPr>
      <w:bookmarkStart w:id="13" w:name="_Hlk68892817"/>
      <w:r w:rsidRPr="00E15F8F">
        <w:rPr>
          <w:rFonts w:ascii="Times New Roman" w:hAnsi="Times New Roman" w:cs="Times New Roman"/>
          <w:sz w:val="24"/>
          <w:szCs w:val="24"/>
          <w:lang w:val="bg-BG"/>
        </w:rPr>
        <w:t>Изменението на средногодишните стойности на тези показатели, преизчислено в процент спрямо 1996 г. ясно илюстрира запазването на положителната тенденция.</w:t>
      </w:r>
    </w:p>
    <w:p w14:paraId="580782CD" w14:textId="027A9C92" w:rsidR="0047737A" w:rsidRPr="006F34D7" w:rsidRDefault="006F34D7" w:rsidP="006F34D7">
      <w:pPr>
        <w:pStyle w:val="Caption"/>
        <w:jc w:val="both"/>
        <w:rPr>
          <w:rFonts w:eastAsiaTheme="minorHAnsi" w:cs="Times New Roman"/>
          <w:b w:val="0"/>
          <w:bCs w:val="0"/>
          <w:i/>
          <w:sz w:val="22"/>
          <w:szCs w:val="22"/>
          <w:lang w:eastAsia="en-US"/>
        </w:rPr>
      </w:pPr>
      <w:bookmarkStart w:id="14" w:name="_Toc72917654"/>
      <w:bookmarkEnd w:id="13"/>
      <w:r w:rsidRPr="006F34D7">
        <w:rPr>
          <w:rFonts w:eastAsiaTheme="minorHAnsi" w:cs="Times New Roman"/>
          <w:b w:val="0"/>
          <w:bCs w:val="0"/>
          <w:i/>
          <w:sz w:val="22"/>
          <w:szCs w:val="22"/>
          <w:lang w:eastAsia="en-US"/>
        </w:rPr>
        <w:t xml:space="preserve">Фигура </w:t>
      </w:r>
      <w:r w:rsidRPr="006F34D7">
        <w:rPr>
          <w:rFonts w:eastAsiaTheme="minorHAnsi" w:cs="Times New Roman"/>
          <w:b w:val="0"/>
          <w:bCs w:val="0"/>
          <w:i/>
          <w:sz w:val="22"/>
          <w:szCs w:val="22"/>
          <w:lang w:eastAsia="en-US"/>
        </w:rPr>
        <w:fldChar w:fldCharType="begin"/>
      </w:r>
      <w:r w:rsidRPr="006F34D7">
        <w:rPr>
          <w:rFonts w:eastAsiaTheme="minorHAnsi" w:cs="Times New Roman"/>
          <w:b w:val="0"/>
          <w:bCs w:val="0"/>
          <w:i/>
          <w:sz w:val="22"/>
          <w:szCs w:val="22"/>
          <w:lang w:eastAsia="en-US"/>
        </w:rPr>
        <w:instrText xml:space="preserve"> SEQ Фигура \* ARABIC </w:instrText>
      </w:r>
      <w:r w:rsidRPr="006F34D7">
        <w:rPr>
          <w:rFonts w:eastAsiaTheme="minorHAnsi" w:cs="Times New Roman"/>
          <w:b w:val="0"/>
          <w:bCs w:val="0"/>
          <w:i/>
          <w:sz w:val="22"/>
          <w:szCs w:val="22"/>
          <w:lang w:eastAsia="en-US"/>
        </w:rPr>
        <w:fldChar w:fldCharType="separate"/>
      </w:r>
      <w:r w:rsidR="00E050A8">
        <w:rPr>
          <w:rFonts w:eastAsiaTheme="minorHAnsi" w:cs="Times New Roman"/>
          <w:b w:val="0"/>
          <w:bCs w:val="0"/>
          <w:i/>
          <w:noProof/>
          <w:sz w:val="22"/>
          <w:szCs w:val="22"/>
          <w:lang w:eastAsia="en-US"/>
        </w:rPr>
        <w:t>2</w:t>
      </w:r>
      <w:r w:rsidRPr="006F34D7">
        <w:rPr>
          <w:rFonts w:eastAsiaTheme="minorHAnsi" w:cs="Times New Roman"/>
          <w:b w:val="0"/>
          <w:bCs w:val="0"/>
          <w:i/>
          <w:sz w:val="22"/>
          <w:szCs w:val="22"/>
          <w:lang w:eastAsia="en-US"/>
        </w:rPr>
        <w:fldChar w:fldCharType="end"/>
      </w:r>
      <w:r w:rsidR="0047737A" w:rsidRPr="006F34D7">
        <w:rPr>
          <w:rFonts w:eastAsiaTheme="minorHAnsi" w:cs="Times New Roman"/>
          <w:b w:val="0"/>
          <w:bCs w:val="0"/>
          <w:i/>
          <w:sz w:val="22"/>
          <w:szCs w:val="22"/>
          <w:lang w:eastAsia="en-US"/>
        </w:rPr>
        <w:t xml:space="preserve"> Тенденция на изменението на основните показатели за химичното състояние на повърхностните води за периода 1996 – 2018 г.</w:t>
      </w:r>
      <w:bookmarkEnd w:id="14"/>
    </w:p>
    <w:p w14:paraId="3331E27E" w14:textId="77777777" w:rsidR="0047737A" w:rsidRPr="00E15F8F" w:rsidRDefault="0047737A" w:rsidP="0047737A">
      <w:pPr>
        <w:autoSpaceDE w:val="0"/>
        <w:autoSpaceDN w:val="0"/>
        <w:adjustRightInd w:val="0"/>
        <w:spacing w:after="120" w:line="240" w:lineRule="auto"/>
        <w:jc w:val="both"/>
        <w:rPr>
          <w:rFonts w:ascii="Times New Roman" w:hAnsi="Times New Roman" w:cs="Times New Roman"/>
          <w:sz w:val="24"/>
          <w:szCs w:val="24"/>
          <w:lang w:val="bg-BG"/>
        </w:rPr>
      </w:pPr>
      <w:r w:rsidRPr="00E15F8F">
        <w:rPr>
          <w:rFonts w:ascii="Times New Roman" w:hAnsi="Times New Roman" w:cs="Times New Roman"/>
          <w:noProof/>
          <w:sz w:val="24"/>
          <w:szCs w:val="24"/>
          <w:lang w:val="bg-BG" w:eastAsia="bg-BG"/>
        </w:rPr>
        <w:drawing>
          <wp:inline distT="0" distB="0" distL="0" distR="0" wp14:anchorId="3A9F9620" wp14:editId="0333E487">
            <wp:extent cx="5118098" cy="1771650"/>
            <wp:effectExtent l="0" t="0" r="698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87399" cy="1795639"/>
                    </a:xfrm>
                    <a:prstGeom prst="rect">
                      <a:avLst/>
                    </a:prstGeom>
                    <a:noFill/>
                    <a:ln>
                      <a:noFill/>
                    </a:ln>
                  </pic:spPr>
                </pic:pic>
              </a:graphicData>
            </a:graphic>
          </wp:inline>
        </w:drawing>
      </w:r>
    </w:p>
    <w:p w14:paraId="1BCAC475" w14:textId="77777777" w:rsidR="0047737A" w:rsidRPr="006F34D7" w:rsidRDefault="0047737A" w:rsidP="0047737A">
      <w:pPr>
        <w:autoSpaceDE w:val="0"/>
        <w:autoSpaceDN w:val="0"/>
        <w:adjustRightInd w:val="0"/>
        <w:spacing w:after="120" w:line="240" w:lineRule="auto"/>
        <w:jc w:val="both"/>
        <w:rPr>
          <w:rFonts w:ascii="Times New Roman" w:hAnsi="Times New Roman" w:cs="Times New Roman"/>
          <w:i/>
          <w:iCs/>
          <w:lang w:val="bg-BG"/>
        </w:rPr>
      </w:pPr>
      <w:r w:rsidRPr="006F34D7">
        <w:rPr>
          <w:rFonts w:ascii="Times New Roman" w:hAnsi="Times New Roman" w:cs="Times New Roman"/>
          <w:i/>
          <w:iCs/>
          <w:lang w:val="bg-BG"/>
        </w:rPr>
        <w:t>Източник: ИАОС</w:t>
      </w:r>
    </w:p>
    <w:p w14:paraId="4CDF7752" w14:textId="77777777" w:rsidR="0047737A" w:rsidRPr="00E15F8F" w:rsidRDefault="0047737A" w:rsidP="0047737A">
      <w:pPr>
        <w:autoSpaceDE w:val="0"/>
        <w:autoSpaceDN w:val="0"/>
        <w:adjustRightInd w:val="0"/>
        <w:spacing w:after="120" w:line="240" w:lineRule="auto"/>
        <w:jc w:val="both"/>
        <w:rPr>
          <w:rFonts w:ascii="Times New Roman" w:hAnsi="Times New Roman" w:cs="Times New Roman"/>
          <w:lang w:val="bg-BG"/>
        </w:rPr>
      </w:pPr>
      <w:r w:rsidRPr="00E15F8F">
        <w:rPr>
          <w:rFonts w:ascii="Times New Roman" w:hAnsi="Times New Roman" w:cs="Times New Roman"/>
          <w:lang w:val="bg-BG"/>
        </w:rPr>
        <w:t>Данните от пунктовете за мониторинг по райони за басейново управление от 2018 г. са представени по-долу.</w:t>
      </w:r>
    </w:p>
    <w:p w14:paraId="33F1752F" w14:textId="581C563C" w:rsidR="0047737A" w:rsidRPr="006F34D7" w:rsidRDefault="006F34D7" w:rsidP="006F34D7">
      <w:pPr>
        <w:pStyle w:val="Caption"/>
        <w:jc w:val="both"/>
        <w:rPr>
          <w:rFonts w:eastAsiaTheme="minorHAnsi" w:cs="Times New Roman"/>
          <w:b w:val="0"/>
          <w:bCs w:val="0"/>
          <w:i/>
          <w:iCs/>
          <w:sz w:val="22"/>
          <w:szCs w:val="22"/>
          <w:lang w:eastAsia="en-US"/>
        </w:rPr>
      </w:pPr>
      <w:bookmarkStart w:id="15" w:name="_Toc72917593"/>
      <w:r w:rsidRPr="006F34D7">
        <w:rPr>
          <w:rFonts w:eastAsiaTheme="minorHAnsi" w:cs="Times New Roman"/>
          <w:b w:val="0"/>
          <w:bCs w:val="0"/>
          <w:i/>
          <w:iCs/>
          <w:sz w:val="22"/>
          <w:szCs w:val="22"/>
          <w:lang w:eastAsia="en-US"/>
        </w:rPr>
        <w:t xml:space="preserve">Таблица </w:t>
      </w:r>
      <w:r w:rsidRPr="006F34D7">
        <w:rPr>
          <w:rFonts w:eastAsiaTheme="minorHAnsi" w:cs="Times New Roman"/>
          <w:b w:val="0"/>
          <w:bCs w:val="0"/>
          <w:i/>
          <w:iCs/>
          <w:sz w:val="22"/>
          <w:szCs w:val="22"/>
          <w:lang w:eastAsia="en-US"/>
        </w:rPr>
        <w:fldChar w:fldCharType="begin"/>
      </w:r>
      <w:r w:rsidRPr="006F34D7">
        <w:rPr>
          <w:rFonts w:eastAsiaTheme="minorHAnsi" w:cs="Times New Roman"/>
          <w:b w:val="0"/>
          <w:bCs w:val="0"/>
          <w:i/>
          <w:iCs/>
          <w:sz w:val="22"/>
          <w:szCs w:val="22"/>
          <w:lang w:eastAsia="en-US"/>
        </w:rPr>
        <w:instrText xml:space="preserve"> SEQ Таблица \* ARABIC </w:instrText>
      </w:r>
      <w:r w:rsidRPr="006F34D7">
        <w:rPr>
          <w:rFonts w:eastAsiaTheme="minorHAnsi" w:cs="Times New Roman"/>
          <w:b w:val="0"/>
          <w:bCs w:val="0"/>
          <w:i/>
          <w:iCs/>
          <w:sz w:val="22"/>
          <w:szCs w:val="22"/>
          <w:lang w:eastAsia="en-US"/>
        </w:rPr>
        <w:fldChar w:fldCharType="separate"/>
      </w:r>
      <w:r w:rsidR="00E050A8">
        <w:rPr>
          <w:rFonts w:eastAsiaTheme="minorHAnsi" w:cs="Times New Roman"/>
          <w:b w:val="0"/>
          <w:bCs w:val="0"/>
          <w:i/>
          <w:iCs/>
          <w:noProof/>
          <w:sz w:val="22"/>
          <w:szCs w:val="22"/>
          <w:lang w:eastAsia="en-US"/>
        </w:rPr>
        <w:t>3</w:t>
      </w:r>
      <w:r w:rsidRPr="006F34D7">
        <w:rPr>
          <w:rFonts w:eastAsiaTheme="minorHAnsi" w:cs="Times New Roman"/>
          <w:b w:val="0"/>
          <w:bCs w:val="0"/>
          <w:i/>
          <w:iCs/>
          <w:sz w:val="22"/>
          <w:szCs w:val="22"/>
          <w:lang w:eastAsia="en-US"/>
        </w:rPr>
        <w:fldChar w:fldCharType="end"/>
      </w:r>
      <w:r w:rsidRPr="006F34D7">
        <w:rPr>
          <w:rFonts w:eastAsiaTheme="minorHAnsi" w:cs="Times New Roman"/>
          <w:b w:val="0"/>
          <w:bCs w:val="0"/>
          <w:i/>
          <w:iCs/>
          <w:sz w:val="22"/>
          <w:szCs w:val="22"/>
          <w:lang w:eastAsia="en-US"/>
        </w:rPr>
        <w:t xml:space="preserve"> </w:t>
      </w:r>
      <w:r w:rsidR="0047737A" w:rsidRPr="006F34D7">
        <w:rPr>
          <w:rFonts w:eastAsiaTheme="minorHAnsi" w:cs="Times New Roman"/>
          <w:b w:val="0"/>
          <w:bCs w:val="0"/>
          <w:i/>
          <w:iCs/>
          <w:sz w:val="22"/>
          <w:szCs w:val="22"/>
          <w:lang w:eastAsia="en-US"/>
        </w:rPr>
        <w:t xml:space="preserve"> Основни показатели за химичното състояние на повърхностните води по райони, 2018 г.</w:t>
      </w:r>
      <w:bookmarkEnd w:id="15"/>
    </w:p>
    <w:tbl>
      <w:tblPr>
        <w:tblStyle w:val="TableGrid"/>
        <w:tblW w:w="0" w:type="auto"/>
        <w:tblLook w:val="04A0" w:firstRow="1" w:lastRow="0" w:firstColumn="1" w:lastColumn="0" w:noHBand="0" w:noVBand="1"/>
      </w:tblPr>
      <w:tblGrid>
        <w:gridCol w:w="1946"/>
        <w:gridCol w:w="480"/>
        <w:gridCol w:w="469"/>
        <w:gridCol w:w="466"/>
        <w:gridCol w:w="461"/>
        <w:gridCol w:w="455"/>
        <w:gridCol w:w="482"/>
        <w:gridCol w:w="583"/>
        <w:gridCol w:w="425"/>
        <w:gridCol w:w="467"/>
        <w:gridCol w:w="565"/>
        <w:gridCol w:w="552"/>
        <w:gridCol w:w="525"/>
        <w:gridCol w:w="523"/>
        <w:gridCol w:w="479"/>
        <w:gridCol w:w="472"/>
      </w:tblGrid>
      <w:tr w:rsidR="0047737A" w:rsidRPr="00E15F8F" w14:paraId="73DEF177" w14:textId="77777777" w:rsidTr="0047737A">
        <w:tc>
          <w:tcPr>
            <w:tcW w:w="1946" w:type="dxa"/>
            <w:vMerge w:val="restart"/>
          </w:tcPr>
          <w:p w14:paraId="5129513B"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Район на управление/ състояние* в %</w:t>
            </w:r>
          </w:p>
        </w:tc>
        <w:tc>
          <w:tcPr>
            <w:tcW w:w="1415" w:type="dxa"/>
            <w:gridSpan w:val="3"/>
          </w:tcPr>
          <w:p w14:paraId="391E3760"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Разтворен кислород О2</w:t>
            </w:r>
          </w:p>
        </w:tc>
        <w:tc>
          <w:tcPr>
            <w:tcW w:w="1398" w:type="dxa"/>
            <w:gridSpan w:val="3"/>
          </w:tcPr>
          <w:p w14:paraId="573F29C7"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Азот амониев NH4-N</w:t>
            </w:r>
          </w:p>
        </w:tc>
        <w:tc>
          <w:tcPr>
            <w:tcW w:w="1475" w:type="dxa"/>
            <w:gridSpan w:val="3"/>
          </w:tcPr>
          <w:p w14:paraId="2D329135"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Нитратен азот NO3-N</w:t>
            </w:r>
          </w:p>
        </w:tc>
        <w:tc>
          <w:tcPr>
            <w:tcW w:w="1642" w:type="dxa"/>
            <w:gridSpan w:val="3"/>
          </w:tcPr>
          <w:p w14:paraId="07F976E6"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Ортофосфати PO4-P</w:t>
            </w:r>
          </w:p>
        </w:tc>
        <w:tc>
          <w:tcPr>
            <w:tcW w:w="1474" w:type="dxa"/>
            <w:gridSpan w:val="3"/>
          </w:tcPr>
          <w:p w14:paraId="08530477"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БПК5</w:t>
            </w:r>
          </w:p>
        </w:tc>
      </w:tr>
      <w:tr w:rsidR="0047737A" w:rsidRPr="00E15F8F" w14:paraId="41DAF013" w14:textId="77777777" w:rsidTr="0047737A">
        <w:tc>
          <w:tcPr>
            <w:tcW w:w="1946" w:type="dxa"/>
            <w:vMerge/>
          </w:tcPr>
          <w:p w14:paraId="4AE250D3" w14:textId="77777777" w:rsidR="0047737A" w:rsidRPr="00E15F8F" w:rsidRDefault="0047737A" w:rsidP="0047737A">
            <w:pPr>
              <w:autoSpaceDE w:val="0"/>
              <w:autoSpaceDN w:val="0"/>
              <w:adjustRightInd w:val="0"/>
              <w:spacing w:after="120"/>
              <w:jc w:val="both"/>
              <w:rPr>
                <w:rFonts w:ascii="Times New Roman" w:eastAsia="Times New Roman,Bold" w:hAnsi="Times New Roman" w:cs="Times New Roman"/>
                <w:sz w:val="20"/>
                <w:szCs w:val="20"/>
                <w:lang w:val="bg-BG"/>
              </w:rPr>
            </w:pPr>
          </w:p>
        </w:tc>
        <w:tc>
          <w:tcPr>
            <w:tcW w:w="480" w:type="dxa"/>
          </w:tcPr>
          <w:p w14:paraId="67438C6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w:t>
            </w:r>
          </w:p>
        </w:tc>
        <w:tc>
          <w:tcPr>
            <w:tcW w:w="469" w:type="dxa"/>
          </w:tcPr>
          <w:p w14:paraId="256D94B9"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Д</w:t>
            </w:r>
          </w:p>
        </w:tc>
        <w:tc>
          <w:tcPr>
            <w:tcW w:w="466" w:type="dxa"/>
          </w:tcPr>
          <w:p w14:paraId="77EF401D"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У</w:t>
            </w:r>
          </w:p>
        </w:tc>
        <w:tc>
          <w:tcPr>
            <w:tcW w:w="461" w:type="dxa"/>
          </w:tcPr>
          <w:p w14:paraId="307BA09B"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w:t>
            </w:r>
          </w:p>
        </w:tc>
        <w:tc>
          <w:tcPr>
            <w:tcW w:w="455" w:type="dxa"/>
          </w:tcPr>
          <w:p w14:paraId="11CD2EC2"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Д</w:t>
            </w:r>
          </w:p>
        </w:tc>
        <w:tc>
          <w:tcPr>
            <w:tcW w:w="482" w:type="dxa"/>
          </w:tcPr>
          <w:p w14:paraId="078770CB"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У</w:t>
            </w:r>
          </w:p>
        </w:tc>
        <w:tc>
          <w:tcPr>
            <w:tcW w:w="583" w:type="dxa"/>
          </w:tcPr>
          <w:p w14:paraId="71FEC494"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w:t>
            </w:r>
          </w:p>
        </w:tc>
        <w:tc>
          <w:tcPr>
            <w:tcW w:w="425" w:type="dxa"/>
          </w:tcPr>
          <w:p w14:paraId="55C861BE"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Д</w:t>
            </w:r>
          </w:p>
        </w:tc>
        <w:tc>
          <w:tcPr>
            <w:tcW w:w="467" w:type="dxa"/>
          </w:tcPr>
          <w:p w14:paraId="035A9928"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У</w:t>
            </w:r>
          </w:p>
        </w:tc>
        <w:tc>
          <w:tcPr>
            <w:tcW w:w="565" w:type="dxa"/>
          </w:tcPr>
          <w:p w14:paraId="45B252EC"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w:t>
            </w:r>
          </w:p>
        </w:tc>
        <w:tc>
          <w:tcPr>
            <w:tcW w:w="552" w:type="dxa"/>
          </w:tcPr>
          <w:p w14:paraId="6523F4D5"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Д</w:t>
            </w:r>
          </w:p>
        </w:tc>
        <w:tc>
          <w:tcPr>
            <w:tcW w:w="525" w:type="dxa"/>
          </w:tcPr>
          <w:p w14:paraId="2F748C10"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У</w:t>
            </w:r>
          </w:p>
        </w:tc>
        <w:tc>
          <w:tcPr>
            <w:tcW w:w="523" w:type="dxa"/>
          </w:tcPr>
          <w:p w14:paraId="252DFEE2"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w:t>
            </w:r>
          </w:p>
        </w:tc>
        <w:tc>
          <w:tcPr>
            <w:tcW w:w="479" w:type="dxa"/>
          </w:tcPr>
          <w:p w14:paraId="7097D900"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Д</w:t>
            </w:r>
          </w:p>
        </w:tc>
        <w:tc>
          <w:tcPr>
            <w:tcW w:w="472" w:type="dxa"/>
          </w:tcPr>
          <w:p w14:paraId="0C6CB7FC"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У</w:t>
            </w:r>
          </w:p>
        </w:tc>
      </w:tr>
      <w:tr w:rsidR="0047737A" w:rsidRPr="00E15F8F" w14:paraId="3D9066BD" w14:textId="77777777" w:rsidTr="0047737A">
        <w:tc>
          <w:tcPr>
            <w:tcW w:w="1946" w:type="dxa"/>
          </w:tcPr>
          <w:p w14:paraId="0738E538"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bookmarkStart w:id="16" w:name="_Hlk68823029"/>
            <w:r w:rsidRPr="00E15F8F">
              <w:rPr>
                <w:rFonts w:ascii="Times New Roman" w:eastAsia="Times New Roman,Bold" w:hAnsi="Times New Roman" w:cs="Times New Roman"/>
                <w:sz w:val="20"/>
                <w:szCs w:val="20"/>
                <w:lang w:val="bg-BG"/>
              </w:rPr>
              <w:t>Дунавски район – 49 КП</w:t>
            </w:r>
          </w:p>
        </w:tc>
        <w:tc>
          <w:tcPr>
            <w:tcW w:w="480" w:type="dxa"/>
          </w:tcPr>
          <w:p w14:paraId="2CBE406E"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60</w:t>
            </w:r>
          </w:p>
        </w:tc>
        <w:tc>
          <w:tcPr>
            <w:tcW w:w="469" w:type="dxa"/>
          </w:tcPr>
          <w:p w14:paraId="19BA807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30</w:t>
            </w:r>
          </w:p>
        </w:tc>
        <w:tc>
          <w:tcPr>
            <w:tcW w:w="466" w:type="dxa"/>
          </w:tcPr>
          <w:p w14:paraId="22DE7001"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10</w:t>
            </w:r>
          </w:p>
        </w:tc>
        <w:tc>
          <w:tcPr>
            <w:tcW w:w="461" w:type="dxa"/>
          </w:tcPr>
          <w:p w14:paraId="4A7BA0FE"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55</w:t>
            </w:r>
          </w:p>
        </w:tc>
        <w:tc>
          <w:tcPr>
            <w:tcW w:w="455" w:type="dxa"/>
          </w:tcPr>
          <w:p w14:paraId="03DC06D2"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31</w:t>
            </w:r>
          </w:p>
        </w:tc>
        <w:tc>
          <w:tcPr>
            <w:tcW w:w="482" w:type="dxa"/>
          </w:tcPr>
          <w:p w14:paraId="2AFE51E6"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14</w:t>
            </w:r>
          </w:p>
        </w:tc>
        <w:tc>
          <w:tcPr>
            <w:tcW w:w="583" w:type="dxa"/>
          </w:tcPr>
          <w:p w14:paraId="7998B37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22</w:t>
            </w:r>
          </w:p>
        </w:tc>
        <w:tc>
          <w:tcPr>
            <w:tcW w:w="425" w:type="dxa"/>
          </w:tcPr>
          <w:p w14:paraId="72294D3E"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33</w:t>
            </w:r>
          </w:p>
        </w:tc>
        <w:tc>
          <w:tcPr>
            <w:tcW w:w="467" w:type="dxa"/>
          </w:tcPr>
          <w:p w14:paraId="35853724"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45</w:t>
            </w:r>
          </w:p>
        </w:tc>
        <w:tc>
          <w:tcPr>
            <w:tcW w:w="565" w:type="dxa"/>
          </w:tcPr>
          <w:p w14:paraId="52A11E0B"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45</w:t>
            </w:r>
          </w:p>
        </w:tc>
        <w:tc>
          <w:tcPr>
            <w:tcW w:w="552" w:type="dxa"/>
          </w:tcPr>
          <w:p w14:paraId="0A0A6E28"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36</w:t>
            </w:r>
          </w:p>
        </w:tc>
        <w:tc>
          <w:tcPr>
            <w:tcW w:w="525" w:type="dxa"/>
          </w:tcPr>
          <w:p w14:paraId="4D30A60F"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19</w:t>
            </w:r>
          </w:p>
        </w:tc>
        <w:tc>
          <w:tcPr>
            <w:tcW w:w="523" w:type="dxa"/>
          </w:tcPr>
          <w:p w14:paraId="5E5F69C2"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30</w:t>
            </w:r>
          </w:p>
        </w:tc>
        <w:tc>
          <w:tcPr>
            <w:tcW w:w="479" w:type="dxa"/>
          </w:tcPr>
          <w:p w14:paraId="0D692F4A"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w:t>
            </w:r>
          </w:p>
        </w:tc>
        <w:tc>
          <w:tcPr>
            <w:tcW w:w="472" w:type="dxa"/>
          </w:tcPr>
          <w:p w14:paraId="1747EE5F"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30</w:t>
            </w:r>
          </w:p>
        </w:tc>
      </w:tr>
      <w:tr w:rsidR="0047737A" w:rsidRPr="00E15F8F" w14:paraId="2FEF9E99" w14:textId="77777777" w:rsidTr="0047737A">
        <w:tc>
          <w:tcPr>
            <w:tcW w:w="1946" w:type="dxa"/>
          </w:tcPr>
          <w:p w14:paraId="67C22B49"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eastAsia="Times New Roman,Bold" w:hAnsi="Times New Roman" w:cs="Times New Roman"/>
                <w:sz w:val="20"/>
                <w:szCs w:val="20"/>
                <w:lang w:val="bg-BG"/>
              </w:rPr>
              <w:t>Черноморски район – 162 КП</w:t>
            </w:r>
          </w:p>
        </w:tc>
        <w:tc>
          <w:tcPr>
            <w:tcW w:w="480" w:type="dxa"/>
          </w:tcPr>
          <w:p w14:paraId="1F038C6D"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63</w:t>
            </w:r>
          </w:p>
        </w:tc>
        <w:tc>
          <w:tcPr>
            <w:tcW w:w="469" w:type="dxa"/>
          </w:tcPr>
          <w:p w14:paraId="662F0391"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19</w:t>
            </w:r>
          </w:p>
        </w:tc>
        <w:tc>
          <w:tcPr>
            <w:tcW w:w="466" w:type="dxa"/>
          </w:tcPr>
          <w:p w14:paraId="34A8C6F1"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18</w:t>
            </w:r>
          </w:p>
        </w:tc>
        <w:tc>
          <w:tcPr>
            <w:tcW w:w="461" w:type="dxa"/>
          </w:tcPr>
          <w:p w14:paraId="49E4C94B"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52</w:t>
            </w:r>
          </w:p>
        </w:tc>
        <w:tc>
          <w:tcPr>
            <w:tcW w:w="455" w:type="dxa"/>
          </w:tcPr>
          <w:p w14:paraId="690B0F7F"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27</w:t>
            </w:r>
          </w:p>
        </w:tc>
        <w:tc>
          <w:tcPr>
            <w:tcW w:w="482" w:type="dxa"/>
          </w:tcPr>
          <w:p w14:paraId="685E5F6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21</w:t>
            </w:r>
          </w:p>
        </w:tc>
        <w:tc>
          <w:tcPr>
            <w:tcW w:w="583" w:type="dxa"/>
          </w:tcPr>
          <w:p w14:paraId="077E5A85"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40</w:t>
            </w:r>
          </w:p>
        </w:tc>
        <w:tc>
          <w:tcPr>
            <w:tcW w:w="425" w:type="dxa"/>
          </w:tcPr>
          <w:p w14:paraId="156355F8"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23</w:t>
            </w:r>
          </w:p>
        </w:tc>
        <w:tc>
          <w:tcPr>
            <w:tcW w:w="467" w:type="dxa"/>
          </w:tcPr>
          <w:p w14:paraId="1EE5C0AB"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37</w:t>
            </w:r>
          </w:p>
        </w:tc>
        <w:tc>
          <w:tcPr>
            <w:tcW w:w="565" w:type="dxa"/>
          </w:tcPr>
          <w:p w14:paraId="6F1D3516"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49</w:t>
            </w:r>
          </w:p>
        </w:tc>
        <w:tc>
          <w:tcPr>
            <w:tcW w:w="552" w:type="dxa"/>
          </w:tcPr>
          <w:p w14:paraId="4E8A8C72"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24</w:t>
            </w:r>
          </w:p>
        </w:tc>
        <w:tc>
          <w:tcPr>
            <w:tcW w:w="525" w:type="dxa"/>
          </w:tcPr>
          <w:p w14:paraId="343ACA35"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27</w:t>
            </w:r>
          </w:p>
        </w:tc>
        <w:tc>
          <w:tcPr>
            <w:tcW w:w="523" w:type="dxa"/>
          </w:tcPr>
          <w:p w14:paraId="4E6C1018"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38</w:t>
            </w:r>
          </w:p>
        </w:tc>
        <w:tc>
          <w:tcPr>
            <w:tcW w:w="479" w:type="dxa"/>
          </w:tcPr>
          <w:p w14:paraId="22B25571"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36</w:t>
            </w:r>
          </w:p>
        </w:tc>
        <w:tc>
          <w:tcPr>
            <w:tcW w:w="472" w:type="dxa"/>
          </w:tcPr>
          <w:p w14:paraId="2E849908"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26</w:t>
            </w:r>
          </w:p>
        </w:tc>
      </w:tr>
      <w:tr w:rsidR="0047737A" w:rsidRPr="00E15F8F" w14:paraId="0B79C3A3" w14:textId="77777777" w:rsidTr="0047737A">
        <w:tc>
          <w:tcPr>
            <w:tcW w:w="1946" w:type="dxa"/>
          </w:tcPr>
          <w:p w14:paraId="16A4337E"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eastAsia="Times New Roman,Bold" w:hAnsi="Times New Roman" w:cs="Times New Roman"/>
                <w:sz w:val="20"/>
                <w:szCs w:val="20"/>
                <w:lang w:val="bg-BG"/>
              </w:rPr>
              <w:t>Източнобеломорски район – 40 КП</w:t>
            </w:r>
          </w:p>
        </w:tc>
        <w:tc>
          <w:tcPr>
            <w:tcW w:w="480" w:type="dxa"/>
          </w:tcPr>
          <w:p w14:paraId="34582F6F"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60</w:t>
            </w:r>
          </w:p>
        </w:tc>
        <w:tc>
          <w:tcPr>
            <w:tcW w:w="469" w:type="dxa"/>
          </w:tcPr>
          <w:p w14:paraId="362073D1"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27</w:t>
            </w:r>
          </w:p>
        </w:tc>
        <w:tc>
          <w:tcPr>
            <w:tcW w:w="466" w:type="dxa"/>
          </w:tcPr>
          <w:p w14:paraId="1607DF2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13</w:t>
            </w:r>
          </w:p>
        </w:tc>
        <w:tc>
          <w:tcPr>
            <w:tcW w:w="461" w:type="dxa"/>
          </w:tcPr>
          <w:p w14:paraId="4707FCC2"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33</w:t>
            </w:r>
          </w:p>
        </w:tc>
        <w:tc>
          <w:tcPr>
            <w:tcW w:w="455" w:type="dxa"/>
          </w:tcPr>
          <w:p w14:paraId="18787D6A"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40</w:t>
            </w:r>
          </w:p>
        </w:tc>
        <w:tc>
          <w:tcPr>
            <w:tcW w:w="482" w:type="dxa"/>
          </w:tcPr>
          <w:p w14:paraId="6170044D"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27</w:t>
            </w:r>
          </w:p>
        </w:tc>
        <w:tc>
          <w:tcPr>
            <w:tcW w:w="583" w:type="dxa"/>
          </w:tcPr>
          <w:p w14:paraId="2161F20A"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37</w:t>
            </w:r>
          </w:p>
        </w:tc>
        <w:tc>
          <w:tcPr>
            <w:tcW w:w="425" w:type="dxa"/>
          </w:tcPr>
          <w:p w14:paraId="458F2AF8"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37</w:t>
            </w:r>
          </w:p>
        </w:tc>
        <w:tc>
          <w:tcPr>
            <w:tcW w:w="467" w:type="dxa"/>
          </w:tcPr>
          <w:p w14:paraId="207054EC"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26</w:t>
            </w:r>
          </w:p>
        </w:tc>
        <w:tc>
          <w:tcPr>
            <w:tcW w:w="565" w:type="dxa"/>
          </w:tcPr>
          <w:p w14:paraId="107699A2"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33</w:t>
            </w:r>
          </w:p>
        </w:tc>
        <w:tc>
          <w:tcPr>
            <w:tcW w:w="552" w:type="dxa"/>
          </w:tcPr>
          <w:p w14:paraId="30F0A2A9"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21</w:t>
            </w:r>
          </w:p>
        </w:tc>
        <w:tc>
          <w:tcPr>
            <w:tcW w:w="525" w:type="dxa"/>
          </w:tcPr>
          <w:p w14:paraId="1A9CF9D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46</w:t>
            </w:r>
          </w:p>
        </w:tc>
        <w:tc>
          <w:tcPr>
            <w:tcW w:w="523" w:type="dxa"/>
          </w:tcPr>
          <w:p w14:paraId="1328D19F"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38</w:t>
            </w:r>
          </w:p>
        </w:tc>
        <w:tc>
          <w:tcPr>
            <w:tcW w:w="479" w:type="dxa"/>
          </w:tcPr>
          <w:p w14:paraId="1FFE7C8F"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35</w:t>
            </w:r>
          </w:p>
        </w:tc>
        <w:tc>
          <w:tcPr>
            <w:tcW w:w="472" w:type="dxa"/>
          </w:tcPr>
          <w:p w14:paraId="00FD2B7B"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27</w:t>
            </w:r>
          </w:p>
        </w:tc>
      </w:tr>
      <w:tr w:rsidR="0047737A" w:rsidRPr="00E15F8F" w14:paraId="26F093E5" w14:textId="77777777" w:rsidTr="0047737A">
        <w:tc>
          <w:tcPr>
            <w:tcW w:w="1946" w:type="dxa"/>
          </w:tcPr>
          <w:p w14:paraId="5952EF4C"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Западнобеломорски район – 27 КП</w:t>
            </w:r>
          </w:p>
        </w:tc>
        <w:tc>
          <w:tcPr>
            <w:tcW w:w="480" w:type="dxa"/>
          </w:tcPr>
          <w:p w14:paraId="5DB32CF5"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54</w:t>
            </w:r>
          </w:p>
        </w:tc>
        <w:tc>
          <w:tcPr>
            <w:tcW w:w="469" w:type="dxa"/>
          </w:tcPr>
          <w:p w14:paraId="3DD09C34"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40</w:t>
            </w:r>
          </w:p>
        </w:tc>
        <w:tc>
          <w:tcPr>
            <w:tcW w:w="466" w:type="dxa"/>
          </w:tcPr>
          <w:p w14:paraId="070551A2"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6</w:t>
            </w:r>
          </w:p>
        </w:tc>
        <w:tc>
          <w:tcPr>
            <w:tcW w:w="461" w:type="dxa"/>
          </w:tcPr>
          <w:p w14:paraId="7219660D"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26</w:t>
            </w:r>
          </w:p>
        </w:tc>
        <w:tc>
          <w:tcPr>
            <w:tcW w:w="455" w:type="dxa"/>
          </w:tcPr>
          <w:p w14:paraId="536CF56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58</w:t>
            </w:r>
          </w:p>
        </w:tc>
        <w:tc>
          <w:tcPr>
            <w:tcW w:w="482" w:type="dxa"/>
          </w:tcPr>
          <w:p w14:paraId="160EA9C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16</w:t>
            </w:r>
          </w:p>
        </w:tc>
        <w:tc>
          <w:tcPr>
            <w:tcW w:w="583" w:type="dxa"/>
          </w:tcPr>
          <w:p w14:paraId="4B936CAA"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50</w:t>
            </w:r>
          </w:p>
        </w:tc>
        <w:tc>
          <w:tcPr>
            <w:tcW w:w="425" w:type="dxa"/>
          </w:tcPr>
          <w:p w14:paraId="71BC92E4"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34</w:t>
            </w:r>
          </w:p>
        </w:tc>
        <w:tc>
          <w:tcPr>
            <w:tcW w:w="467" w:type="dxa"/>
          </w:tcPr>
          <w:p w14:paraId="6A5C2C90"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16</w:t>
            </w:r>
          </w:p>
        </w:tc>
        <w:tc>
          <w:tcPr>
            <w:tcW w:w="565" w:type="dxa"/>
          </w:tcPr>
          <w:p w14:paraId="6D267457"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38</w:t>
            </w:r>
          </w:p>
        </w:tc>
        <w:tc>
          <w:tcPr>
            <w:tcW w:w="552" w:type="dxa"/>
          </w:tcPr>
          <w:p w14:paraId="774A1A40"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15</w:t>
            </w:r>
          </w:p>
        </w:tc>
        <w:tc>
          <w:tcPr>
            <w:tcW w:w="525" w:type="dxa"/>
          </w:tcPr>
          <w:p w14:paraId="70DDF1C6"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47</w:t>
            </w:r>
          </w:p>
        </w:tc>
        <w:tc>
          <w:tcPr>
            <w:tcW w:w="523" w:type="dxa"/>
          </w:tcPr>
          <w:p w14:paraId="0D9121C2"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32</w:t>
            </w:r>
          </w:p>
        </w:tc>
        <w:tc>
          <w:tcPr>
            <w:tcW w:w="479" w:type="dxa"/>
          </w:tcPr>
          <w:p w14:paraId="13C8C77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48</w:t>
            </w:r>
          </w:p>
        </w:tc>
        <w:tc>
          <w:tcPr>
            <w:tcW w:w="472" w:type="dxa"/>
          </w:tcPr>
          <w:p w14:paraId="1898548E"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20</w:t>
            </w:r>
          </w:p>
        </w:tc>
      </w:tr>
      <w:tr w:rsidR="0047737A" w:rsidRPr="00E15F8F" w14:paraId="42E228A0" w14:textId="77777777" w:rsidTr="0047737A">
        <w:tc>
          <w:tcPr>
            <w:tcW w:w="1946" w:type="dxa"/>
          </w:tcPr>
          <w:p w14:paraId="76667687"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80" w:type="dxa"/>
          </w:tcPr>
          <w:p w14:paraId="53DE1E0A"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69" w:type="dxa"/>
          </w:tcPr>
          <w:p w14:paraId="0B334F5C"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66" w:type="dxa"/>
          </w:tcPr>
          <w:p w14:paraId="4A783B36"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61" w:type="dxa"/>
          </w:tcPr>
          <w:p w14:paraId="018468B4"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55" w:type="dxa"/>
          </w:tcPr>
          <w:p w14:paraId="4FB16BF3"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82" w:type="dxa"/>
          </w:tcPr>
          <w:p w14:paraId="648729B6"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583" w:type="dxa"/>
          </w:tcPr>
          <w:p w14:paraId="305807A8"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25" w:type="dxa"/>
          </w:tcPr>
          <w:p w14:paraId="3C2A7805"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67" w:type="dxa"/>
          </w:tcPr>
          <w:p w14:paraId="444B364D"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565" w:type="dxa"/>
          </w:tcPr>
          <w:p w14:paraId="146F03B0"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552" w:type="dxa"/>
          </w:tcPr>
          <w:p w14:paraId="01ED3701"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525" w:type="dxa"/>
          </w:tcPr>
          <w:p w14:paraId="0463E075"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523" w:type="dxa"/>
          </w:tcPr>
          <w:p w14:paraId="06A699BD"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79" w:type="dxa"/>
          </w:tcPr>
          <w:p w14:paraId="406498BB"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c>
          <w:tcPr>
            <w:tcW w:w="472" w:type="dxa"/>
          </w:tcPr>
          <w:p w14:paraId="6E44078A" w14:textId="77777777" w:rsidR="0047737A" w:rsidRPr="00E15F8F" w:rsidRDefault="0047737A" w:rsidP="0047737A">
            <w:pPr>
              <w:autoSpaceDE w:val="0"/>
              <w:autoSpaceDN w:val="0"/>
              <w:adjustRightInd w:val="0"/>
              <w:spacing w:after="120"/>
              <w:jc w:val="both"/>
              <w:rPr>
                <w:rFonts w:ascii="Times New Roman" w:hAnsi="Times New Roman" w:cs="Times New Roman"/>
                <w:sz w:val="20"/>
                <w:szCs w:val="20"/>
                <w:lang w:val="bg-BG"/>
              </w:rPr>
            </w:pPr>
          </w:p>
        </w:tc>
      </w:tr>
    </w:tbl>
    <w:bookmarkEnd w:id="16"/>
    <w:p w14:paraId="793D66C0" w14:textId="77777777" w:rsidR="0047737A" w:rsidRPr="00E15F8F" w:rsidRDefault="0047737A" w:rsidP="0047737A">
      <w:pPr>
        <w:autoSpaceDE w:val="0"/>
        <w:autoSpaceDN w:val="0"/>
        <w:adjustRightInd w:val="0"/>
        <w:spacing w:after="0" w:line="240"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 – Отлично състояние</w:t>
      </w:r>
    </w:p>
    <w:p w14:paraId="439BD1C8" w14:textId="77777777" w:rsidR="0047737A" w:rsidRPr="00E15F8F" w:rsidRDefault="0047737A" w:rsidP="0047737A">
      <w:pPr>
        <w:autoSpaceDE w:val="0"/>
        <w:autoSpaceDN w:val="0"/>
        <w:adjustRightInd w:val="0"/>
        <w:spacing w:after="0" w:line="240" w:lineRule="auto"/>
        <w:ind w:firstLine="9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Д – добро състояние</w:t>
      </w:r>
    </w:p>
    <w:p w14:paraId="4BCBAD36" w14:textId="77777777" w:rsidR="0047737A" w:rsidRPr="00E15F8F" w:rsidRDefault="0047737A" w:rsidP="0047737A">
      <w:pPr>
        <w:autoSpaceDE w:val="0"/>
        <w:autoSpaceDN w:val="0"/>
        <w:adjustRightInd w:val="0"/>
        <w:spacing w:after="0" w:line="240" w:lineRule="auto"/>
        <w:ind w:firstLine="90"/>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У – Умерено състояние</w:t>
      </w:r>
    </w:p>
    <w:p w14:paraId="5FC0DC5D" w14:textId="77777777" w:rsidR="0047737A" w:rsidRPr="00E15F8F" w:rsidRDefault="0047737A" w:rsidP="006F34D7">
      <w:pPr>
        <w:pStyle w:val="Caption"/>
        <w:jc w:val="both"/>
        <w:rPr>
          <w:rFonts w:cs="Times New Roman"/>
          <w:i/>
          <w:iCs/>
        </w:rPr>
      </w:pPr>
      <w:r w:rsidRPr="006F34D7">
        <w:rPr>
          <w:rFonts w:eastAsiaTheme="minorHAnsi" w:cs="Times New Roman"/>
          <w:b w:val="0"/>
          <w:bCs w:val="0"/>
          <w:i/>
          <w:iCs/>
          <w:sz w:val="22"/>
          <w:szCs w:val="22"/>
          <w:lang w:eastAsia="en-US"/>
        </w:rPr>
        <w:t>Източник: ИАОС</w:t>
      </w:r>
    </w:p>
    <w:p w14:paraId="04D2BD45" w14:textId="72D18EF7" w:rsidR="0047737A" w:rsidRDefault="0047737A" w:rsidP="0047737A">
      <w:pPr>
        <w:autoSpaceDE w:val="0"/>
        <w:autoSpaceDN w:val="0"/>
        <w:adjustRightInd w:val="0"/>
        <w:spacing w:after="0" w:line="240" w:lineRule="auto"/>
        <w:rPr>
          <w:rFonts w:ascii="Times New Roman" w:eastAsia="Times New Roman,Bold" w:hAnsi="Times New Roman" w:cs="Times New Roman"/>
          <w:b/>
          <w:bCs/>
          <w:sz w:val="24"/>
          <w:szCs w:val="24"/>
          <w:lang w:val="bg-BG"/>
        </w:rPr>
      </w:pPr>
    </w:p>
    <w:p w14:paraId="6C66980F" w14:textId="36E45AE1" w:rsidR="001B1B03" w:rsidRDefault="001B1B03" w:rsidP="0047737A">
      <w:pPr>
        <w:autoSpaceDE w:val="0"/>
        <w:autoSpaceDN w:val="0"/>
        <w:adjustRightInd w:val="0"/>
        <w:spacing w:after="0" w:line="240" w:lineRule="auto"/>
        <w:rPr>
          <w:rFonts w:ascii="Times New Roman" w:eastAsia="Times New Roman,Bold" w:hAnsi="Times New Roman" w:cs="Times New Roman"/>
          <w:b/>
          <w:bCs/>
          <w:sz w:val="24"/>
          <w:szCs w:val="24"/>
          <w:lang w:val="bg-BG"/>
        </w:rPr>
      </w:pPr>
    </w:p>
    <w:p w14:paraId="717F4513" w14:textId="3A89D3DA" w:rsidR="001B1B03" w:rsidRDefault="001B1B03" w:rsidP="0047737A">
      <w:pPr>
        <w:autoSpaceDE w:val="0"/>
        <w:autoSpaceDN w:val="0"/>
        <w:adjustRightInd w:val="0"/>
        <w:spacing w:after="0" w:line="240" w:lineRule="auto"/>
        <w:rPr>
          <w:rFonts w:ascii="Times New Roman" w:eastAsia="Times New Roman,Bold" w:hAnsi="Times New Roman" w:cs="Times New Roman"/>
          <w:b/>
          <w:bCs/>
          <w:sz w:val="24"/>
          <w:szCs w:val="24"/>
          <w:lang w:val="bg-BG"/>
        </w:rPr>
      </w:pPr>
    </w:p>
    <w:p w14:paraId="5491260A" w14:textId="77777777" w:rsidR="001B1B03" w:rsidRPr="00E15F8F" w:rsidRDefault="001B1B03" w:rsidP="0047737A">
      <w:pPr>
        <w:autoSpaceDE w:val="0"/>
        <w:autoSpaceDN w:val="0"/>
        <w:adjustRightInd w:val="0"/>
        <w:spacing w:after="0" w:line="240" w:lineRule="auto"/>
        <w:rPr>
          <w:rFonts w:ascii="Times New Roman" w:eastAsia="Times New Roman,Bold" w:hAnsi="Times New Roman" w:cs="Times New Roman"/>
          <w:b/>
          <w:bCs/>
          <w:sz w:val="24"/>
          <w:szCs w:val="24"/>
          <w:lang w:val="bg-BG"/>
        </w:rPr>
      </w:pPr>
    </w:p>
    <w:p w14:paraId="23B3BF9C" w14:textId="77777777" w:rsidR="0047737A" w:rsidRPr="00E15F8F" w:rsidRDefault="0047737A" w:rsidP="0047737A">
      <w:pPr>
        <w:autoSpaceDE w:val="0"/>
        <w:autoSpaceDN w:val="0"/>
        <w:adjustRightInd w:val="0"/>
        <w:spacing w:after="0" w:line="240" w:lineRule="auto"/>
        <w:rPr>
          <w:rFonts w:ascii="Times New Roman" w:eastAsia="Times New Roman,Bold" w:hAnsi="Times New Roman" w:cs="Times New Roman"/>
          <w:b/>
          <w:bCs/>
          <w:lang w:val="bg-BG"/>
        </w:rPr>
      </w:pPr>
      <w:r w:rsidRPr="00E15F8F">
        <w:rPr>
          <w:rFonts w:ascii="Times New Roman" w:eastAsia="Times New Roman,Bold" w:hAnsi="Times New Roman" w:cs="Times New Roman"/>
          <w:b/>
          <w:bCs/>
          <w:lang w:val="bg-BG"/>
        </w:rPr>
        <w:t>Биологични индикатори за състоянието на повърхностните води</w:t>
      </w:r>
    </w:p>
    <w:p w14:paraId="41CA7859" w14:textId="77777777" w:rsidR="0047737A" w:rsidRPr="00E15F8F" w:rsidRDefault="0047737A" w:rsidP="0047737A">
      <w:pPr>
        <w:autoSpaceDE w:val="0"/>
        <w:autoSpaceDN w:val="0"/>
        <w:adjustRightInd w:val="0"/>
        <w:spacing w:after="0" w:line="240" w:lineRule="auto"/>
        <w:rPr>
          <w:rFonts w:ascii="Times New Roman" w:eastAsia="Times New Roman,Bold" w:hAnsi="Times New Roman" w:cs="Times New Roman"/>
          <w:b/>
          <w:bCs/>
          <w:lang w:val="bg-BG"/>
        </w:rPr>
      </w:pPr>
    </w:p>
    <w:p w14:paraId="0F77BC69" w14:textId="77777777" w:rsidR="0047737A" w:rsidRPr="00E15F8F" w:rsidRDefault="0047737A" w:rsidP="0047737A">
      <w:pPr>
        <w:autoSpaceDE w:val="0"/>
        <w:autoSpaceDN w:val="0"/>
        <w:adjustRightInd w:val="0"/>
        <w:spacing w:after="120" w:line="276"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 xml:space="preserve">Биологичната оценка на водните обекти от </w:t>
      </w:r>
      <w:r w:rsidRPr="00E15F8F">
        <w:rPr>
          <w:rFonts w:ascii="Times New Roman" w:eastAsia="Times New Roman,Bold" w:hAnsi="Times New Roman" w:cs="Times New Roman"/>
          <w:b/>
          <w:bCs/>
          <w:lang w:val="bg-BG"/>
        </w:rPr>
        <w:t>категория „езеро“</w:t>
      </w:r>
      <w:r w:rsidRPr="00E15F8F">
        <w:rPr>
          <w:rFonts w:ascii="Times New Roman" w:eastAsia="Times New Roman,Bold" w:hAnsi="Times New Roman" w:cs="Times New Roman"/>
          <w:lang w:val="bg-BG"/>
        </w:rPr>
        <w:t xml:space="preserve"> изследва изменението в биомасата на фитопланктона. Индикаторът показва замърсяването с биогени (еутрофикация). Данните от 2018 г. от 88 пункта за наблюдение (17 в езера и 71 в язовири) показват следното съотношение:</w:t>
      </w:r>
    </w:p>
    <w:p w14:paraId="7F83C5F5"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47% т наблюдаваните пунктове са в интервала отлично – добро състояние;</w:t>
      </w:r>
    </w:p>
    <w:p w14:paraId="7D4E4295"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9% са в умерено състояние;</w:t>
      </w:r>
    </w:p>
    <w:p w14:paraId="3E5D54A0"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44% са в интервала лошо – много лошо състояние.</w:t>
      </w:r>
    </w:p>
    <w:p w14:paraId="1D8459C4" w14:textId="77777777" w:rsidR="0047737A" w:rsidRPr="00E15F8F" w:rsidRDefault="0047737A" w:rsidP="0047737A">
      <w:pPr>
        <w:autoSpaceDE w:val="0"/>
        <w:autoSpaceDN w:val="0"/>
        <w:adjustRightInd w:val="0"/>
        <w:spacing w:after="120" w:line="276"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При 53% от наблюдаваните пунктове не се постигат целите за добро състояние.</w:t>
      </w:r>
      <w:r w:rsidRPr="00E15F8F">
        <w:rPr>
          <w:rStyle w:val="FootnoteReference"/>
          <w:rFonts w:ascii="Times New Roman" w:eastAsia="Times New Roman,Bold" w:hAnsi="Times New Roman" w:cs="Times New Roman"/>
          <w:lang w:val="bg-BG"/>
        </w:rPr>
        <w:footnoteReference w:id="19"/>
      </w:r>
    </w:p>
    <w:p w14:paraId="79746D4C" w14:textId="77777777" w:rsidR="0047737A" w:rsidRPr="00E15F8F" w:rsidRDefault="0047737A" w:rsidP="0047737A">
      <w:pPr>
        <w:autoSpaceDE w:val="0"/>
        <w:autoSpaceDN w:val="0"/>
        <w:adjustRightInd w:val="0"/>
        <w:spacing w:after="120" w:line="276" w:lineRule="auto"/>
        <w:jc w:val="both"/>
        <w:rPr>
          <w:rFonts w:ascii="Times New Roman" w:eastAsia="Times New Roman,Bold" w:hAnsi="Times New Roman" w:cs="Times New Roman"/>
          <w:lang w:val="bg-BG"/>
        </w:rPr>
      </w:pPr>
      <w:bookmarkStart w:id="17" w:name="_Hlk68892154"/>
      <w:r w:rsidRPr="00E15F8F">
        <w:rPr>
          <w:rFonts w:ascii="Times New Roman" w:eastAsia="Times New Roman,Bold" w:hAnsi="Times New Roman" w:cs="Times New Roman"/>
          <w:lang w:val="bg-BG"/>
        </w:rPr>
        <w:t xml:space="preserve">Изменението в числеността и разнообразието на индикаторни групи макрозообентос във водни обекти от </w:t>
      </w:r>
      <w:r w:rsidRPr="00E15F8F">
        <w:rPr>
          <w:rFonts w:ascii="Times New Roman" w:eastAsia="Times New Roman,Bold" w:hAnsi="Times New Roman" w:cs="Times New Roman"/>
          <w:b/>
          <w:bCs/>
          <w:lang w:val="bg-BG"/>
        </w:rPr>
        <w:t>категорията „реки“</w:t>
      </w:r>
      <w:r w:rsidRPr="00E15F8F">
        <w:rPr>
          <w:rFonts w:ascii="Times New Roman" w:eastAsia="Times New Roman,Bold" w:hAnsi="Times New Roman" w:cs="Times New Roman"/>
          <w:lang w:val="bg-BG"/>
        </w:rPr>
        <w:t xml:space="preserve"> е индикатор за органично и токсично замърсяване.</w:t>
      </w:r>
    </w:p>
    <w:p w14:paraId="0291E630" w14:textId="77777777" w:rsidR="0047737A" w:rsidRPr="00E15F8F" w:rsidRDefault="0047737A" w:rsidP="0047737A">
      <w:pPr>
        <w:autoSpaceDE w:val="0"/>
        <w:autoSpaceDN w:val="0"/>
        <w:adjustRightInd w:val="0"/>
        <w:spacing w:after="120" w:line="276" w:lineRule="auto"/>
        <w:jc w:val="both"/>
        <w:rPr>
          <w:rFonts w:ascii="Times New Roman" w:eastAsia="Times New Roman,Bold" w:hAnsi="Times New Roman" w:cs="Times New Roman"/>
          <w:lang w:val="bg-BG"/>
        </w:rPr>
      </w:pPr>
      <w:r w:rsidRPr="00E15F8F">
        <w:rPr>
          <w:rFonts w:ascii="Times New Roman" w:eastAsia="Times New Roman,Bold" w:hAnsi="Times New Roman" w:cs="Times New Roman"/>
          <w:lang w:val="bg-BG"/>
        </w:rPr>
        <w:t>Оценката за 2018 г. от 478 пункта за наблюдение по този показател показва, че 49% от пунктовете за категория река са в интервала отлично – добро състояние, 36% са в умерено състояние и 15% - в интервала лошо – много лошо състояние. 51% от наблюдаваните пунктове не постигат целите за добро състояние.</w:t>
      </w:r>
    </w:p>
    <w:bookmarkEnd w:id="17"/>
    <w:p w14:paraId="3A3B9114" w14:textId="77777777" w:rsidR="0047737A" w:rsidRPr="00E15F8F" w:rsidRDefault="0047737A" w:rsidP="0047737A">
      <w:pPr>
        <w:autoSpaceDE w:val="0"/>
        <w:autoSpaceDN w:val="0"/>
        <w:adjustRightInd w:val="0"/>
        <w:spacing w:after="120" w:line="276" w:lineRule="auto"/>
        <w:rPr>
          <w:rFonts w:ascii="Times New Roman" w:eastAsia="Times New Roman,Bold" w:hAnsi="Times New Roman" w:cs="Times New Roman"/>
          <w:b/>
          <w:bCs/>
          <w:lang w:val="bg-BG"/>
        </w:rPr>
      </w:pPr>
      <w:r w:rsidRPr="00E15F8F">
        <w:rPr>
          <w:rFonts w:ascii="Times New Roman" w:eastAsia="Times New Roman,Bold" w:hAnsi="Times New Roman" w:cs="Times New Roman"/>
          <w:b/>
          <w:bCs/>
          <w:lang w:val="bg-BG"/>
        </w:rPr>
        <w:t>Количествено състояние на повърхностните води</w:t>
      </w:r>
    </w:p>
    <w:p w14:paraId="1A398F53" w14:textId="77777777" w:rsidR="0047737A" w:rsidRPr="00E15F8F" w:rsidRDefault="0047737A" w:rsidP="0047737A">
      <w:pPr>
        <w:autoSpaceDE w:val="0"/>
        <w:autoSpaceDN w:val="0"/>
        <w:adjustRightInd w:val="0"/>
        <w:spacing w:after="120" w:line="276" w:lineRule="auto"/>
        <w:rPr>
          <w:rFonts w:ascii="Times New Roman" w:eastAsia="Times New Roman,Bold" w:hAnsi="Times New Roman" w:cs="Times New Roman"/>
          <w:lang w:val="bg-BG"/>
        </w:rPr>
      </w:pPr>
      <w:bookmarkStart w:id="18" w:name="_Hlk68892881"/>
      <w:r w:rsidRPr="00E15F8F">
        <w:rPr>
          <w:rFonts w:ascii="Times New Roman" w:eastAsia="Times New Roman,Bold" w:hAnsi="Times New Roman" w:cs="Times New Roman"/>
          <w:lang w:val="bg-BG"/>
        </w:rPr>
        <w:t>Общият обем на регистрирания повърхностен отток за страната през 2018 г. 24 625*10</w:t>
      </w:r>
      <w:r w:rsidRPr="00E15F8F">
        <w:rPr>
          <w:rFonts w:ascii="Times New Roman" w:eastAsia="Times New Roman,Bold" w:hAnsi="Times New Roman" w:cs="Times New Roman"/>
          <w:vertAlign w:val="superscript"/>
          <w:lang w:val="bg-BG"/>
        </w:rPr>
        <w:t xml:space="preserve"> </w:t>
      </w:r>
      <w:r w:rsidRPr="00E15F8F">
        <w:rPr>
          <w:rFonts w:ascii="Times New Roman" w:eastAsia="Times New Roman,Bold" w:hAnsi="Times New Roman" w:cs="Times New Roman"/>
          <w:lang w:val="bg-BG"/>
        </w:rPr>
        <w:t>m</w:t>
      </w:r>
      <w:r w:rsidRPr="00E15F8F">
        <w:rPr>
          <w:rFonts w:ascii="Times New Roman" w:eastAsia="Times New Roman,Bold" w:hAnsi="Times New Roman" w:cs="Times New Roman"/>
          <w:vertAlign w:val="superscript"/>
          <w:lang w:val="bg-BG"/>
        </w:rPr>
        <w:t>3</w:t>
      </w:r>
      <w:r w:rsidRPr="00E15F8F">
        <w:rPr>
          <w:rFonts w:ascii="Times New Roman" w:eastAsia="Times New Roman,Bold" w:hAnsi="Times New Roman" w:cs="Times New Roman"/>
          <w:lang w:val="bg-BG"/>
        </w:rPr>
        <w:t xml:space="preserve">. В сравнение </w:t>
      </w:r>
      <w:r w:rsidRPr="00E15F8F">
        <w:rPr>
          <w:rFonts w:ascii="Times New Roman" w:hAnsi="Times New Roman" w:cs="Times New Roman"/>
          <w:lang w:val="bg-BG"/>
        </w:rPr>
        <w:t xml:space="preserve">със средномногогодишните норми за периодите 1961÷1990 г., 1971÷2000 г. и 1981÷2010 г., повърхностният отток се е увеличил съответно с </w:t>
      </w:r>
      <w:r w:rsidRPr="00E15F8F">
        <w:rPr>
          <w:rFonts w:ascii="Times New Roman" w:eastAsia="Times New Roman,Bold" w:hAnsi="Times New Roman" w:cs="Times New Roman"/>
          <w:lang w:val="bg-BG"/>
        </w:rPr>
        <w:t>33,4%, 51,7% и с 58,1%</w:t>
      </w:r>
      <w:r w:rsidRPr="00E15F8F">
        <w:rPr>
          <w:rFonts w:ascii="Times New Roman" w:hAnsi="Times New Roman" w:cs="Times New Roman"/>
          <w:lang w:val="bg-BG"/>
        </w:rPr>
        <w:t>, а спрямо предходната 2017 г. - с 69,7%.</w:t>
      </w:r>
      <w:r w:rsidRPr="00E15F8F">
        <w:rPr>
          <w:rFonts w:ascii="Times New Roman" w:eastAsia="Times New Roman,Bold" w:hAnsi="Times New Roman" w:cs="Times New Roman"/>
          <w:vertAlign w:val="superscript"/>
          <w:lang w:val="bg-BG"/>
        </w:rPr>
        <w:t xml:space="preserve"> </w:t>
      </w:r>
    </w:p>
    <w:bookmarkEnd w:id="18"/>
    <w:p w14:paraId="2D3C1B93"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Участието на отделните водосборни басейни в сформирането на оттока през 2018 г. демонстрира очевидни специфики на ниво район на управление:</w:t>
      </w:r>
    </w:p>
    <w:p w14:paraId="75FAA79F"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39,6% повърхностния отток се формира от реките в Дунавския водосборен басейн, </w:t>
      </w:r>
    </w:p>
    <w:p w14:paraId="2BFD7B12"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32,3% е формиран от реките в Източнобеломорския водосбор</w:t>
      </w:r>
    </w:p>
    <w:p w14:paraId="36672234"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14,4% - от реките в Западнобеломорския басейн</w:t>
      </w:r>
    </w:p>
    <w:p w14:paraId="2D97F55D"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eastAsia="Times New Roman,Bold" w:hAnsi="Times New Roman" w:cs="Times New Roman"/>
          <w:b/>
          <w:bCs/>
          <w:lang w:val="bg-BG"/>
        </w:rPr>
      </w:pPr>
      <w:r w:rsidRPr="00E15F8F">
        <w:rPr>
          <w:rFonts w:ascii="Times New Roman" w:hAnsi="Times New Roman" w:cs="Times New Roman"/>
          <w:lang w:val="bg-BG"/>
        </w:rPr>
        <w:t>13,7% - от реките в Черноморския водосбор.</w:t>
      </w:r>
    </w:p>
    <w:p w14:paraId="39ACCDC6"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Годишният обем на оттока в </w:t>
      </w:r>
      <w:r w:rsidRPr="00E15F8F">
        <w:rPr>
          <w:rFonts w:ascii="Times New Roman" w:eastAsia="Times New Roman,Bold" w:hAnsi="Times New Roman" w:cs="Times New Roman"/>
          <w:b/>
          <w:bCs/>
          <w:lang w:val="bg-BG"/>
        </w:rPr>
        <w:t xml:space="preserve">Дунавския водосборен басейн </w:t>
      </w:r>
      <w:r w:rsidRPr="00E15F8F">
        <w:rPr>
          <w:rFonts w:ascii="Times New Roman" w:hAnsi="Times New Roman" w:cs="Times New Roman"/>
          <w:lang w:val="bg-BG"/>
        </w:rPr>
        <w:t xml:space="preserve">е </w:t>
      </w:r>
      <w:r w:rsidRPr="00E15F8F">
        <w:rPr>
          <w:rFonts w:ascii="Times New Roman" w:hAnsi="Times New Roman" w:cs="Times New Roman"/>
          <w:b/>
          <w:bCs/>
          <w:lang w:val="bg-BG"/>
        </w:rPr>
        <w:t>9752</w:t>
      </w:r>
      <w:r w:rsidRPr="00E15F8F">
        <w:rPr>
          <w:rFonts w:ascii="Times New Roman" w:hAnsi="Times New Roman" w:cs="Times New Roman"/>
          <w:lang w:val="bg-BG"/>
        </w:rPr>
        <w:t xml:space="preserve">*106 m3, което сравнено със средномногогодишните стойности за периодите 1961÷1990 г., 1971÷2000 г. и 1981÷2010 г. е съответно с 57%, 76% и 85% повече. Спрямо 2017 г. обемът на оттока във водосбора се е увеличил с 50%. </w:t>
      </w:r>
    </w:p>
    <w:p w14:paraId="355EE85E"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Годишният обем на оттока в </w:t>
      </w:r>
      <w:r w:rsidRPr="00E15F8F">
        <w:rPr>
          <w:rFonts w:ascii="Times New Roman" w:eastAsia="Times New Roman,Bold" w:hAnsi="Times New Roman" w:cs="Times New Roman"/>
          <w:b/>
          <w:bCs/>
          <w:lang w:val="bg-BG"/>
        </w:rPr>
        <w:t xml:space="preserve">Черноморския водосборен басейн </w:t>
      </w:r>
      <w:r w:rsidRPr="00E15F8F">
        <w:rPr>
          <w:rFonts w:ascii="Times New Roman" w:hAnsi="Times New Roman" w:cs="Times New Roman"/>
          <w:lang w:val="bg-BG"/>
        </w:rPr>
        <w:t xml:space="preserve">е </w:t>
      </w:r>
      <w:r w:rsidRPr="00E15F8F">
        <w:rPr>
          <w:rFonts w:ascii="Times New Roman" w:hAnsi="Times New Roman" w:cs="Times New Roman"/>
          <w:b/>
          <w:bCs/>
          <w:lang w:val="bg-BG"/>
        </w:rPr>
        <w:t>3374</w:t>
      </w:r>
      <w:r w:rsidRPr="00E15F8F">
        <w:rPr>
          <w:rFonts w:ascii="Times New Roman" w:hAnsi="Times New Roman" w:cs="Times New Roman"/>
          <w:lang w:val="bg-BG"/>
        </w:rPr>
        <w:t>*106 m3, което сравнено със средномногогодишните норми за периодите 1961-1990 г., 1971-2000 г. и 1981-2010 г. се е увеличил съответно с 87%, 105% и 106%. Спрямо 2017 г. обемът на оттока във водосбора се е увеличил с 60%.</w:t>
      </w:r>
    </w:p>
    <w:p w14:paraId="013F593F" w14:textId="11268973"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lastRenderedPageBreak/>
        <w:t xml:space="preserve">Годишният обем на оттока в </w:t>
      </w:r>
      <w:r w:rsidRPr="00E15F8F">
        <w:rPr>
          <w:rFonts w:ascii="Times New Roman" w:eastAsia="Times New Roman,Bold" w:hAnsi="Times New Roman" w:cs="Times New Roman"/>
          <w:b/>
          <w:bCs/>
          <w:lang w:val="bg-BG"/>
        </w:rPr>
        <w:t xml:space="preserve">Източнобеломорския водосборен басейн </w:t>
      </w:r>
      <w:r w:rsidRPr="00E15F8F">
        <w:rPr>
          <w:rFonts w:ascii="Times New Roman" w:hAnsi="Times New Roman" w:cs="Times New Roman"/>
          <w:lang w:val="bg-BG"/>
        </w:rPr>
        <w:t xml:space="preserve">е </w:t>
      </w:r>
      <w:r w:rsidRPr="00E15F8F">
        <w:rPr>
          <w:rFonts w:ascii="Times New Roman" w:hAnsi="Times New Roman" w:cs="Times New Roman"/>
          <w:b/>
          <w:bCs/>
          <w:lang w:val="bg-BG"/>
        </w:rPr>
        <w:t>7949,6</w:t>
      </w:r>
      <w:r w:rsidRPr="00E15F8F">
        <w:rPr>
          <w:rFonts w:ascii="Times New Roman" w:hAnsi="Times New Roman" w:cs="Times New Roman"/>
          <w:lang w:val="bg-BG"/>
        </w:rPr>
        <w:t>*106 m3,</w:t>
      </w:r>
      <w:r w:rsidR="00C01CB0" w:rsidRPr="00E15F8F">
        <w:rPr>
          <w:rFonts w:ascii="Times New Roman" w:hAnsi="Times New Roman" w:cs="Times New Roman"/>
          <w:lang w:val="bg-BG"/>
        </w:rPr>
        <w:t xml:space="preserve"> </w:t>
      </w:r>
      <w:r w:rsidRPr="00E15F8F">
        <w:rPr>
          <w:rFonts w:ascii="Times New Roman" w:hAnsi="Times New Roman" w:cs="Times New Roman"/>
          <w:lang w:val="bg-BG"/>
        </w:rPr>
        <w:t>което сравнено със средномногогодишните норми за периодите 1961÷1990 г., 1971÷2000 г. и 1981÷2010 г. е съответно с 21%, 37% и 41% повече. Спрямо 2017 г. обемът на оттока във водосбора се е увеличил с 110%. Като цяло годината беше с изразено пролетно и лятно пълноводие и есенно-зимно маловодие.</w:t>
      </w:r>
    </w:p>
    <w:p w14:paraId="764F70D1"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Годишният обем на оттока в </w:t>
      </w:r>
      <w:r w:rsidRPr="00E15F8F">
        <w:rPr>
          <w:rFonts w:ascii="Times New Roman" w:eastAsia="Times New Roman,Bold" w:hAnsi="Times New Roman" w:cs="Times New Roman"/>
          <w:b/>
          <w:bCs/>
          <w:lang w:val="bg-BG"/>
        </w:rPr>
        <w:t xml:space="preserve">Западнобеломорския водосборен басейн </w:t>
      </w:r>
      <w:r w:rsidRPr="00E15F8F">
        <w:rPr>
          <w:rFonts w:ascii="Times New Roman" w:hAnsi="Times New Roman" w:cs="Times New Roman"/>
          <w:lang w:val="bg-BG"/>
        </w:rPr>
        <w:t xml:space="preserve">е </w:t>
      </w:r>
      <w:r w:rsidRPr="00E15F8F">
        <w:rPr>
          <w:rFonts w:ascii="Times New Roman" w:hAnsi="Times New Roman" w:cs="Times New Roman"/>
          <w:b/>
          <w:bCs/>
          <w:lang w:val="bg-BG"/>
        </w:rPr>
        <w:t>3350</w:t>
      </w:r>
      <w:r w:rsidRPr="00E15F8F">
        <w:rPr>
          <w:rFonts w:ascii="Times New Roman" w:hAnsi="Times New Roman" w:cs="Times New Roman"/>
          <w:lang w:val="bg-BG"/>
        </w:rPr>
        <w:t>*106m3, което сравнено със средномногогодишните норми за периодите 1961-1990г., 1971-2000 г. и 1981- 2010 г. е променен съответно с -8%, 9% и 18%. Спрямо 2017 г. обемът на оттока във водосбора е увеличен съответно с 68%. Годината се характеризира с изразено лятно есенно засушаване.</w:t>
      </w:r>
    </w:p>
    <w:p w14:paraId="28DC63E6" w14:textId="142C7B6F" w:rsidR="0047737A" w:rsidRPr="00E15F8F" w:rsidRDefault="0047737A" w:rsidP="0047737A">
      <w:pPr>
        <w:autoSpaceDE w:val="0"/>
        <w:autoSpaceDN w:val="0"/>
        <w:adjustRightInd w:val="0"/>
        <w:spacing w:after="0" w:line="240" w:lineRule="auto"/>
        <w:rPr>
          <w:rFonts w:ascii="Times New Roman" w:hAnsi="Times New Roman" w:cs="Times New Roman"/>
          <w:b/>
          <w:bCs/>
          <w:lang w:val="bg-BG"/>
        </w:rPr>
      </w:pPr>
      <w:r w:rsidRPr="00E15F8F">
        <w:rPr>
          <w:rFonts w:ascii="Times New Roman" w:hAnsi="Times New Roman" w:cs="Times New Roman"/>
          <w:b/>
          <w:bCs/>
          <w:lang w:val="bg-BG"/>
        </w:rPr>
        <w:t>Състояние и качество на подземните води в България</w:t>
      </w:r>
    </w:p>
    <w:p w14:paraId="29F13763" w14:textId="77777777" w:rsidR="0047737A" w:rsidRPr="00E15F8F" w:rsidRDefault="0047737A" w:rsidP="0047737A">
      <w:pPr>
        <w:autoSpaceDE w:val="0"/>
        <w:autoSpaceDN w:val="0"/>
        <w:adjustRightInd w:val="0"/>
        <w:spacing w:after="0" w:line="240" w:lineRule="auto"/>
        <w:rPr>
          <w:rFonts w:ascii="Times New Roman" w:hAnsi="Times New Roman" w:cs="Times New Roman"/>
          <w:b/>
          <w:bCs/>
          <w:lang w:val="bg-BG"/>
        </w:rPr>
      </w:pPr>
    </w:p>
    <w:p w14:paraId="25E699B9" w14:textId="77777777" w:rsidR="0047737A" w:rsidRPr="00E15F8F" w:rsidRDefault="0047737A" w:rsidP="0047737A">
      <w:pPr>
        <w:autoSpaceDE w:val="0"/>
        <w:autoSpaceDN w:val="0"/>
        <w:adjustRightInd w:val="0"/>
        <w:spacing w:after="0" w:line="240" w:lineRule="auto"/>
        <w:rPr>
          <w:rFonts w:ascii="Times New Roman" w:hAnsi="Times New Roman" w:cs="Times New Roman"/>
          <w:b/>
          <w:bCs/>
          <w:lang w:val="bg-BG"/>
        </w:rPr>
      </w:pPr>
      <w:r w:rsidRPr="00E15F8F">
        <w:rPr>
          <w:rFonts w:ascii="Times New Roman" w:hAnsi="Times New Roman" w:cs="Times New Roman"/>
          <w:b/>
          <w:bCs/>
          <w:lang w:val="bg-BG"/>
        </w:rPr>
        <w:t>Химично състояние на подземните води</w:t>
      </w:r>
    </w:p>
    <w:p w14:paraId="1AA40FFF" w14:textId="77777777" w:rsidR="0047737A" w:rsidRPr="00E15F8F" w:rsidRDefault="0047737A" w:rsidP="0047737A">
      <w:pPr>
        <w:autoSpaceDE w:val="0"/>
        <w:autoSpaceDN w:val="0"/>
        <w:adjustRightInd w:val="0"/>
        <w:spacing w:after="0" w:line="240" w:lineRule="auto"/>
        <w:rPr>
          <w:rFonts w:ascii="Times New Roman" w:hAnsi="Times New Roman" w:cs="Times New Roman"/>
          <w:b/>
          <w:bCs/>
          <w:lang w:val="bg-BG"/>
        </w:rPr>
      </w:pPr>
    </w:p>
    <w:p w14:paraId="23066F8C"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Мониторингът на химичното състояние на подземните води в страната отчита средногодишните стойности на концентрациите на замърсителите, определени с Наредба №1/10.10.2007 г. за проучване, ползване и опазване на подземните води: активна реакция (рН), eлектропроводимост, обща твърдост, перманганатна окисляемост, амониеви йони, нитрати, нитрити, сулфати, хлориди, фосфати, натрий, калций, магнезий, цинк, живак, кадмий, мед, никел, олово, хром общ, желязо, манган, арсен, тетрахлоретилен и трихлоретилен и пестициди.</w:t>
      </w:r>
    </w:p>
    <w:p w14:paraId="48F21365"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Динамиката на изменение на стойностите по отделните показатели показва слаба тенденция на повишение на средната стойност на </w:t>
      </w:r>
      <w:r w:rsidRPr="00E15F8F">
        <w:rPr>
          <w:rFonts w:ascii="Times New Roman" w:hAnsi="Times New Roman" w:cs="Times New Roman"/>
          <w:b/>
          <w:bCs/>
          <w:lang w:val="bg-BG"/>
        </w:rPr>
        <w:t>нитратите</w:t>
      </w:r>
      <w:r w:rsidRPr="00E15F8F">
        <w:rPr>
          <w:rFonts w:ascii="Times New Roman" w:hAnsi="Times New Roman" w:cs="Times New Roman"/>
          <w:lang w:val="bg-BG"/>
        </w:rPr>
        <w:t>, които са основен замърсител за подземните води, за 20-годишен период спрямо средната стойност през 1999 г. Средните стойности за всички години са варирали между 87.3 и 131.6 % (2012 г.) спрямо базовата 1999 г., като съотношението на 2018 г. спрямо 1999 г. е 105.96%.</w:t>
      </w:r>
    </w:p>
    <w:p w14:paraId="09DED2C0"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bookmarkStart w:id="19" w:name="_Hlk68892941"/>
      <w:r w:rsidRPr="00E15F8F">
        <w:rPr>
          <w:rFonts w:ascii="Times New Roman" w:hAnsi="Times New Roman" w:cs="Times New Roman"/>
          <w:lang w:val="bg-BG"/>
        </w:rPr>
        <w:t>Всичките останали показатели показват слаба тенденция на намаление през 20-годишния период спрямо средните стойности на базовата година 1999г., с изключение на показателите калций, електропроводимост, рН и хлориди – за които липсва изразена тенденция.</w:t>
      </w:r>
    </w:p>
    <w:p w14:paraId="4447C70C" w14:textId="313CC85D" w:rsidR="0047737A" w:rsidRPr="006F34D7" w:rsidRDefault="006F34D7" w:rsidP="006F34D7">
      <w:pPr>
        <w:pStyle w:val="Caption"/>
        <w:jc w:val="both"/>
        <w:rPr>
          <w:rFonts w:eastAsiaTheme="minorHAnsi" w:cs="Times New Roman"/>
          <w:b w:val="0"/>
          <w:bCs w:val="0"/>
          <w:i/>
          <w:sz w:val="22"/>
          <w:szCs w:val="22"/>
          <w:lang w:eastAsia="en-US"/>
        </w:rPr>
      </w:pPr>
      <w:bookmarkStart w:id="20" w:name="_Toc72917655"/>
      <w:bookmarkEnd w:id="19"/>
      <w:r w:rsidRPr="006F34D7">
        <w:rPr>
          <w:rFonts w:eastAsiaTheme="minorHAnsi" w:cs="Times New Roman"/>
          <w:b w:val="0"/>
          <w:bCs w:val="0"/>
          <w:i/>
          <w:sz w:val="22"/>
          <w:szCs w:val="22"/>
          <w:lang w:eastAsia="en-US"/>
        </w:rPr>
        <w:t xml:space="preserve">Фигура </w:t>
      </w:r>
      <w:r w:rsidRPr="006F34D7">
        <w:rPr>
          <w:rFonts w:eastAsiaTheme="minorHAnsi" w:cs="Times New Roman"/>
          <w:b w:val="0"/>
          <w:bCs w:val="0"/>
          <w:i/>
          <w:sz w:val="22"/>
          <w:szCs w:val="22"/>
          <w:lang w:eastAsia="en-US"/>
        </w:rPr>
        <w:fldChar w:fldCharType="begin"/>
      </w:r>
      <w:r w:rsidRPr="006F34D7">
        <w:rPr>
          <w:rFonts w:eastAsiaTheme="minorHAnsi" w:cs="Times New Roman"/>
          <w:b w:val="0"/>
          <w:bCs w:val="0"/>
          <w:i/>
          <w:sz w:val="22"/>
          <w:szCs w:val="22"/>
          <w:lang w:eastAsia="en-US"/>
        </w:rPr>
        <w:instrText xml:space="preserve"> SEQ Фигура \* ARABIC </w:instrText>
      </w:r>
      <w:r w:rsidRPr="006F34D7">
        <w:rPr>
          <w:rFonts w:eastAsiaTheme="minorHAnsi" w:cs="Times New Roman"/>
          <w:b w:val="0"/>
          <w:bCs w:val="0"/>
          <w:i/>
          <w:sz w:val="22"/>
          <w:szCs w:val="22"/>
          <w:lang w:eastAsia="en-US"/>
        </w:rPr>
        <w:fldChar w:fldCharType="separate"/>
      </w:r>
      <w:r w:rsidR="00E050A8">
        <w:rPr>
          <w:rFonts w:eastAsiaTheme="minorHAnsi" w:cs="Times New Roman"/>
          <w:b w:val="0"/>
          <w:bCs w:val="0"/>
          <w:i/>
          <w:noProof/>
          <w:sz w:val="22"/>
          <w:szCs w:val="22"/>
          <w:lang w:eastAsia="en-US"/>
        </w:rPr>
        <w:t>3</w:t>
      </w:r>
      <w:r w:rsidRPr="006F34D7">
        <w:rPr>
          <w:rFonts w:eastAsiaTheme="minorHAnsi" w:cs="Times New Roman"/>
          <w:b w:val="0"/>
          <w:bCs w:val="0"/>
          <w:i/>
          <w:sz w:val="22"/>
          <w:szCs w:val="22"/>
          <w:lang w:eastAsia="en-US"/>
        </w:rPr>
        <w:fldChar w:fldCharType="end"/>
      </w:r>
      <w:r w:rsidR="0047737A" w:rsidRPr="006F34D7">
        <w:rPr>
          <w:rFonts w:eastAsiaTheme="minorHAnsi" w:cs="Times New Roman"/>
          <w:b w:val="0"/>
          <w:bCs w:val="0"/>
          <w:i/>
          <w:sz w:val="22"/>
          <w:szCs w:val="22"/>
          <w:lang w:eastAsia="en-US"/>
        </w:rPr>
        <w:t xml:space="preserve"> Изменение на индикаторите за химично състояние на подземните води в България, 1999 – 2018 г.</w:t>
      </w:r>
      <w:bookmarkEnd w:id="20"/>
    </w:p>
    <w:p w14:paraId="10ABF326"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sz w:val="24"/>
          <w:szCs w:val="24"/>
          <w:lang w:val="bg-BG"/>
        </w:rPr>
      </w:pPr>
      <w:r w:rsidRPr="00E15F8F">
        <w:rPr>
          <w:rFonts w:ascii="Times New Roman" w:hAnsi="Times New Roman" w:cs="Times New Roman"/>
          <w:noProof/>
          <w:sz w:val="24"/>
          <w:szCs w:val="24"/>
          <w:lang w:val="bg-BG" w:eastAsia="bg-BG"/>
        </w:rPr>
        <w:drawing>
          <wp:inline distT="0" distB="0" distL="0" distR="0" wp14:anchorId="50B48D8D" wp14:editId="39A7338A">
            <wp:extent cx="5943600" cy="208026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2080260"/>
                    </a:xfrm>
                    <a:prstGeom prst="rect">
                      <a:avLst/>
                    </a:prstGeom>
                    <a:noFill/>
                    <a:ln>
                      <a:noFill/>
                    </a:ln>
                  </pic:spPr>
                </pic:pic>
              </a:graphicData>
            </a:graphic>
          </wp:inline>
        </w:drawing>
      </w:r>
    </w:p>
    <w:p w14:paraId="2F9BBFD7" w14:textId="77777777" w:rsidR="0047737A" w:rsidRPr="00E15F8F" w:rsidRDefault="0047737A" w:rsidP="0047737A">
      <w:pPr>
        <w:autoSpaceDE w:val="0"/>
        <w:autoSpaceDN w:val="0"/>
        <w:adjustRightInd w:val="0"/>
        <w:spacing w:after="0" w:line="240" w:lineRule="auto"/>
        <w:rPr>
          <w:rFonts w:ascii="Times New Roman" w:hAnsi="Times New Roman" w:cs="Times New Roman"/>
          <w:sz w:val="24"/>
          <w:szCs w:val="24"/>
          <w:lang w:val="bg-BG"/>
        </w:rPr>
      </w:pPr>
      <w:r w:rsidRPr="00E15F8F">
        <w:rPr>
          <w:rFonts w:ascii="Times New Roman" w:hAnsi="Times New Roman" w:cs="Times New Roman"/>
          <w:noProof/>
          <w:sz w:val="24"/>
          <w:szCs w:val="24"/>
          <w:lang w:val="bg-BG" w:eastAsia="bg-BG"/>
        </w:rPr>
        <w:lastRenderedPageBreak/>
        <w:drawing>
          <wp:inline distT="0" distB="0" distL="0" distR="0" wp14:anchorId="5E70FC63" wp14:editId="2F8F5834">
            <wp:extent cx="5943600" cy="23964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2396490"/>
                    </a:xfrm>
                    <a:prstGeom prst="rect">
                      <a:avLst/>
                    </a:prstGeom>
                    <a:noFill/>
                    <a:ln>
                      <a:noFill/>
                    </a:ln>
                  </pic:spPr>
                </pic:pic>
              </a:graphicData>
            </a:graphic>
          </wp:inline>
        </w:drawing>
      </w:r>
    </w:p>
    <w:p w14:paraId="051B5614" w14:textId="77777777" w:rsidR="0047737A" w:rsidRPr="00E15F8F" w:rsidRDefault="0047737A" w:rsidP="0047737A">
      <w:pPr>
        <w:autoSpaceDE w:val="0"/>
        <w:autoSpaceDN w:val="0"/>
        <w:adjustRightInd w:val="0"/>
        <w:spacing w:after="0" w:line="240" w:lineRule="auto"/>
        <w:rPr>
          <w:rFonts w:ascii="Times New Roman" w:hAnsi="Times New Roman" w:cs="Times New Roman"/>
          <w:i/>
          <w:iCs/>
          <w:lang w:val="bg-BG"/>
        </w:rPr>
      </w:pPr>
      <w:r w:rsidRPr="00E15F8F">
        <w:rPr>
          <w:rFonts w:ascii="Times New Roman" w:hAnsi="Times New Roman" w:cs="Times New Roman"/>
          <w:i/>
          <w:iCs/>
          <w:lang w:val="bg-BG"/>
        </w:rPr>
        <w:t>Източник: ИАОС</w:t>
      </w:r>
    </w:p>
    <w:p w14:paraId="04C1EEDF" w14:textId="77777777" w:rsidR="0047737A" w:rsidRPr="00E15F8F" w:rsidRDefault="0047737A" w:rsidP="0047737A">
      <w:pPr>
        <w:autoSpaceDE w:val="0"/>
        <w:autoSpaceDN w:val="0"/>
        <w:adjustRightInd w:val="0"/>
        <w:spacing w:after="0" w:line="240" w:lineRule="auto"/>
        <w:rPr>
          <w:rFonts w:ascii="Times New Roman" w:hAnsi="Times New Roman" w:cs="Times New Roman"/>
          <w:sz w:val="24"/>
          <w:szCs w:val="24"/>
          <w:lang w:val="bg-BG"/>
        </w:rPr>
      </w:pPr>
    </w:p>
    <w:p w14:paraId="1EF59DEE" w14:textId="77777777" w:rsidR="0047737A" w:rsidRPr="00E15F8F" w:rsidRDefault="0047737A" w:rsidP="00E15F8F">
      <w:pPr>
        <w:autoSpaceDE w:val="0"/>
        <w:autoSpaceDN w:val="0"/>
        <w:adjustRightInd w:val="0"/>
        <w:spacing w:before="120" w:after="120" w:line="264" w:lineRule="auto"/>
        <w:jc w:val="both"/>
        <w:rPr>
          <w:rFonts w:ascii="Times New Roman" w:hAnsi="Times New Roman" w:cs="Times New Roman"/>
          <w:lang w:val="bg-BG"/>
        </w:rPr>
      </w:pPr>
      <w:bookmarkStart w:id="21" w:name="_Hlk68892397"/>
      <w:r w:rsidRPr="00E15F8F">
        <w:rPr>
          <w:rFonts w:ascii="Times New Roman" w:hAnsi="Times New Roman" w:cs="Times New Roman"/>
          <w:lang w:val="bg-BG"/>
        </w:rPr>
        <w:t>Нитратите са основен замърсител на подземните води в страната. През 2018 г. броят на пунктовете, в които се установяват наднормени стойности на средногодишните концентрации на нитрати (50mg/l) е 11.5% от общия брой пунктове за страната, в сравнение с 12.4% през 2017 г., 13.39% през 2016 г. 14.37% през 2015 г. Установените превишения засягат 41 подземни водни тела от общо 169 на територията на страната.</w:t>
      </w:r>
    </w:p>
    <w:bookmarkEnd w:id="21"/>
    <w:p w14:paraId="74318A3D" w14:textId="77777777" w:rsidR="0047737A" w:rsidRPr="00E15F8F" w:rsidRDefault="0047737A" w:rsidP="00E15F8F">
      <w:pPr>
        <w:autoSpaceDE w:val="0"/>
        <w:autoSpaceDN w:val="0"/>
        <w:adjustRightInd w:val="0"/>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За останалите 14 на брой показатели – рН, амониеви йони, електропроводимост, калций, магнезий, натрий, обща твърдост, перманганатна окисляемост, сулфати, хлориди, манган, желязо, нитритни йони и фосфати са установени превишения на отделните показатели за 62 подземни водни тела. В повечето ПВТ замърсяванията са установени в един или в част от мониторинговите пунктове,</w:t>
      </w:r>
    </w:p>
    <w:p w14:paraId="7EDAD463" w14:textId="77777777" w:rsidR="0047737A" w:rsidRPr="00E15F8F" w:rsidRDefault="0047737A" w:rsidP="00E15F8F">
      <w:pPr>
        <w:autoSpaceDE w:val="0"/>
        <w:autoSpaceDN w:val="0"/>
        <w:adjustRightInd w:val="0"/>
        <w:spacing w:before="120" w:after="120" w:line="264" w:lineRule="auto"/>
        <w:jc w:val="both"/>
        <w:rPr>
          <w:rFonts w:ascii="Times New Roman" w:eastAsia="Times New Roman,Bold" w:hAnsi="Times New Roman" w:cs="Times New Roman"/>
          <w:b/>
          <w:bCs/>
          <w:lang w:val="bg-BG"/>
        </w:rPr>
      </w:pPr>
      <w:r w:rsidRPr="00E15F8F">
        <w:rPr>
          <w:rFonts w:ascii="Times New Roman" w:hAnsi="Times New Roman" w:cs="Times New Roman"/>
          <w:b/>
          <w:bCs/>
          <w:lang w:val="bg-BG"/>
        </w:rPr>
        <w:t xml:space="preserve">Тежки метали </w:t>
      </w:r>
    </w:p>
    <w:p w14:paraId="2C12E6AF" w14:textId="77777777" w:rsidR="0047737A" w:rsidRPr="00E15F8F" w:rsidRDefault="0047737A" w:rsidP="00E15F8F">
      <w:pPr>
        <w:autoSpaceDE w:val="0"/>
        <w:autoSpaceDN w:val="0"/>
        <w:adjustRightInd w:val="0"/>
        <w:spacing w:before="120" w:after="120" w:line="264" w:lineRule="auto"/>
        <w:jc w:val="both"/>
        <w:rPr>
          <w:rFonts w:ascii="Times New Roman" w:eastAsia="Times New Roman,Bold" w:hAnsi="Times New Roman" w:cs="Times New Roman"/>
          <w:color w:val="000000"/>
          <w:lang w:val="bg-BG"/>
        </w:rPr>
      </w:pPr>
      <w:bookmarkStart w:id="22" w:name="_Hlk68892446"/>
      <w:r w:rsidRPr="00E15F8F">
        <w:rPr>
          <w:rFonts w:ascii="Times New Roman" w:eastAsia="Times New Roman,Bold" w:hAnsi="Times New Roman" w:cs="Times New Roman"/>
          <w:color w:val="000000"/>
          <w:lang w:val="bg-BG"/>
        </w:rPr>
        <w:t>Направеният анализ на съдържанието на тежки метали за 20 годишен период (1999– 2018 г.) показва наличие на единични превишения или превишения, които в повечето случаи не са постоянни във времето.</w:t>
      </w:r>
    </w:p>
    <w:bookmarkEnd w:id="22"/>
    <w:p w14:paraId="6C287FD8" w14:textId="77777777" w:rsidR="0047737A" w:rsidRPr="00E15F8F" w:rsidRDefault="0047737A" w:rsidP="00E15F8F">
      <w:pPr>
        <w:autoSpaceDE w:val="0"/>
        <w:autoSpaceDN w:val="0"/>
        <w:adjustRightInd w:val="0"/>
        <w:spacing w:before="120" w:after="120" w:line="264" w:lineRule="auto"/>
        <w:jc w:val="both"/>
        <w:rPr>
          <w:rFonts w:ascii="Times New Roman" w:hAnsi="Times New Roman" w:cs="Times New Roman"/>
          <w:lang w:val="bg-BG"/>
        </w:rPr>
      </w:pPr>
      <w:r w:rsidRPr="00E15F8F">
        <w:rPr>
          <w:rFonts w:ascii="Times New Roman" w:eastAsia="Times New Roman,Bold" w:hAnsi="Times New Roman" w:cs="Times New Roman"/>
          <w:color w:val="000000"/>
          <w:lang w:val="bg-BG"/>
        </w:rPr>
        <w:t xml:space="preserve">Превишения на СК 0.01 mg/l за арсен се наблюдават в карстов извор Кобиляк, привързан към ПВТ BG1G0000K2S037 Карстови води в Предбалкана – за периода 2006 -2018 г. </w:t>
      </w:r>
      <w:r w:rsidRPr="00E15F8F">
        <w:rPr>
          <w:rFonts w:ascii="Times New Roman" w:hAnsi="Times New Roman" w:cs="Times New Roman"/>
          <w:lang w:val="bg-BG"/>
        </w:rPr>
        <w:t>Малки превишения на СК за арсен (0.01 mg/l) са регистрирани в райони с рудници и хвостохранилища на територията на ПВТ Пукнатинни води - Западно- и централнобалкански масив, а единична стойност на завишен арсен е установена в пункт - Рупите, Сондажен кладенец "Булгартрансгаз", ситуиран в ПВТ - Порови води в неоген – Струмешница, както и в сондаж „Лукойл Република България" ЕООД, с. Рибник, към ПВТ Порови води в неоген – Сандански.</w:t>
      </w:r>
    </w:p>
    <w:p w14:paraId="68BD6B1E"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В различни пунктове и проби се установяват единични наднормени превишения на стойностите на мед, никел, олово и цинк.</w:t>
      </w:r>
    </w:p>
    <w:p w14:paraId="45C33C3C"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Запазват се превишенията на стандарта за качество (СК 0.05 mg/l ) за общ хром в два пункта в кватернерни отложения на Крайдунавски низини - Порови води в Кватернера - Карабоазка низина – пункт Брест, ТК4 - ПС "Брест" и в Порови води в Кватернера - Цибърска низина – пункт Станево, дренаж - ПС "Станево".</w:t>
      </w:r>
    </w:p>
    <w:p w14:paraId="6DEA9792"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lastRenderedPageBreak/>
        <w:t xml:space="preserve">Продължава да се измерва повишена обща алфа активност (СК 0.5 Bq/dm3) в пункт Хасково, Сондаж № 1, ПС-ПБВ "Хасково - 1" от ПВТ Порови води в Неоген - Кватернер - Хасково. Превишения на СК за обща алфа активност (0.5 Bq/dm3) се установяват и в пет пункта на ПВТ BG3G00000NQ018 Порови води в Неоген - Кватернер- Пазарджик – Пловдивския район. Запазват се високите стойности от предходната година на обща алфа активност в пункт Окоп, Кладенец - ПС (само за с. Окоп), дрениращ ПВТ - Порови води в Неоген – Кватернер - Ямбол – Елхово. Единични превишения са установени и за територията на Западнобеломорски район. </w:t>
      </w:r>
    </w:p>
    <w:p w14:paraId="4932C688" w14:textId="77777777" w:rsidR="0047737A" w:rsidRPr="00E15F8F" w:rsidRDefault="0047737A" w:rsidP="0047737A">
      <w:pPr>
        <w:autoSpaceDE w:val="0"/>
        <w:autoSpaceDN w:val="0"/>
        <w:adjustRightInd w:val="0"/>
        <w:spacing w:after="0" w:line="276" w:lineRule="auto"/>
        <w:jc w:val="both"/>
        <w:rPr>
          <w:rFonts w:ascii="Times New Roman" w:hAnsi="Times New Roman" w:cs="Times New Roman"/>
          <w:b/>
          <w:bCs/>
          <w:lang w:val="bg-BG"/>
        </w:rPr>
      </w:pPr>
      <w:r w:rsidRPr="00E15F8F">
        <w:rPr>
          <w:rFonts w:ascii="Times New Roman" w:hAnsi="Times New Roman" w:cs="Times New Roman"/>
          <w:b/>
          <w:bCs/>
          <w:lang w:val="bg-BG"/>
        </w:rPr>
        <w:t>Пестициди и органични замърсители</w:t>
      </w:r>
    </w:p>
    <w:p w14:paraId="3BF73502" w14:textId="77777777" w:rsidR="0047737A" w:rsidRPr="00E15F8F" w:rsidRDefault="0047737A" w:rsidP="0047737A">
      <w:pPr>
        <w:autoSpaceDE w:val="0"/>
        <w:autoSpaceDN w:val="0"/>
        <w:adjustRightInd w:val="0"/>
        <w:spacing w:after="0" w:line="276" w:lineRule="auto"/>
        <w:jc w:val="both"/>
        <w:rPr>
          <w:rFonts w:ascii="Times New Roman" w:hAnsi="Times New Roman" w:cs="Times New Roman"/>
          <w:lang w:val="bg-BG"/>
        </w:rPr>
      </w:pPr>
      <w:bookmarkStart w:id="23" w:name="_Hlk68893012"/>
      <w:r w:rsidRPr="00E15F8F">
        <w:rPr>
          <w:rFonts w:ascii="Times New Roman" w:hAnsi="Times New Roman" w:cs="Times New Roman"/>
          <w:lang w:val="bg-BG"/>
        </w:rPr>
        <w:t>Анализът на пестициди стартира през 1997 г. и 20-годишният период покрива периода 1999 - 2018 г. Резултатите от химичните изпитвания показват наличие на триазинови пестициди (атразин, пропазин и симазин) от 1999 г. до 2006 г., като от 2006 до 2012 г. се наблюдава изчистване на подземните води от тези замърсители, с изключение на атразин.</w:t>
      </w:r>
    </w:p>
    <w:bookmarkEnd w:id="23"/>
    <w:p w14:paraId="0687632D" w14:textId="1BC88B7E" w:rsidR="0047737A" w:rsidRPr="00E15F8F" w:rsidRDefault="0047737A" w:rsidP="0047737A">
      <w:pPr>
        <w:autoSpaceDE w:val="0"/>
        <w:autoSpaceDN w:val="0"/>
        <w:adjustRightInd w:val="0"/>
        <w:spacing w:after="0" w:line="276" w:lineRule="auto"/>
        <w:jc w:val="both"/>
        <w:rPr>
          <w:rFonts w:ascii="Times New Roman" w:hAnsi="Times New Roman" w:cs="Times New Roman"/>
          <w:b/>
          <w:bCs/>
          <w:lang w:val="bg-BG"/>
        </w:rPr>
      </w:pPr>
      <w:r w:rsidRPr="00E15F8F">
        <w:rPr>
          <w:rFonts w:ascii="Times New Roman" w:hAnsi="Times New Roman" w:cs="Times New Roman"/>
          <w:b/>
          <w:bCs/>
          <w:lang w:val="bg-BG"/>
        </w:rPr>
        <w:t>Количествени изменения на подземните води</w:t>
      </w:r>
    </w:p>
    <w:p w14:paraId="12F471AB" w14:textId="77777777" w:rsidR="0047737A" w:rsidRPr="00E15F8F" w:rsidRDefault="0047737A" w:rsidP="0047737A">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 xml:space="preserve">Индикатори за количествено състояние на подземните води са измерените нива в кладенци и дебити на извори. </w:t>
      </w:r>
    </w:p>
    <w:p w14:paraId="520070A4" w14:textId="77777777" w:rsidR="0047737A" w:rsidRPr="00E15F8F" w:rsidRDefault="0047737A" w:rsidP="0047737A">
      <w:pPr>
        <w:pStyle w:val="ListParagraph"/>
        <w:numPr>
          <w:ilvl w:val="0"/>
          <w:numId w:val="3"/>
        </w:num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Тенденции в изменението на дебита на изворите</w:t>
      </w:r>
    </w:p>
    <w:p w14:paraId="75EE17A5" w14:textId="77777777" w:rsidR="0047737A" w:rsidRPr="00E15F8F" w:rsidRDefault="0047737A" w:rsidP="0047737A">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За периода 2009 – 2018 години са установени добре изразени тенденции на покачване в около 54% от наблюдаваните басейни с подземни води и намаляване на  дебита при 37% от наблюдаваните басейни с подземни води.</w:t>
      </w:r>
    </w:p>
    <w:p w14:paraId="4A0E0D80" w14:textId="77777777" w:rsidR="0047737A" w:rsidRPr="00E15F8F" w:rsidRDefault="0047737A" w:rsidP="0047737A">
      <w:pPr>
        <w:pStyle w:val="ListParagraph"/>
        <w:numPr>
          <w:ilvl w:val="0"/>
          <w:numId w:val="3"/>
        </w:num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Тенденции в изменението на водните нива на кладенците</w:t>
      </w:r>
    </w:p>
    <w:p w14:paraId="1828CB62" w14:textId="77777777" w:rsidR="0047737A" w:rsidRPr="00E15F8F" w:rsidRDefault="0047737A" w:rsidP="0047737A">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 xml:space="preserve">В изменението на нивата на подземните води в периода 2009 – 2018 години са установени добре изразени тенденции на покачване в 48% от наблюдаваните случаи и намаляване на нивата при 38%. </w:t>
      </w:r>
    </w:p>
    <w:p w14:paraId="10560289" w14:textId="77777777" w:rsidR="0047737A" w:rsidRPr="00E15F8F" w:rsidRDefault="0047737A" w:rsidP="0047737A">
      <w:pPr>
        <w:spacing w:after="120" w:line="276" w:lineRule="auto"/>
        <w:jc w:val="both"/>
        <w:rPr>
          <w:rFonts w:ascii="Times New Roman" w:hAnsi="Times New Roman" w:cs="Times New Roman"/>
          <w:lang w:val="bg-BG"/>
        </w:rPr>
      </w:pPr>
      <w:bookmarkStart w:id="24" w:name="_Hlk68893064"/>
      <w:r w:rsidRPr="00E15F8F">
        <w:rPr>
          <w:rFonts w:ascii="Times New Roman" w:hAnsi="Times New Roman" w:cs="Times New Roman"/>
          <w:lang w:val="bg-BG"/>
        </w:rPr>
        <w:t>През периода 1999 – 2018г. се наблюдава постепенно подобряване на качеството на подземните води за по-голяма част от показателите. Процентът на пунктовете, в които средногодишните стойности надвишават стандартите за качество (СК) на подземните води, показва тенденции на намаляване за всички показатели, с изключение на нитратите. За показателите манган, общо желязо, амониеви йони, нитритни йони, перманганатна окисляемост, фосфати и електропроводимост се наблюдават по-значителни тенденции към понижаване на процента пунктове с превишения на СК. При хлоридите не се наблюдава ясно изразена тенденция за 20 - годишния период. За нитратите се наблюдава слаба тенденция на повишение за целия 20-годишен период, с известно понижаване за последните четири години.</w:t>
      </w:r>
    </w:p>
    <w:p w14:paraId="4EABF58B"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eastAsia="Times New Roman,Bold" w:hAnsi="Times New Roman" w:cs="Times New Roman"/>
          <w:lang w:val="bg-BG"/>
        </w:rPr>
        <w:t>От анализа на данните за периода 2009 г. – 2018 г. за измерени водни нива в кладенци и измерени дебити на извори - преобладават добре изразени положителни тенденции на покачване, както в дебита на изворите (54%), така и в нивата на кладенците (48%) от всички наблюдавани пунктове. Отрицателни тенденциите на спадане на дебита на изворите и спадане на нивата на кладенците са установени в 37% от изворите и в 38 % от кладенците. Без добре изразени тенденции на изменение (в състояние на относителна устойчивост) е бил дебитът на изворите в около 9% от наблюдаваните извори и нивата на подземните води. в 14% от наблюдаваните кладенци.</w:t>
      </w:r>
    </w:p>
    <w:bookmarkEnd w:id="24"/>
    <w:p w14:paraId="7D0245E6" w14:textId="77777777" w:rsidR="0047737A" w:rsidRPr="00E15F8F" w:rsidRDefault="0047737A" w:rsidP="0047737A">
      <w:pPr>
        <w:autoSpaceDE w:val="0"/>
        <w:autoSpaceDN w:val="0"/>
        <w:adjustRightInd w:val="0"/>
        <w:spacing w:after="0" w:line="276" w:lineRule="auto"/>
        <w:jc w:val="both"/>
        <w:rPr>
          <w:rFonts w:ascii="Times New Roman" w:hAnsi="Times New Roman" w:cs="Times New Roman"/>
          <w:b/>
          <w:bCs/>
          <w:lang w:val="bg-BG"/>
        </w:rPr>
      </w:pPr>
      <w:r w:rsidRPr="00E15F8F">
        <w:rPr>
          <w:rFonts w:ascii="Times New Roman" w:hAnsi="Times New Roman" w:cs="Times New Roman"/>
          <w:b/>
          <w:bCs/>
          <w:lang w:val="bg-BG"/>
        </w:rPr>
        <w:t>Минерални води</w:t>
      </w:r>
    </w:p>
    <w:p w14:paraId="5B407EA4"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lastRenderedPageBreak/>
        <w:t>Територията на Република България се характеризира с изключително разнообразие на минерални води. Най-значимите находища са 102, с повече от 500 водоизточника и са изключителна държавна собственост.</w:t>
      </w:r>
    </w:p>
    <w:p w14:paraId="54473D9B"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Природните условия, в които се формират минералните води допринасят за тяхното изключително разнообразие като състав, свойства и температура. По физико-химични характеристики на практика са застъпени почти всички познати в природата води: по-слабо и по-силно минерализирани хидрокарбонатни, сулфатни, хлоридни; натриеви, калциеви, магнезиеви; съдържащи лечебни газове – въглекисели, сулфидни, радонови; с биологичноактивни микроелементи – силициеви, флуорни, йодно-бромни, желязосъдържащи и др.</w:t>
      </w:r>
    </w:p>
    <w:p w14:paraId="4C134FF4" w14:textId="77777777" w:rsidR="0047737A" w:rsidRPr="00E15F8F" w:rsidRDefault="0047737A" w:rsidP="0047737A">
      <w:pPr>
        <w:pStyle w:val="NormalWeb"/>
        <w:shd w:val="clear" w:color="auto" w:fill="FFFFFF"/>
        <w:spacing w:before="0" w:beforeAutospacing="0" w:after="120" w:afterAutospacing="0" w:line="276" w:lineRule="auto"/>
        <w:jc w:val="both"/>
        <w:rPr>
          <w:sz w:val="22"/>
          <w:szCs w:val="22"/>
          <w:lang w:val="bg-BG"/>
        </w:rPr>
      </w:pPr>
      <w:r w:rsidRPr="00E15F8F">
        <w:rPr>
          <w:sz w:val="22"/>
          <w:szCs w:val="22"/>
          <w:lang w:val="bg-BG"/>
        </w:rPr>
        <w:t>Като цяло минералните води на България са чисти. Високата температура е белег за техния дълбочинен произход, защитеността им от повърхностни влияния и формирането им при специфични условия, които определят лечебните им свойства. За преобладаващата част от българските минерални води е характерна ниската минерализация и солево съдържание по малко от 1 г/л.</w:t>
      </w:r>
    </w:p>
    <w:p w14:paraId="1BEF2C05" w14:textId="77777777" w:rsidR="0047737A" w:rsidRPr="00E15F8F" w:rsidRDefault="0047737A" w:rsidP="0047737A">
      <w:pPr>
        <w:pStyle w:val="NormalWeb"/>
        <w:shd w:val="clear" w:color="auto" w:fill="FFFFFF"/>
        <w:spacing w:before="0" w:beforeAutospacing="0" w:after="120" w:afterAutospacing="0" w:line="276" w:lineRule="auto"/>
        <w:jc w:val="both"/>
        <w:rPr>
          <w:sz w:val="22"/>
          <w:szCs w:val="22"/>
          <w:lang w:val="bg-BG"/>
        </w:rPr>
      </w:pPr>
      <w:r w:rsidRPr="00E15F8F">
        <w:rPr>
          <w:sz w:val="22"/>
          <w:szCs w:val="22"/>
          <w:lang w:val="bg-BG"/>
        </w:rPr>
        <w:t>Голямото разнообразие на минерални води в България дава възможност те да бъдат използвани за различни по вид цели и стопански дейности.</w:t>
      </w:r>
    </w:p>
    <w:p w14:paraId="41787044" w14:textId="77777777" w:rsidR="0047737A" w:rsidRPr="00E15F8F" w:rsidRDefault="0047737A" w:rsidP="0047737A">
      <w:pPr>
        <w:pStyle w:val="NormalWeb"/>
        <w:shd w:val="clear" w:color="auto" w:fill="FFFFFF"/>
        <w:spacing w:before="0" w:beforeAutospacing="0" w:after="120" w:afterAutospacing="0" w:line="276" w:lineRule="auto"/>
        <w:jc w:val="both"/>
        <w:rPr>
          <w:sz w:val="22"/>
          <w:szCs w:val="22"/>
          <w:lang w:val="bg-BG"/>
        </w:rPr>
      </w:pPr>
      <w:r w:rsidRPr="00E15F8F">
        <w:rPr>
          <w:sz w:val="22"/>
          <w:szCs w:val="22"/>
          <w:lang w:val="bg-BG"/>
        </w:rPr>
        <w:t>Съгласно българското законодателство минералните води се ползват чрез предоставяне на концесия или издаване на разрешително за водовземане по реда на Закона за водите от съответния компетентен орган (директор на Басейнова дирекция или кмет на община).</w:t>
      </w:r>
    </w:p>
    <w:p w14:paraId="4477C03D" w14:textId="77777777" w:rsidR="0047737A" w:rsidRPr="00E15F8F" w:rsidRDefault="0047737A" w:rsidP="0047737A">
      <w:pPr>
        <w:pStyle w:val="NormalWeb"/>
        <w:shd w:val="clear" w:color="auto" w:fill="FFFFFF"/>
        <w:spacing w:before="0" w:beforeAutospacing="0" w:after="120" w:afterAutospacing="0" w:line="276" w:lineRule="auto"/>
        <w:jc w:val="both"/>
        <w:rPr>
          <w:sz w:val="22"/>
          <w:szCs w:val="22"/>
          <w:lang w:val="bg-BG"/>
        </w:rPr>
      </w:pPr>
      <w:r w:rsidRPr="00E15F8F">
        <w:rPr>
          <w:sz w:val="22"/>
          <w:szCs w:val="22"/>
          <w:lang w:val="bg-BG"/>
        </w:rPr>
        <w:t xml:space="preserve">Приложението на минералните води все още е 25–35% от общия ресурс. Традиционно по-голямата част от минералните води се използват за балнеология – около 60% (включително минерални бани, лечебни и спортни басейни), до 23% за други цели и 17% за директно водоснабдяване, оранжерийно топлоснабдяване, както и за бутилиране на натурална минерална вода. Поради сравнително ниската температура на термоминералните води няма производство на геотермална електроенергия в страната. </w:t>
      </w:r>
    </w:p>
    <w:p w14:paraId="4116AE57" w14:textId="77777777" w:rsidR="0047737A" w:rsidRPr="00E15F8F" w:rsidRDefault="0047737A" w:rsidP="0047737A">
      <w:pPr>
        <w:pStyle w:val="NormalWeb"/>
        <w:shd w:val="clear" w:color="auto" w:fill="FFFFFF"/>
        <w:spacing w:before="0" w:beforeAutospacing="0" w:after="120" w:afterAutospacing="0" w:line="276" w:lineRule="auto"/>
        <w:jc w:val="both"/>
        <w:rPr>
          <w:sz w:val="22"/>
          <w:szCs w:val="22"/>
          <w:lang w:val="bg-BG"/>
        </w:rPr>
      </w:pPr>
      <w:r w:rsidRPr="00E15F8F">
        <w:rPr>
          <w:sz w:val="22"/>
          <w:szCs w:val="22"/>
          <w:lang w:val="bg-BG"/>
        </w:rPr>
        <w:t>Бутилирането на натурална минерална, изворна и трапезна вода също бележи интензивно развитие. Съгласно Националния регистър на обектите за бутилиране на натурални минерални, изворни и трапезни води към 2020 г. на територията на страната функционират  над 60 предприятия за бутилиране.</w:t>
      </w:r>
      <w:r w:rsidRPr="00E15F8F">
        <w:rPr>
          <w:rStyle w:val="FootnoteReference"/>
          <w:sz w:val="22"/>
          <w:szCs w:val="22"/>
          <w:lang w:val="bg-BG"/>
        </w:rPr>
        <w:footnoteReference w:id="20"/>
      </w:r>
    </w:p>
    <w:p w14:paraId="1E2B12B4" w14:textId="77777777" w:rsidR="0047737A" w:rsidRPr="00E15F8F" w:rsidRDefault="0047737A" w:rsidP="0047737A">
      <w:pPr>
        <w:pStyle w:val="NormalWeb"/>
        <w:shd w:val="clear" w:color="auto" w:fill="FFFFFF"/>
        <w:spacing w:before="120" w:beforeAutospacing="0" w:after="120" w:afterAutospacing="0" w:line="264" w:lineRule="auto"/>
        <w:jc w:val="both"/>
        <w:rPr>
          <w:sz w:val="22"/>
          <w:szCs w:val="22"/>
          <w:lang w:val="bg-BG"/>
        </w:rPr>
      </w:pPr>
      <w:r w:rsidRPr="00E15F8F">
        <w:rPr>
          <w:sz w:val="22"/>
          <w:szCs w:val="22"/>
          <w:lang w:val="bg-BG"/>
        </w:rPr>
        <w:t xml:space="preserve">Основните проблеми за находищата и използването на минералните води в страната са остарелите водовземни съоръжения, които са преминали отдавна експлоатационния си период; лошото стопанисване на каптажните съоръжения; заниженият контрол при ползването и опазването на минералната вода и недостатъчно оползотворяване на количествата и потенциала на находищата. </w:t>
      </w:r>
      <w:r w:rsidRPr="00E15F8F">
        <w:rPr>
          <w:rStyle w:val="CommentReference"/>
          <w:sz w:val="22"/>
          <w:szCs w:val="22"/>
          <w:lang w:val="bg-BG"/>
        </w:rPr>
        <w:t xml:space="preserve">През последните години голяма част от съоръженията за минерални води и каптажните им камери са ремонтирани и санирани.  </w:t>
      </w:r>
    </w:p>
    <w:p w14:paraId="757947B9" w14:textId="77777777" w:rsidR="0047737A" w:rsidRPr="00E15F8F" w:rsidRDefault="0047737A" w:rsidP="0047737A">
      <w:pPr>
        <w:pStyle w:val="NormalWeb"/>
        <w:shd w:val="clear" w:color="auto" w:fill="FFFFFF"/>
        <w:spacing w:before="0" w:beforeAutospacing="0" w:after="120" w:afterAutospacing="0" w:line="276" w:lineRule="auto"/>
        <w:jc w:val="both"/>
        <w:rPr>
          <w:sz w:val="22"/>
          <w:szCs w:val="22"/>
          <w:lang w:val="bg-BG"/>
        </w:rPr>
      </w:pPr>
      <w:r w:rsidRPr="00E15F8F">
        <w:rPr>
          <w:sz w:val="22"/>
          <w:szCs w:val="22"/>
          <w:lang w:val="bg-BG"/>
        </w:rPr>
        <w:t xml:space="preserve">Ресурсите на термалните води се оценяват на около 4600 L/s, като топлинната енергия възлиза на 315 MWt, в които стойности не са включени дълбоките води от артезианските водоносни хоризонти </w:t>
      </w:r>
      <w:r w:rsidRPr="00E15F8F">
        <w:rPr>
          <w:sz w:val="22"/>
          <w:szCs w:val="22"/>
          <w:lang w:val="bg-BG"/>
        </w:rPr>
        <w:lastRenderedPageBreak/>
        <w:t>в Северна България.</w:t>
      </w:r>
      <w:r w:rsidRPr="00E15F8F">
        <w:rPr>
          <w:rStyle w:val="FootnoteReference"/>
          <w:sz w:val="22"/>
          <w:szCs w:val="22"/>
          <w:lang w:val="bg-BG"/>
        </w:rPr>
        <w:footnoteReference w:id="21"/>
      </w:r>
      <w:r w:rsidRPr="00E15F8F">
        <w:rPr>
          <w:sz w:val="22"/>
          <w:szCs w:val="22"/>
          <w:lang w:val="bg-BG"/>
        </w:rPr>
        <w:t xml:space="preserve"> Такъв е примерът на Северна България, където водите са със значителна температура и висока минерализация, но са подходящи за изграждането на инсталации за геотермална енергия. Пълноценното оползотворяване на този геотермален ресурс посредством иновативни и устойчиви технологии е предстояща задача. </w:t>
      </w:r>
    </w:p>
    <w:p w14:paraId="48C17739" w14:textId="77777777" w:rsidR="0047737A" w:rsidRPr="00E15F8F" w:rsidRDefault="0047737A" w:rsidP="0047737A">
      <w:pPr>
        <w:pStyle w:val="NormalWeb"/>
        <w:shd w:val="clear" w:color="auto" w:fill="FFFFFF"/>
        <w:spacing w:before="0" w:beforeAutospacing="0" w:after="120" w:afterAutospacing="0" w:line="276" w:lineRule="auto"/>
        <w:jc w:val="both"/>
        <w:rPr>
          <w:sz w:val="22"/>
          <w:szCs w:val="22"/>
          <w:lang w:val="bg-BG"/>
        </w:rPr>
      </w:pPr>
      <w:r w:rsidRPr="00E15F8F">
        <w:rPr>
          <w:sz w:val="22"/>
          <w:szCs w:val="22"/>
          <w:lang w:val="bg-BG"/>
        </w:rPr>
        <w:t>През 2016 г. Националният доверителен екофонд стартира пилотна схема за прилагане на Инвестиционна програма Минерални води. Програмата има за цел финансиране на проекти, водещи до оползотворяване на топлинната енергия на минералните води и директно или индиректно намаляване на емисиите на парникови газове, изграждане, подобряване и разширяване на инфраструктура за експлоатация и ефективно използване на природния ресурс.</w:t>
      </w:r>
      <w:r w:rsidRPr="00E15F8F">
        <w:rPr>
          <w:rStyle w:val="FootnoteReference"/>
          <w:sz w:val="22"/>
          <w:szCs w:val="22"/>
          <w:lang w:val="bg-BG"/>
        </w:rPr>
        <w:footnoteReference w:id="22"/>
      </w:r>
      <w:r w:rsidRPr="00E15F8F">
        <w:rPr>
          <w:sz w:val="22"/>
          <w:szCs w:val="22"/>
          <w:lang w:val="bg-BG"/>
        </w:rPr>
        <w:t xml:space="preserve"> В периода 2017 – 2019 г. са финансирани и изпълнени проекти на 9 общини. </w:t>
      </w:r>
    </w:p>
    <w:p w14:paraId="410798A7" w14:textId="77777777" w:rsidR="0047737A" w:rsidRPr="00E15F8F" w:rsidRDefault="0047737A" w:rsidP="0047737A">
      <w:pPr>
        <w:pStyle w:val="NormalWeb"/>
        <w:shd w:val="clear" w:color="auto" w:fill="FFFFFF"/>
        <w:spacing w:before="0" w:beforeAutospacing="0" w:after="120" w:afterAutospacing="0" w:line="276" w:lineRule="auto"/>
        <w:jc w:val="both"/>
        <w:rPr>
          <w:sz w:val="22"/>
          <w:szCs w:val="22"/>
          <w:lang w:val="bg-BG" w:eastAsia="ar-SA"/>
        </w:rPr>
      </w:pPr>
      <w:r w:rsidRPr="00E15F8F">
        <w:rPr>
          <w:sz w:val="22"/>
          <w:szCs w:val="22"/>
          <w:lang w:val="bg-BG"/>
        </w:rPr>
        <w:t xml:space="preserve">Инвестициите в областта на оползотворяването на геотермалната енергия, включително чрез използване на минерални води са част от програмата „Възобновяема енергия, енергийна ефективност, енергийна сигурност“ на Европейското икономическо пространство 2014 – 2021 г. Основните цели на програмата включват: повишаване на производството </w:t>
      </w:r>
      <w:r w:rsidRPr="00E15F8F">
        <w:rPr>
          <w:sz w:val="22"/>
          <w:szCs w:val="22"/>
          <w:lang w:val="bg-BG" w:eastAsia="ar-SA"/>
        </w:rPr>
        <w:t>на енергия от възобновяеми източници, подобряване на енергийната ефективност в сградите, индустрията и общините и повишаване на експертния капацитет в областта на възобновяемата енергия, енергийната ефективност и управлението на енергия.</w:t>
      </w:r>
      <w:r w:rsidRPr="00E15F8F">
        <w:rPr>
          <w:rStyle w:val="FootnoteReference"/>
          <w:sz w:val="22"/>
          <w:szCs w:val="22"/>
          <w:lang w:val="bg-BG" w:eastAsia="ar-SA"/>
        </w:rPr>
        <w:footnoteReference w:id="23"/>
      </w:r>
      <w:r w:rsidRPr="00E15F8F">
        <w:rPr>
          <w:sz w:val="22"/>
          <w:szCs w:val="22"/>
          <w:lang w:val="bg-BG" w:eastAsia="ar-SA"/>
        </w:rPr>
        <w:t xml:space="preserve"> Процедурата стартира през 2021 г. с бюджет от 3.4 млн. евро.</w:t>
      </w:r>
    </w:p>
    <w:p w14:paraId="29C11FDB" w14:textId="44B02728" w:rsidR="0047737A" w:rsidRPr="00E15F8F" w:rsidRDefault="0047737A" w:rsidP="0047737A">
      <w:pPr>
        <w:autoSpaceDE w:val="0"/>
        <w:autoSpaceDN w:val="0"/>
        <w:adjustRightInd w:val="0"/>
        <w:spacing w:after="0" w:line="276" w:lineRule="auto"/>
        <w:jc w:val="both"/>
        <w:rPr>
          <w:rFonts w:ascii="Times New Roman" w:hAnsi="Times New Roman" w:cs="Times New Roman"/>
          <w:b/>
          <w:bCs/>
          <w:lang w:val="bg-BG"/>
        </w:rPr>
      </w:pPr>
      <w:bookmarkStart w:id="25" w:name="_Hlk68892577"/>
      <w:r w:rsidRPr="00E15F8F">
        <w:rPr>
          <w:rFonts w:ascii="Times New Roman" w:hAnsi="Times New Roman" w:cs="Times New Roman"/>
          <w:b/>
          <w:bCs/>
          <w:lang w:val="bg-BG"/>
        </w:rPr>
        <w:t>Качество на питейните води</w:t>
      </w:r>
    </w:p>
    <w:p w14:paraId="70EFE6AD" w14:textId="77777777" w:rsidR="0047737A" w:rsidRPr="00E15F8F" w:rsidRDefault="0047737A" w:rsidP="0047737A">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 xml:space="preserve">Като цяло за страната съответствието по </w:t>
      </w:r>
      <w:r w:rsidRPr="00E15F8F">
        <w:rPr>
          <w:rFonts w:ascii="Times New Roman" w:hAnsi="Times New Roman" w:cs="Times New Roman"/>
          <w:i/>
          <w:iCs/>
          <w:lang w:val="bg-BG"/>
        </w:rPr>
        <w:t xml:space="preserve">микробиологични </w:t>
      </w:r>
      <w:r w:rsidRPr="00E15F8F">
        <w:rPr>
          <w:rFonts w:ascii="Times New Roman" w:hAnsi="Times New Roman" w:cs="Times New Roman"/>
          <w:lang w:val="bg-BG"/>
        </w:rPr>
        <w:t>показатели, вкл. ешерихия коли и ентерококи, имащи по-голяма тежест при оценката на безопасността на питейната вода, е добро - над 98-99% в големите зони на водоснабдяване и около 95-98% в малките зони на водоснабдяване.</w:t>
      </w:r>
    </w:p>
    <w:p w14:paraId="3E717E0C" w14:textId="77777777" w:rsidR="0047737A" w:rsidRPr="00E15F8F" w:rsidRDefault="0047737A" w:rsidP="0047737A">
      <w:pPr>
        <w:autoSpaceDE w:val="0"/>
        <w:autoSpaceDN w:val="0"/>
        <w:adjustRightInd w:val="0"/>
        <w:spacing w:after="0" w:line="276" w:lineRule="auto"/>
        <w:jc w:val="both"/>
        <w:rPr>
          <w:rFonts w:ascii="Times New Roman" w:hAnsi="Times New Roman" w:cs="Times New Roman"/>
          <w:lang w:val="bg-BG"/>
        </w:rPr>
      </w:pPr>
      <w:bookmarkStart w:id="26" w:name="_Hlk68892600"/>
      <w:bookmarkEnd w:id="25"/>
      <w:r w:rsidRPr="00E15F8F">
        <w:rPr>
          <w:rFonts w:ascii="Times New Roman" w:hAnsi="Times New Roman" w:cs="Times New Roman"/>
          <w:lang w:val="bg-BG"/>
        </w:rPr>
        <w:t xml:space="preserve">Ясно изразени остават и някои регионални проблеми, които не са нови за водния сектор и съществуват от много години. В редица области на страната продължават да се регистрират отклонения по някои </w:t>
      </w:r>
      <w:r w:rsidRPr="00E15F8F">
        <w:rPr>
          <w:rFonts w:ascii="Times New Roman" w:hAnsi="Times New Roman" w:cs="Times New Roman"/>
          <w:i/>
          <w:iCs/>
          <w:lang w:val="bg-BG"/>
        </w:rPr>
        <w:t xml:space="preserve">химични </w:t>
      </w:r>
      <w:r w:rsidRPr="00E15F8F">
        <w:rPr>
          <w:rFonts w:ascii="Times New Roman" w:hAnsi="Times New Roman" w:cs="Times New Roman"/>
          <w:lang w:val="bg-BG"/>
        </w:rPr>
        <w:t>показатели със здравно значение, което налага разработването, периодичното актуализиране и предписване от страна на здравните институции на съответни препоръки за ограничаване на здравния риск.</w:t>
      </w:r>
      <w:bookmarkEnd w:id="26"/>
      <w:r w:rsidRPr="00E15F8F">
        <w:rPr>
          <w:rFonts w:ascii="Times New Roman" w:hAnsi="Times New Roman" w:cs="Times New Roman"/>
          <w:lang w:val="bg-BG"/>
        </w:rPr>
        <w:t xml:space="preserve"> Такива проблеми са свързани с:</w:t>
      </w:r>
    </w:p>
    <w:p w14:paraId="22FD6E4C"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 </w:t>
      </w:r>
      <w:r w:rsidRPr="00E15F8F">
        <w:rPr>
          <w:rFonts w:ascii="Times New Roman" w:hAnsi="Times New Roman" w:cs="Times New Roman"/>
          <w:i/>
          <w:iCs/>
          <w:lang w:val="bg-BG"/>
        </w:rPr>
        <w:t xml:space="preserve">нитрати </w:t>
      </w:r>
      <w:r w:rsidRPr="00E15F8F">
        <w:rPr>
          <w:rFonts w:ascii="Times New Roman" w:hAnsi="Times New Roman" w:cs="Times New Roman"/>
          <w:lang w:val="bg-BG"/>
        </w:rPr>
        <w:t>- все още отклоненията по този показател остават най-широко разпространени. Общо за страната процента на съответствие е 93%. Отклонение се регистрират в сравнително голям брой - 318, предимно малки зони на водоснабдяване, преобладаващо в райони с развито земеделие и животновъдство. Проблемът е с дългогодишна давност, като най-засегнати са водоснабдителни зони в областите В. Търново, Бургас, Ямбол, Плевен, Шумен, Варна, Русе, Хасково, Ст. Загора, Ловеч, Разград, Добрич, Търговище, Пловдив, Пазарджик, Враца и Сливен; несъответствие се отбелязва и в някои зони на територията на областите Силистра, Благоевград, Габрово и Монтана. В около 60% от засегнатите зони отклоненията имат сравнително постоянен характер. Преобладаващо са до два пъти над допустимата максимална стойност, в отделни зони и по-</w:t>
      </w:r>
      <w:r w:rsidRPr="00E15F8F">
        <w:rPr>
          <w:rFonts w:ascii="Times New Roman" w:hAnsi="Times New Roman" w:cs="Times New Roman"/>
          <w:lang w:val="bg-BG"/>
        </w:rPr>
        <w:lastRenderedPageBreak/>
        <w:t>значителни. В една част от зоните се прилагат и ефективни мерки, докато за друга отсъстват реални алтернативни решения и/или се планират действия в дългосрочен план.</w:t>
      </w:r>
    </w:p>
    <w:p w14:paraId="6F7D2E93"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 </w:t>
      </w:r>
      <w:r w:rsidRPr="00E15F8F">
        <w:rPr>
          <w:rFonts w:ascii="Times New Roman" w:hAnsi="Times New Roman" w:cs="Times New Roman"/>
          <w:i/>
          <w:iCs/>
          <w:lang w:val="bg-BG"/>
        </w:rPr>
        <w:t xml:space="preserve">хром </w:t>
      </w:r>
      <w:r w:rsidRPr="00E15F8F">
        <w:rPr>
          <w:rFonts w:ascii="Times New Roman" w:hAnsi="Times New Roman" w:cs="Times New Roman"/>
          <w:lang w:val="bg-BG"/>
        </w:rPr>
        <w:t>- устойчивите отклонения по този показател са с по-малък териториален обхват и са установени в 22 малки зони в областите Плевен (17 зони) и Монтана (5 зони). Дължат се на естествено обусловено по-високо съдържание на хром във водоизточниците и отсъствие на коригиращи мерки. Най-често отклоненията не са по-големи от два пъти над нормата.</w:t>
      </w:r>
    </w:p>
    <w:p w14:paraId="3070BCDB"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Несъответствия с изискванията за качество на питейните води се установяват и по показатели от групата на </w:t>
      </w:r>
      <w:r w:rsidRPr="00E15F8F">
        <w:rPr>
          <w:rFonts w:ascii="Times New Roman" w:hAnsi="Times New Roman" w:cs="Times New Roman"/>
          <w:i/>
          <w:iCs/>
          <w:lang w:val="bg-BG"/>
        </w:rPr>
        <w:t xml:space="preserve">индикаторните, </w:t>
      </w:r>
      <w:r w:rsidRPr="00E15F8F">
        <w:rPr>
          <w:rFonts w:ascii="Times New Roman" w:hAnsi="Times New Roman" w:cs="Times New Roman"/>
          <w:lang w:val="bg-BG"/>
        </w:rPr>
        <w:t>които не се свързват с пряк здравен риск, но свидетелстват за проблеми във водоснабдителните системи и обработката на водата, което влошава качеството на водата и може да доведе до индиректен здравен риск, например при ползване на вода от нерегламентирани водоизточници. Отклонения се регистрират по показатели:</w:t>
      </w:r>
    </w:p>
    <w:p w14:paraId="7009F659"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i/>
          <w:iCs/>
          <w:lang w:val="bg-BG"/>
        </w:rPr>
        <w:t xml:space="preserve">манган - </w:t>
      </w:r>
      <w:r w:rsidRPr="00E15F8F">
        <w:rPr>
          <w:rFonts w:ascii="Times New Roman" w:hAnsi="Times New Roman" w:cs="Times New Roman"/>
          <w:lang w:val="bg-BG"/>
        </w:rPr>
        <w:t>в 51 предимно малки зони на водоснабдяване, в област Хасково и в по-малка степен в областите Габрово, Пловдив, Стара Загора, Плевен. Особено остър, с наложени ограничения за употреба на питейната вода, остава този проблем в зони на водоснабдяване Брягово, Николово, Симеоновград, Българин, Широка поляна, Сталево в обл. Хасково и е свързан с естествените условия, при които се формират водите.</w:t>
      </w:r>
    </w:p>
    <w:p w14:paraId="493C9789"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i/>
          <w:iCs/>
          <w:lang w:val="bg-BG"/>
        </w:rPr>
        <w:t xml:space="preserve">желязо </w:t>
      </w:r>
      <w:r w:rsidRPr="00E15F8F">
        <w:rPr>
          <w:rFonts w:ascii="Times New Roman" w:hAnsi="Times New Roman" w:cs="Times New Roman"/>
          <w:lang w:val="bg-BG"/>
        </w:rPr>
        <w:t>– в 24 зони на водоснабдяване, най-често в зони с несъответствия по манган, като в област Хасково или преходно във водоснабдителни зони в други области, като София-град, Варна, Добрич, Смолян, Габрово, В. Търново, Стара Загора и др.</w:t>
      </w:r>
    </w:p>
    <w:p w14:paraId="348E4F7E" w14:textId="77777777" w:rsidR="0047737A" w:rsidRPr="00E15F8F" w:rsidRDefault="0047737A" w:rsidP="0047737A">
      <w:pPr>
        <w:pStyle w:val="ListParagraph"/>
        <w:numPr>
          <w:ilvl w:val="0"/>
          <w:numId w:val="3"/>
        </w:num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i/>
          <w:iCs/>
          <w:lang w:val="bg-BG"/>
        </w:rPr>
        <w:t xml:space="preserve">органолептични показатели </w:t>
      </w:r>
      <w:r w:rsidRPr="00E15F8F">
        <w:rPr>
          <w:rFonts w:ascii="Times New Roman" w:hAnsi="Times New Roman" w:cs="Times New Roman"/>
          <w:lang w:val="bg-BG"/>
        </w:rPr>
        <w:t>(най-често мътност, по-рядко - цвят, мирис, вкус). В някои случаи отклоненията са свързани с наднормени количества на желязо и манган в подаваната вода, а в други с липса на пречистване на водата от повърхностни водоизточници или често авариращи водоснабдителни мрежи на населените места и др.</w:t>
      </w:r>
    </w:p>
    <w:p w14:paraId="528C5DC1"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В много ограничен брой зони на територията на различни области, често в отделни проби, са констатирани несъответствия по показатели алуминий, амониев йон, натрий, арсен, флуориди, бор, уран, сулфати, фосфати, активна реакция (рН), обща твърдост, както и формиращите я калций и магнезий, хлориди, окисляемост.</w:t>
      </w:r>
    </w:p>
    <w:p w14:paraId="6DF58BCE"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Най-често изтъквани </w:t>
      </w:r>
      <w:r w:rsidRPr="00E15F8F">
        <w:rPr>
          <w:rFonts w:ascii="Times New Roman" w:hAnsi="Times New Roman" w:cs="Times New Roman"/>
          <w:i/>
          <w:iCs/>
          <w:lang w:val="bg-BG"/>
        </w:rPr>
        <w:t xml:space="preserve">причини </w:t>
      </w:r>
      <w:r w:rsidRPr="00E15F8F">
        <w:rPr>
          <w:rFonts w:ascii="Times New Roman" w:hAnsi="Times New Roman" w:cs="Times New Roman"/>
          <w:lang w:val="bg-BG"/>
        </w:rPr>
        <w:t>за констатираните отклонения остават неефективна и непостоянна дезинфекция на водата поради, лоша технологична схема на водоснабдяването, отсъствие на пречиствателни станции и съоръжения, остаряла, амортизирана и често аварираща водопроводна мрежа в населените места, липса на санитарно-охранителни зони около водоизточниците или неспазване на режима на ограничения и забрани, неправилно и несъответстващо на добрите земеделски практики използване на азотни минерални торове; неспазване на изискванията за събиране, съхраняване и обезвреждане на торовия отпадък в животновъдството; липса на канализация и съоръжения за пречистване на фекално-битови отпадъчни води и др.</w:t>
      </w:r>
    </w:p>
    <w:p w14:paraId="4AAA8F0B" w14:textId="31EE78C1" w:rsidR="0047737A" w:rsidRPr="00E15F8F" w:rsidRDefault="0047737A" w:rsidP="0047737A">
      <w:pPr>
        <w:autoSpaceDE w:val="0"/>
        <w:autoSpaceDN w:val="0"/>
        <w:adjustRightInd w:val="0"/>
        <w:spacing w:after="120" w:line="276" w:lineRule="auto"/>
        <w:jc w:val="both"/>
        <w:rPr>
          <w:rFonts w:ascii="Times New Roman" w:hAnsi="Times New Roman" w:cs="Times New Roman"/>
          <w:b/>
          <w:bCs/>
          <w:lang w:val="bg-BG"/>
        </w:rPr>
      </w:pPr>
      <w:r w:rsidRPr="00E15F8F">
        <w:rPr>
          <w:rFonts w:ascii="Times New Roman" w:hAnsi="Times New Roman" w:cs="Times New Roman"/>
          <w:b/>
          <w:bCs/>
          <w:lang w:val="bg-BG"/>
        </w:rPr>
        <w:t>Води за къпане</w:t>
      </w:r>
    </w:p>
    <w:p w14:paraId="0C3E7DDB"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Качеството на водите за къпане се изследва по два микробиологични показателя – „ешерихия коли“ и „чревни ентерококи“.</w:t>
      </w:r>
    </w:p>
    <w:p w14:paraId="546EE844"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lastRenderedPageBreak/>
        <w:t>Според резултатите от провеждания мониторинг през сезон 2018г. категоризация на зоните за къпане в Република България, е както следва:</w:t>
      </w:r>
    </w:p>
    <w:p w14:paraId="3DD14AE6"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с „отлично качество“ са 52,,6% от зоните - 50 зони за къпане (при 42 за 2017г.);</w:t>
      </w:r>
    </w:p>
    <w:p w14:paraId="21333D5D"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с „добро качество“ са 38,9% от зоните – 37 зони за къпане (при 46 през 2017г.);</w:t>
      </w:r>
    </w:p>
    <w:p w14:paraId="45C5CA2A"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със „задоволително качество“ са 7,4% от зоните – 7 зони за къпане (при 6 за</w:t>
      </w:r>
    </w:p>
    <w:p w14:paraId="4FE97BA2"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2017г.);</w:t>
      </w:r>
    </w:p>
    <w:p w14:paraId="4B38CF8A"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с „лошо качество“ са 1,05% от зоните – 1 зони за къпане (при 1 за 2017г.)</w:t>
      </w:r>
    </w:p>
    <w:p w14:paraId="5D7ECB3B"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bookmarkStart w:id="27" w:name="_Hlk68892657"/>
      <w:r w:rsidRPr="00E15F8F">
        <w:rPr>
          <w:rFonts w:ascii="Times New Roman" w:hAnsi="Times New Roman" w:cs="Times New Roman"/>
          <w:lang w:val="bg-BG"/>
        </w:rPr>
        <w:t xml:space="preserve">Данните по-горе показват, че през сезон 2018г се наблюдава увеличение с 8 броя на зоните с отлично качество, за сметка на зоните с добро качество. Все още обаче процентът на зоните с отлично качество е сравнително нисък, а на зоните с добро качество сравнително висок в сравнение със средните за ЕС, където 85,1% от водите за къпане са с „отлично“ качество, а 8,0% са с „добро“ качество. </w:t>
      </w:r>
    </w:p>
    <w:bookmarkEnd w:id="27"/>
    <w:p w14:paraId="64477810"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Най-често причините са влошаване качеството на водите за къпане са свързани с недостатъчния брой и капацитет, както и недобрата поддръжка на станциите и съоръжения за пречистване на отпадъчни води при активно застрояване, а на места и презастрояване на крайбрежието. Нерегламентирани зауствания и изпускания на непречистени отпадъчни води, вкл. и от заведения, разположени на или в близост до плажовете, нерегламентирано заустване на отпадъчни води в дъждовни канализации, изливащи се в или в близост до зоните за къпане и др.</w:t>
      </w:r>
    </w:p>
    <w:p w14:paraId="3EA46677" w14:textId="02D720C9" w:rsidR="0047737A" w:rsidRPr="00E15F8F" w:rsidRDefault="0047737A" w:rsidP="0047737A">
      <w:pPr>
        <w:autoSpaceDE w:val="0"/>
        <w:autoSpaceDN w:val="0"/>
        <w:adjustRightInd w:val="0"/>
        <w:spacing w:after="0" w:line="276" w:lineRule="auto"/>
        <w:jc w:val="both"/>
        <w:rPr>
          <w:rFonts w:ascii="Times New Roman" w:hAnsi="Times New Roman" w:cs="Times New Roman"/>
          <w:b/>
          <w:bCs/>
          <w:lang w:val="bg-BG"/>
        </w:rPr>
      </w:pPr>
      <w:r w:rsidRPr="00E15F8F">
        <w:rPr>
          <w:rFonts w:ascii="Times New Roman" w:hAnsi="Times New Roman" w:cs="Times New Roman"/>
          <w:b/>
          <w:bCs/>
          <w:lang w:val="bg-BG"/>
        </w:rPr>
        <w:t>Управление на риска от наводнения</w:t>
      </w:r>
    </w:p>
    <w:p w14:paraId="43FBB20E" w14:textId="77777777" w:rsidR="0047737A" w:rsidRPr="00E15F8F" w:rsidRDefault="0047737A" w:rsidP="0047737A">
      <w:pPr>
        <w:shd w:val="clear" w:color="auto" w:fill="FFFFFF"/>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Оценката и управлението на риска от наводнения за Република България е предмет на Европейската Директива за наводненията (ДН), която е в сила от 26.11.2007 г. и е транспонирана в националното законодателство с изменението на Закона за водите през м. август 2010 г.</w:t>
      </w:r>
    </w:p>
    <w:p w14:paraId="29EAA039" w14:textId="77777777" w:rsidR="0047737A" w:rsidRPr="00E15F8F" w:rsidRDefault="0047737A" w:rsidP="0047737A">
      <w:pPr>
        <w:shd w:val="clear" w:color="auto" w:fill="FFFFFF"/>
        <w:spacing w:before="120"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Директивата изисква от държавите членки да приложат подход на дългосрочно планиране за намаляване на риска от наводнения в три етапа – предварителна оценка на риска от наводнения, в т.ч определяне на райони със значителен потенциален риск от наводнения; изготвяне на карти на заплахата и на риска от наводнения и планове за управление на риска от наводнения, вкл. програми от мерки. В момента се извършва актуализация на плановете за управление на риска от наводнения за четирите района за басейново управление за периода 2022-2027, в рамките на проект: BG16M1OP002-4.005-0001-C01: „ПУРН – втори цикъл 2022-2027 г.“, финансиран от Оперативна програма „Околна среда 2014-2020“. Бенефициент по проекта е дирекция „Управление на водите“, в партньорство с четирите Басейнови дирекции. Към момента на изготвяне на настоящия анализ  са обявени на обществеността за консултации и писмени становищапроектите на Актуализирани предварителни оценки на риска от наводнения за Дунавски, Черноморски, Източнобеломорски и Западнобеломорски район за басейново управление,  на които се основават и обобщенията по-долу:</w:t>
      </w:r>
      <w:r w:rsidRPr="00E15F8F">
        <w:rPr>
          <w:rStyle w:val="FootnoteReference"/>
          <w:rFonts w:ascii="Times New Roman" w:eastAsia="Times New Roman" w:hAnsi="Times New Roman" w:cs="Times New Roman"/>
          <w:lang w:val="bg-BG"/>
        </w:rPr>
        <w:footnoteReference w:id="24"/>
      </w:r>
      <w:r w:rsidRPr="00E15F8F">
        <w:rPr>
          <w:rFonts w:ascii="Times New Roman" w:eastAsia="Times New Roman" w:hAnsi="Times New Roman" w:cs="Times New Roman"/>
          <w:lang w:val="bg-BG"/>
        </w:rPr>
        <w:t xml:space="preserve">  </w:t>
      </w:r>
    </w:p>
    <w:p w14:paraId="29117C15" w14:textId="646D93BC" w:rsidR="0047737A" w:rsidRPr="006F34D7" w:rsidRDefault="006F34D7" w:rsidP="006F34D7">
      <w:pPr>
        <w:pStyle w:val="Caption"/>
        <w:jc w:val="both"/>
        <w:rPr>
          <w:rFonts w:eastAsia="Times New Roman" w:cs="Times New Roman"/>
          <w:b w:val="0"/>
          <w:bCs w:val="0"/>
          <w:i/>
          <w:sz w:val="22"/>
          <w:szCs w:val="22"/>
          <w:lang w:eastAsia="en-US"/>
        </w:rPr>
      </w:pPr>
      <w:bookmarkStart w:id="28" w:name="_Toc72917594"/>
      <w:r w:rsidRPr="006F34D7">
        <w:rPr>
          <w:rFonts w:eastAsia="Times New Roman" w:cs="Times New Roman"/>
          <w:b w:val="0"/>
          <w:bCs w:val="0"/>
          <w:i/>
          <w:sz w:val="22"/>
          <w:szCs w:val="22"/>
          <w:lang w:eastAsia="en-US"/>
        </w:rPr>
        <w:lastRenderedPageBreak/>
        <w:t xml:space="preserve">Таблица </w:t>
      </w:r>
      <w:r w:rsidRPr="006F34D7">
        <w:rPr>
          <w:rFonts w:eastAsia="Times New Roman" w:cs="Times New Roman"/>
          <w:b w:val="0"/>
          <w:bCs w:val="0"/>
          <w:i/>
          <w:sz w:val="22"/>
          <w:szCs w:val="22"/>
          <w:lang w:eastAsia="en-US"/>
        </w:rPr>
        <w:fldChar w:fldCharType="begin"/>
      </w:r>
      <w:r w:rsidRPr="006F34D7">
        <w:rPr>
          <w:rFonts w:eastAsia="Times New Roman" w:cs="Times New Roman"/>
          <w:b w:val="0"/>
          <w:bCs w:val="0"/>
          <w:i/>
          <w:sz w:val="22"/>
          <w:szCs w:val="22"/>
          <w:lang w:eastAsia="en-US"/>
        </w:rPr>
        <w:instrText xml:space="preserve"> SEQ Таблица \* ARABIC </w:instrText>
      </w:r>
      <w:r w:rsidRPr="006F34D7">
        <w:rPr>
          <w:rFonts w:eastAsia="Times New Roman" w:cs="Times New Roman"/>
          <w:b w:val="0"/>
          <w:bCs w:val="0"/>
          <w:i/>
          <w:sz w:val="22"/>
          <w:szCs w:val="22"/>
          <w:lang w:eastAsia="en-US"/>
        </w:rPr>
        <w:fldChar w:fldCharType="separate"/>
      </w:r>
      <w:r w:rsidR="00E050A8">
        <w:rPr>
          <w:rFonts w:eastAsia="Times New Roman" w:cs="Times New Roman"/>
          <w:b w:val="0"/>
          <w:bCs w:val="0"/>
          <w:i/>
          <w:noProof/>
          <w:sz w:val="22"/>
          <w:szCs w:val="22"/>
          <w:lang w:eastAsia="en-US"/>
        </w:rPr>
        <w:t>4</w:t>
      </w:r>
      <w:r w:rsidRPr="006F34D7">
        <w:rPr>
          <w:rFonts w:eastAsia="Times New Roman" w:cs="Times New Roman"/>
          <w:b w:val="0"/>
          <w:bCs w:val="0"/>
          <w:i/>
          <w:sz w:val="22"/>
          <w:szCs w:val="22"/>
          <w:lang w:eastAsia="en-US"/>
        </w:rPr>
        <w:fldChar w:fldCharType="end"/>
      </w:r>
      <w:r w:rsidRPr="006F34D7">
        <w:rPr>
          <w:rFonts w:eastAsia="Times New Roman" w:cs="Times New Roman"/>
          <w:b w:val="0"/>
          <w:bCs w:val="0"/>
          <w:i/>
          <w:sz w:val="22"/>
          <w:szCs w:val="22"/>
          <w:lang w:eastAsia="en-US"/>
        </w:rPr>
        <w:t xml:space="preserve"> </w:t>
      </w:r>
      <w:r w:rsidR="0047737A" w:rsidRPr="006F34D7">
        <w:rPr>
          <w:rFonts w:eastAsia="Times New Roman" w:cs="Times New Roman"/>
          <w:b w:val="0"/>
          <w:bCs w:val="0"/>
          <w:i/>
          <w:sz w:val="22"/>
          <w:szCs w:val="22"/>
          <w:lang w:eastAsia="en-US"/>
        </w:rPr>
        <w:t xml:space="preserve">Обобщение на основните </w:t>
      </w:r>
      <w:r w:rsidR="001B2F36">
        <w:rPr>
          <w:rFonts w:eastAsia="Times New Roman" w:cs="Times New Roman"/>
          <w:b w:val="0"/>
          <w:bCs w:val="0"/>
          <w:i/>
          <w:sz w:val="22"/>
          <w:szCs w:val="22"/>
          <w:lang w:eastAsia="en-US"/>
        </w:rPr>
        <w:t>резултати</w:t>
      </w:r>
      <w:r w:rsidR="0047737A" w:rsidRPr="006F34D7">
        <w:rPr>
          <w:rFonts w:eastAsia="Times New Roman" w:cs="Times New Roman"/>
          <w:b w:val="0"/>
          <w:bCs w:val="0"/>
          <w:i/>
          <w:sz w:val="22"/>
          <w:szCs w:val="22"/>
          <w:lang w:eastAsia="en-US"/>
        </w:rPr>
        <w:t xml:space="preserve"> от предварителната оценка на риска от наводнения</w:t>
      </w:r>
      <w:bookmarkEnd w:id="28"/>
      <w:r w:rsidR="0047737A" w:rsidRPr="006F34D7">
        <w:rPr>
          <w:rFonts w:eastAsia="Times New Roman" w:cs="Times New Roman"/>
          <w:b w:val="0"/>
          <w:bCs w:val="0"/>
          <w:i/>
          <w:sz w:val="22"/>
          <w:szCs w:val="22"/>
          <w:lang w:eastAsia="en-US"/>
        </w:rPr>
        <w:t xml:space="preserve"> </w:t>
      </w:r>
    </w:p>
    <w:tbl>
      <w:tblPr>
        <w:tblStyle w:val="TableGrid"/>
        <w:tblW w:w="0" w:type="auto"/>
        <w:tblLook w:val="04A0" w:firstRow="1" w:lastRow="0" w:firstColumn="1" w:lastColumn="0" w:noHBand="0" w:noVBand="1"/>
      </w:tblPr>
      <w:tblGrid>
        <w:gridCol w:w="1945"/>
        <w:gridCol w:w="1317"/>
        <w:gridCol w:w="329"/>
        <w:gridCol w:w="1317"/>
        <w:gridCol w:w="1817"/>
        <w:gridCol w:w="1717"/>
        <w:gridCol w:w="908"/>
      </w:tblGrid>
      <w:tr w:rsidR="001B2F36" w:rsidRPr="00E15F8F" w14:paraId="33A83CDC" w14:textId="77777777" w:rsidTr="001B1B03">
        <w:tc>
          <w:tcPr>
            <w:tcW w:w="1945" w:type="dxa"/>
          </w:tcPr>
          <w:p w14:paraId="1ED1EF26" w14:textId="77777777" w:rsidR="001B2F36" w:rsidRPr="00E15F8F" w:rsidRDefault="001B2F36" w:rsidP="0047737A">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РБУ</w:t>
            </w:r>
          </w:p>
        </w:tc>
        <w:tc>
          <w:tcPr>
            <w:tcW w:w="1317" w:type="dxa"/>
          </w:tcPr>
          <w:p w14:paraId="76D03D26" w14:textId="77777777" w:rsidR="001B2F36" w:rsidRPr="00E15F8F" w:rsidRDefault="001B2F36" w:rsidP="0047737A">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Брой наводнения 2011 – 2019 г.</w:t>
            </w:r>
          </w:p>
        </w:tc>
        <w:tc>
          <w:tcPr>
            <w:tcW w:w="329" w:type="dxa"/>
          </w:tcPr>
          <w:p w14:paraId="46F5CAB5" w14:textId="77777777" w:rsidR="001B2F36" w:rsidRPr="00E15F8F" w:rsidRDefault="001B2F36" w:rsidP="0047737A">
            <w:pPr>
              <w:spacing w:after="120" w:line="276" w:lineRule="auto"/>
              <w:jc w:val="both"/>
              <w:rPr>
                <w:rFonts w:ascii="Times New Roman" w:eastAsia="Times New Roman" w:hAnsi="Times New Roman" w:cs="Times New Roman"/>
                <w:lang w:val="bg-BG"/>
              </w:rPr>
            </w:pPr>
          </w:p>
        </w:tc>
        <w:tc>
          <w:tcPr>
            <w:tcW w:w="1317" w:type="dxa"/>
          </w:tcPr>
          <w:p w14:paraId="2DC6CB6C" w14:textId="537B9451" w:rsidR="001B2F36" w:rsidRPr="00E15F8F" w:rsidRDefault="001B2F36" w:rsidP="0047737A">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Значими наводнения</w:t>
            </w:r>
          </w:p>
        </w:tc>
        <w:tc>
          <w:tcPr>
            <w:tcW w:w="1817" w:type="dxa"/>
          </w:tcPr>
          <w:p w14:paraId="3E76C860" w14:textId="2DB42AB8" w:rsidR="001B2F36" w:rsidRPr="00E15F8F" w:rsidRDefault="001B2F36" w:rsidP="0047737A">
            <w:pPr>
              <w:spacing w:after="120" w:line="276" w:lineRule="auto"/>
              <w:jc w:val="both"/>
              <w:rPr>
                <w:rFonts w:ascii="Times New Roman" w:eastAsia="Times New Roman" w:hAnsi="Times New Roman" w:cs="Times New Roman"/>
                <w:lang w:val="bg-BG"/>
              </w:rPr>
            </w:pPr>
            <w:r>
              <w:rPr>
                <w:rFonts w:ascii="Times New Roman" w:eastAsia="Times New Roman" w:hAnsi="Times New Roman" w:cs="Times New Roman"/>
                <w:lang w:val="bg-BG"/>
              </w:rPr>
              <w:t>Според и</w:t>
            </w:r>
            <w:r w:rsidRPr="00E15F8F">
              <w:rPr>
                <w:rFonts w:ascii="Times New Roman" w:eastAsia="Times New Roman" w:hAnsi="Times New Roman" w:cs="Times New Roman"/>
                <w:lang w:val="bg-BG"/>
              </w:rPr>
              <w:t>зточник</w:t>
            </w:r>
            <w:r>
              <w:rPr>
                <w:rFonts w:ascii="Times New Roman" w:eastAsia="Times New Roman" w:hAnsi="Times New Roman" w:cs="Times New Roman"/>
                <w:lang w:val="bg-BG"/>
              </w:rPr>
              <w:t>а</w:t>
            </w:r>
            <w:r w:rsidRPr="00E15F8F">
              <w:rPr>
                <w:rFonts w:ascii="Times New Roman" w:eastAsia="Times New Roman" w:hAnsi="Times New Roman" w:cs="Times New Roman"/>
                <w:lang w:val="bg-BG"/>
              </w:rPr>
              <w:t xml:space="preserve"> </w:t>
            </w:r>
          </w:p>
        </w:tc>
        <w:tc>
          <w:tcPr>
            <w:tcW w:w="1717" w:type="dxa"/>
          </w:tcPr>
          <w:p w14:paraId="6DF1D20E" w14:textId="336C6BB9" w:rsidR="001B2F36" w:rsidRPr="00E15F8F" w:rsidRDefault="001B2F36" w:rsidP="0047737A">
            <w:pPr>
              <w:spacing w:after="120" w:line="276" w:lineRule="auto"/>
              <w:jc w:val="both"/>
              <w:rPr>
                <w:rFonts w:ascii="Times New Roman" w:eastAsia="Times New Roman" w:hAnsi="Times New Roman" w:cs="Times New Roman"/>
                <w:lang w:val="bg-BG"/>
              </w:rPr>
            </w:pPr>
            <w:r>
              <w:rPr>
                <w:rFonts w:ascii="Times New Roman" w:eastAsia="Times New Roman" w:hAnsi="Times New Roman" w:cs="Times New Roman"/>
                <w:lang w:val="bg-BG"/>
              </w:rPr>
              <w:t>Според м</w:t>
            </w:r>
            <w:r w:rsidRPr="00E15F8F">
              <w:rPr>
                <w:rFonts w:ascii="Times New Roman" w:eastAsia="Times New Roman" w:hAnsi="Times New Roman" w:cs="Times New Roman"/>
                <w:lang w:val="bg-BG"/>
              </w:rPr>
              <w:t>еханиз</w:t>
            </w:r>
            <w:r>
              <w:rPr>
                <w:rFonts w:ascii="Times New Roman" w:eastAsia="Times New Roman" w:hAnsi="Times New Roman" w:cs="Times New Roman"/>
                <w:lang w:val="bg-BG"/>
              </w:rPr>
              <w:t>ма</w:t>
            </w:r>
            <w:r w:rsidRPr="00E15F8F">
              <w:rPr>
                <w:rFonts w:ascii="Times New Roman" w:eastAsia="Times New Roman" w:hAnsi="Times New Roman" w:cs="Times New Roman"/>
                <w:lang w:val="bg-BG"/>
              </w:rPr>
              <w:t xml:space="preserve"> на възникване</w:t>
            </w:r>
          </w:p>
        </w:tc>
        <w:tc>
          <w:tcPr>
            <w:tcW w:w="908" w:type="dxa"/>
          </w:tcPr>
          <w:p w14:paraId="7114525A" w14:textId="77777777" w:rsidR="001B2F36" w:rsidRPr="00E15F8F" w:rsidRDefault="001B2F36" w:rsidP="0047737A">
            <w:pPr>
              <w:spacing w:after="120" w:line="276" w:lineRule="auto"/>
              <w:jc w:val="both"/>
              <w:rPr>
                <w:rFonts w:ascii="Times New Roman" w:eastAsia="Times New Roman" w:hAnsi="Times New Roman" w:cs="Times New Roman"/>
                <w:lang w:val="bg-BG"/>
              </w:rPr>
            </w:pPr>
            <w:r w:rsidRPr="00E15F8F">
              <w:rPr>
                <w:rFonts w:ascii="Times New Roman" w:eastAsia="Times New Roman" w:hAnsi="Times New Roman" w:cs="Times New Roman"/>
                <w:lang w:val="bg-BG"/>
              </w:rPr>
              <w:t>Брой РЗПРН</w:t>
            </w:r>
          </w:p>
        </w:tc>
      </w:tr>
      <w:tr w:rsidR="001B2F36" w:rsidRPr="00E15F8F" w14:paraId="34C8D934" w14:textId="77777777" w:rsidTr="001B1B03">
        <w:trPr>
          <w:trHeight w:val="647"/>
        </w:trPr>
        <w:tc>
          <w:tcPr>
            <w:tcW w:w="1945" w:type="dxa"/>
          </w:tcPr>
          <w:p w14:paraId="583388A1"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Дунавски</w:t>
            </w:r>
          </w:p>
        </w:tc>
        <w:tc>
          <w:tcPr>
            <w:tcW w:w="1317" w:type="dxa"/>
          </w:tcPr>
          <w:p w14:paraId="4C0D77FB"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217</w:t>
            </w:r>
          </w:p>
        </w:tc>
        <w:tc>
          <w:tcPr>
            <w:tcW w:w="329" w:type="dxa"/>
          </w:tcPr>
          <w:p w14:paraId="48DC9D7D"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p>
        </w:tc>
        <w:tc>
          <w:tcPr>
            <w:tcW w:w="1317" w:type="dxa"/>
          </w:tcPr>
          <w:p w14:paraId="3BC0BCD0" w14:textId="5E6E4F14"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28</w:t>
            </w:r>
          </w:p>
        </w:tc>
        <w:tc>
          <w:tcPr>
            <w:tcW w:w="1817" w:type="dxa"/>
            <w:vMerge w:val="restart"/>
          </w:tcPr>
          <w:p w14:paraId="6C184F3A" w14:textId="77777777" w:rsidR="001B2F36" w:rsidRPr="00E15F8F" w:rsidRDefault="001B2F36" w:rsidP="0047737A">
            <w:pPr>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 xml:space="preserve">Дъждовни </w:t>
            </w:r>
          </w:p>
          <w:p w14:paraId="7BA451D6" w14:textId="77777777" w:rsidR="001B2F36" w:rsidRPr="00E15F8F" w:rsidRDefault="001B2F36" w:rsidP="0047737A">
            <w:pPr>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 xml:space="preserve">Речни; Морски </w:t>
            </w:r>
          </w:p>
          <w:p w14:paraId="69E482FD" w14:textId="77777777" w:rsidR="001B2F36" w:rsidRPr="00E15F8F" w:rsidRDefault="001B2F36" w:rsidP="0047737A">
            <w:pPr>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Инфраструктурни; наводнения отподземни води и смесен тип речно - дъждовни</w:t>
            </w:r>
          </w:p>
        </w:tc>
        <w:tc>
          <w:tcPr>
            <w:tcW w:w="1717" w:type="dxa"/>
            <w:vMerge w:val="restart"/>
          </w:tcPr>
          <w:p w14:paraId="7E8214AC" w14:textId="77777777" w:rsidR="001B2F36" w:rsidRPr="00E15F8F" w:rsidRDefault="001B2F36" w:rsidP="0047737A">
            <w:pPr>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 xml:space="preserve">Подприщване или намаляване на проводимостта; </w:t>
            </w:r>
          </w:p>
          <w:p w14:paraId="5F6018D9" w14:textId="77777777" w:rsidR="001B2F36" w:rsidRPr="00E15F8F" w:rsidRDefault="001B2F36" w:rsidP="0047737A">
            <w:pPr>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Естествено преливане на реките;</w:t>
            </w:r>
          </w:p>
          <w:p w14:paraId="04A61B2C" w14:textId="77777777" w:rsidR="001B2F36" w:rsidRPr="00E15F8F" w:rsidRDefault="001B2F36" w:rsidP="0047737A">
            <w:pPr>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Повреда на защитно или инфраструктурно съоръжение.</w:t>
            </w:r>
          </w:p>
          <w:p w14:paraId="736D0E65" w14:textId="77777777" w:rsidR="001B2F36" w:rsidRPr="00E15F8F" w:rsidRDefault="001B2F36" w:rsidP="0047737A">
            <w:pPr>
              <w:jc w:val="both"/>
              <w:rPr>
                <w:rFonts w:ascii="Times New Roman" w:eastAsia="Times New Roman" w:hAnsi="Times New Roman" w:cs="Times New Roman"/>
                <w:sz w:val="20"/>
                <w:szCs w:val="20"/>
                <w:lang w:val="bg-BG"/>
              </w:rPr>
            </w:pPr>
            <w:r w:rsidRPr="00E15F8F">
              <w:rPr>
                <w:rFonts w:ascii="Times New Roman" w:hAnsi="Times New Roman" w:cs="Times New Roman"/>
                <w:sz w:val="20"/>
                <w:szCs w:val="20"/>
                <w:lang w:val="bg-BG"/>
              </w:rPr>
              <w:t>Подземни води</w:t>
            </w:r>
          </w:p>
        </w:tc>
        <w:tc>
          <w:tcPr>
            <w:tcW w:w="908" w:type="dxa"/>
          </w:tcPr>
          <w:p w14:paraId="39CE275C"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35</w:t>
            </w:r>
          </w:p>
        </w:tc>
      </w:tr>
      <w:tr w:rsidR="001B2F36" w:rsidRPr="00E15F8F" w14:paraId="518064AD" w14:textId="77777777" w:rsidTr="001B1B03">
        <w:trPr>
          <w:trHeight w:val="620"/>
        </w:trPr>
        <w:tc>
          <w:tcPr>
            <w:tcW w:w="1945" w:type="dxa"/>
          </w:tcPr>
          <w:p w14:paraId="18415F22"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Черноморски</w:t>
            </w:r>
          </w:p>
        </w:tc>
        <w:tc>
          <w:tcPr>
            <w:tcW w:w="1317" w:type="dxa"/>
          </w:tcPr>
          <w:p w14:paraId="1EEB5A85"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148</w:t>
            </w:r>
          </w:p>
        </w:tc>
        <w:tc>
          <w:tcPr>
            <w:tcW w:w="329" w:type="dxa"/>
          </w:tcPr>
          <w:p w14:paraId="5D6373B5"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p>
        </w:tc>
        <w:tc>
          <w:tcPr>
            <w:tcW w:w="1317" w:type="dxa"/>
          </w:tcPr>
          <w:p w14:paraId="45FC5883" w14:textId="52929B7A"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21</w:t>
            </w:r>
          </w:p>
        </w:tc>
        <w:tc>
          <w:tcPr>
            <w:tcW w:w="1817" w:type="dxa"/>
            <w:vMerge/>
          </w:tcPr>
          <w:p w14:paraId="7CDC7C44"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p>
        </w:tc>
        <w:tc>
          <w:tcPr>
            <w:tcW w:w="1717" w:type="dxa"/>
            <w:vMerge/>
          </w:tcPr>
          <w:p w14:paraId="31984560" w14:textId="77777777" w:rsidR="001B2F36" w:rsidRPr="00E15F8F" w:rsidRDefault="001B2F36" w:rsidP="0047737A">
            <w:pPr>
              <w:jc w:val="both"/>
              <w:rPr>
                <w:rFonts w:ascii="Times New Roman" w:eastAsia="Times New Roman" w:hAnsi="Times New Roman" w:cs="Times New Roman"/>
                <w:sz w:val="20"/>
                <w:szCs w:val="20"/>
                <w:lang w:val="bg-BG"/>
              </w:rPr>
            </w:pPr>
          </w:p>
        </w:tc>
        <w:tc>
          <w:tcPr>
            <w:tcW w:w="908" w:type="dxa"/>
          </w:tcPr>
          <w:p w14:paraId="39AA3357"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34</w:t>
            </w:r>
          </w:p>
        </w:tc>
      </w:tr>
      <w:tr w:rsidR="001B2F36" w:rsidRPr="00E15F8F" w14:paraId="119B13AE" w14:textId="77777777" w:rsidTr="001B1B03">
        <w:trPr>
          <w:trHeight w:val="620"/>
        </w:trPr>
        <w:tc>
          <w:tcPr>
            <w:tcW w:w="1945" w:type="dxa"/>
          </w:tcPr>
          <w:p w14:paraId="45A3130B"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Източнобеломорски</w:t>
            </w:r>
          </w:p>
        </w:tc>
        <w:tc>
          <w:tcPr>
            <w:tcW w:w="1317" w:type="dxa"/>
          </w:tcPr>
          <w:p w14:paraId="1C1E70CE"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386</w:t>
            </w:r>
          </w:p>
        </w:tc>
        <w:tc>
          <w:tcPr>
            <w:tcW w:w="329" w:type="dxa"/>
          </w:tcPr>
          <w:p w14:paraId="7364BB58"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p>
        </w:tc>
        <w:tc>
          <w:tcPr>
            <w:tcW w:w="1317" w:type="dxa"/>
          </w:tcPr>
          <w:p w14:paraId="56DA4036" w14:textId="4B5ABF2B"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55</w:t>
            </w:r>
          </w:p>
        </w:tc>
        <w:tc>
          <w:tcPr>
            <w:tcW w:w="1817" w:type="dxa"/>
            <w:vMerge/>
          </w:tcPr>
          <w:p w14:paraId="0DDE4C5C"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p>
        </w:tc>
        <w:tc>
          <w:tcPr>
            <w:tcW w:w="1717" w:type="dxa"/>
            <w:vMerge/>
          </w:tcPr>
          <w:p w14:paraId="242418C0"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p>
        </w:tc>
        <w:tc>
          <w:tcPr>
            <w:tcW w:w="908" w:type="dxa"/>
          </w:tcPr>
          <w:p w14:paraId="17D6417D"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41</w:t>
            </w:r>
          </w:p>
        </w:tc>
      </w:tr>
      <w:tr w:rsidR="001B2F36" w:rsidRPr="00E15F8F" w14:paraId="6F317407" w14:textId="77777777" w:rsidTr="001B1B03">
        <w:tc>
          <w:tcPr>
            <w:tcW w:w="1945" w:type="dxa"/>
          </w:tcPr>
          <w:p w14:paraId="054EC7B1"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Западнобеломорски</w:t>
            </w:r>
          </w:p>
        </w:tc>
        <w:tc>
          <w:tcPr>
            <w:tcW w:w="1317" w:type="dxa"/>
          </w:tcPr>
          <w:p w14:paraId="3A4F7DBC"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87</w:t>
            </w:r>
          </w:p>
        </w:tc>
        <w:tc>
          <w:tcPr>
            <w:tcW w:w="329" w:type="dxa"/>
          </w:tcPr>
          <w:p w14:paraId="5407CADE"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p>
        </w:tc>
        <w:tc>
          <w:tcPr>
            <w:tcW w:w="1317" w:type="dxa"/>
          </w:tcPr>
          <w:p w14:paraId="16976420" w14:textId="7A74204B"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2</w:t>
            </w:r>
          </w:p>
        </w:tc>
        <w:tc>
          <w:tcPr>
            <w:tcW w:w="1817" w:type="dxa"/>
            <w:vMerge/>
          </w:tcPr>
          <w:p w14:paraId="48E8D666"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p>
        </w:tc>
        <w:tc>
          <w:tcPr>
            <w:tcW w:w="1717" w:type="dxa"/>
            <w:vMerge/>
          </w:tcPr>
          <w:p w14:paraId="2775D86E"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p>
        </w:tc>
        <w:tc>
          <w:tcPr>
            <w:tcW w:w="908" w:type="dxa"/>
          </w:tcPr>
          <w:p w14:paraId="6EFCB179" w14:textId="77777777" w:rsidR="001B2F36" w:rsidRPr="00E15F8F" w:rsidRDefault="001B2F36" w:rsidP="0047737A">
            <w:pPr>
              <w:spacing w:after="120" w:line="276" w:lineRule="auto"/>
              <w:jc w:val="both"/>
              <w:rPr>
                <w:rFonts w:ascii="Times New Roman" w:eastAsia="Times New Roman" w:hAnsi="Times New Roman" w:cs="Times New Roman"/>
                <w:sz w:val="20"/>
                <w:szCs w:val="20"/>
                <w:lang w:val="bg-BG"/>
              </w:rPr>
            </w:pPr>
            <w:r w:rsidRPr="00E15F8F">
              <w:rPr>
                <w:rFonts w:ascii="Times New Roman" w:eastAsia="Times New Roman" w:hAnsi="Times New Roman" w:cs="Times New Roman"/>
                <w:sz w:val="20"/>
                <w:szCs w:val="20"/>
                <w:lang w:val="bg-BG"/>
              </w:rPr>
              <w:t>17</w:t>
            </w:r>
          </w:p>
        </w:tc>
      </w:tr>
    </w:tbl>
    <w:p w14:paraId="573D2129" w14:textId="77777777" w:rsidR="0047737A" w:rsidRPr="00E15F8F" w:rsidRDefault="0047737A" w:rsidP="0047737A">
      <w:pPr>
        <w:shd w:val="clear" w:color="auto" w:fill="FFFFFF"/>
        <w:spacing w:after="120" w:line="276" w:lineRule="auto"/>
        <w:jc w:val="both"/>
        <w:rPr>
          <w:rFonts w:ascii="Times New Roman" w:eastAsia="Times New Roman" w:hAnsi="Times New Roman" w:cs="Times New Roman"/>
          <w:i/>
          <w:iCs/>
          <w:sz w:val="20"/>
          <w:szCs w:val="20"/>
          <w:lang w:val="bg-BG"/>
        </w:rPr>
      </w:pPr>
      <w:r w:rsidRPr="00E15F8F">
        <w:rPr>
          <w:rFonts w:ascii="Times New Roman" w:eastAsia="Times New Roman" w:hAnsi="Times New Roman" w:cs="Times New Roman"/>
          <w:i/>
          <w:iCs/>
          <w:sz w:val="20"/>
          <w:szCs w:val="20"/>
          <w:lang w:val="bg-BG"/>
        </w:rPr>
        <w:t>Източник: Предварителна оценка на риска от наводнения по райони на басейново управление</w:t>
      </w:r>
    </w:p>
    <w:p w14:paraId="5F2DFC08"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bookmarkStart w:id="29" w:name="_Hlk68892708"/>
      <w:r w:rsidRPr="00E15F8F">
        <w:rPr>
          <w:rFonts w:ascii="Times New Roman" w:eastAsia="Times New Roman" w:hAnsi="Times New Roman" w:cs="Times New Roman"/>
          <w:lang w:val="bg-BG"/>
        </w:rPr>
        <w:t xml:space="preserve">Обобщено за територията на страната, с най-голям дял са наводненията с източник дъжд. </w:t>
      </w:r>
      <w:r w:rsidRPr="00E15F8F">
        <w:rPr>
          <w:rFonts w:ascii="Times New Roman" w:hAnsi="Times New Roman" w:cs="Times New Roman"/>
          <w:lang w:val="bg-BG"/>
        </w:rPr>
        <w:t>Речните наводнения са на второ място по относителен дял, а най-малък дял имат инфраструктурните наводнения и тези причинени от подземни води. Изключение е Западнообеломорски район на басейново управление, където се наблюдава баланс между броя на речните и дъждовните наводнения с лек превес на речните.</w:t>
      </w:r>
    </w:p>
    <w:bookmarkEnd w:id="29"/>
    <w:p w14:paraId="022AAC75"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 xml:space="preserve">Над 35% от всички възникнали през периода наводнения са регистрирани през 2014 г. </w:t>
      </w:r>
      <w:bookmarkStart w:id="30" w:name="_Hlk68892718"/>
      <w:r w:rsidRPr="00E15F8F">
        <w:rPr>
          <w:rFonts w:ascii="Times New Roman" w:hAnsi="Times New Roman" w:cs="Times New Roman"/>
          <w:lang w:val="bg-BG"/>
        </w:rPr>
        <w:t>Според механизма на възникване преобладават наводненията резултат от подприщване или намаляване на проводимостта, както и от естествено преливане на реките.</w:t>
      </w:r>
    </w:p>
    <w:bookmarkEnd w:id="30"/>
    <w:p w14:paraId="3A26A70C" w14:textId="77777777" w:rsidR="0047737A" w:rsidRPr="00E15F8F" w:rsidRDefault="0047737A" w:rsidP="0047737A">
      <w:pPr>
        <w:autoSpaceDE w:val="0"/>
        <w:autoSpaceDN w:val="0"/>
        <w:adjustRightInd w:val="0"/>
        <w:spacing w:after="120" w:line="276" w:lineRule="auto"/>
        <w:jc w:val="both"/>
        <w:rPr>
          <w:rFonts w:ascii="Times New Roman" w:hAnsi="Times New Roman" w:cs="Times New Roman"/>
          <w:lang w:val="bg-BG"/>
        </w:rPr>
      </w:pPr>
      <w:r w:rsidRPr="00E15F8F">
        <w:rPr>
          <w:rFonts w:ascii="Times New Roman" w:hAnsi="Times New Roman" w:cs="Times New Roman"/>
          <w:lang w:val="bg-BG"/>
        </w:rPr>
        <w:t>На този етап за територията на страната са идентифицирани 127 района със значителен потенциален риск от наводнения, вкл. река Дунав. В ПУРН 2016 – 2021 г., българо - румънският участък на река Дунав е определен като общ международен РЗПРН за България и Румъния. Дейностите по прилагане на Директивата за наводненията в този РЗПРН, в т.ч. последващото изготвяне на карти на заплахата и на риска от наводнения и планирането на мерки за намаляване на риска от наводнения се извършват при отчитане на трансграничния характер на района и при обмен на информация с Румъния и другите държави членки на МКОРД.</w:t>
      </w:r>
    </w:p>
    <w:p w14:paraId="7B08ADAF" w14:textId="40E73E77" w:rsidR="001B1B03" w:rsidRDefault="001B1B03" w:rsidP="008663D3">
      <w:bookmarkStart w:id="31" w:name="_Toc72916678"/>
    </w:p>
    <w:p w14:paraId="025426B0" w14:textId="715CDE0A" w:rsidR="008663D3" w:rsidRDefault="008663D3" w:rsidP="008663D3"/>
    <w:p w14:paraId="12BF1701" w14:textId="47E24506" w:rsidR="008663D3" w:rsidRDefault="008663D3" w:rsidP="008663D3"/>
    <w:p w14:paraId="4E7ED1D8" w14:textId="72451D10" w:rsidR="008663D3" w:rsidRDefault="008663D3" w:rsidP="008663D3"/>
    <w:p w14:paraId="6078E798" w14:textId="77777777" w:rsidR="008663D3" w:rsidRDefault="008663D3" w:rsidP="008663D3"/>
    <w:p w14:paraId="6F87258F" w14:textId="5F6D3149" w:rsidR="000532D9" w:rsidRPr="00E15F8F" w:rsidRDefault="000532D9" w:rsidP="008663D3">
      <w:pPr>
        <w:pStyle w:val="Heading2"/>
        <w:spacing w:before="120" w:after="120" w:line="264" w:lineRule="auto"/>
      </w:pPr>
      <w:r w:rsidRPr="00E15F8F">
        <w:lastRenderedPageBreak/>
        <w:t>Движещи сили и фактори на натиск</w:t>
      </w:r>
      <w:bookmarkEnd w:id="31"/>
    </w:p>
    <w:p w14:paraId="47D81E7B" w14:textId="77777777" w:rsidR="00066EFE" w:rsidRPr="00E15F8F" w:rsidRDefault="00066EFE" w:rsidP="008663D3">
      <w:pPr>
        <w:spacing w:before="120" w:after="120" w:line="264" w:lineRule="auto"/>
        <w:rPr>
          <w:rFonts w:ascii="Times New Roman" w:hAnsi="Times New Roman" w:cs="Times New Roman"/>
          <w:b/>
          <w:bCs/>
          <w:lang w:val="bg-BG"/>
        </w:rPr>
      </w:pPr>
      <w:r w:rsidRPr="00E15F8F">
        <w:rPr>
          <w:rFonts w:ascii="Times New Roman" w:hAnsi="Times New Roman" w:cs="Times New Roman"/>
          <w:b/>
          <w:bCs/>
          <w:lang w:val="bg-BG"/>
        </w:rPr>
        <w:t>Фактори на натиск върху водните ресурси и качеството на водите</w:t>
      </w:r>
    </w:p>
    <w:p w14:paraId="491628AE" w14:textId="77777777" w:rsidR="00066EFE" w:rsidRPr="00E15F8F" w:rsidRDefault="00066EFE" w:rsidP="008663D3">
      <w:pPr>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Седмият доклад на Европейската агенция по околна среда за 2018 г.: Европейските води. Оценка на натиска и състоянието определят няколко основни видове натиск върху количественото и екологично състояние на водните тела в Европа.</w:t>
      </w:r>
      <w:r w:rsidRPr="00E15F8F">
        <w:rPr>
          <w:rStyle w:val="FootnoteReference"/>
          <w:rFonts w:ascii="Times New Roman" w:hAnsi="Times New Roman" w:cs="Times New Roman"/>
          <w:lang w:val="bg-BG"/>
        </w:rPr>
        <w:footnoteReference w:id="25"/>
      </w:r>
      <w:r w:rsidRPr="00E15F8F">
        <w:rPr>
          <w:rFonts w:ascii="Times New Roman" w:hAnsi="Times New Roman" w:cs="Times New Roman"/>
          <w:lang w:val="bg-BG"/>
        </w:rPr>
        <w:t xml:space="preserve"> </w:t>
      </w:r>
    </w:p>
    <w:p w14:paraId="72236670" w14:textId="77777777" w:rsidR="00066EFE" w:rsidRPr="00E15F8F" w:rsidRDefault="00066EFE" w:rsidP="008663D3">
      <w:pPr>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По отношение на повърхностните води, това са хидроморфологичните изменения, дифузно замърсяване, замърсяването от точкови източници, водовземане. Оценката на натиска определя най-голяма тежест от 41% на хидроморфологичния такъв, следван от дифузното замърсяване и атмосферните отлагания (38%). Делът на замърсяването от точкови източници е 18%. Хидроморфологичният натиск и водовземането са основна причина за загуба на природни хабитати. Атмосферните отлагания и замърсяването от точкови източници води до влошаване на химичното състояние на водите, а замърсяването от точкови и дифузни източници – до нарушаване на азотния баланс.</w:t>
      </w:r>
    </w:p>
    <w:p w14:paraId="531DBE9D" w14:textId="77777777" w:rsidR="00066EFE" w:rsidRPr="00E15F8F" w:rsidRDefault="00066EFE" w:rsidP="008663D3">
      <w:pPr>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Дифузното замърсяване и замърсяването от точкови източници е основният натиск, който определя химичния статус на подземните водни тела. Водовземането и промяната на нивата на подземните води са основни за количествените характеристики на водните тела.</w:t>
      </w:r>
    </w:p>
    <w:p w14:paraId="3726647A" w14:textId="77777777" w:rsidR="00066EFE" w:rsidRPr="00E15F8F" w:rsidRDefault="00066EFE" w:rsidP="008663D3">
      <w:pPr>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 xml:space="preserve">По отношение на замърсяването на водите от точкови източници с най-голяма роля са градските отпадъчни води, които оказват влияние върху 68% от водните тела в Европа и замърсявания в резултат на експлоатацията на депа за отпадъци и замърсени терени при 14% от водните тела. При дифузното замърсяване основният натиск е свързан с количествата нитрати и химическите вещества, като пестицидите напр. при 38% от повърхностните водни тела и 35% от подземните води. </w:t>
      </w:r>
    </w:p>
    <w:p w14:paraId="56E9752F" w14:textId="77777777" w:rsidR="00066EFE" w:rsidRPr="00E15F8F" w:rsidRDefault="00066EFE" w:rsidP="008663D3">
      <w:pPr>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 xml:space="preserve">Хидроморфологичният натиск най-често се асоциира с въздействие върху повърхностните водни тела, но намесите, които водят до хидроложки изменения на водния режим и нивото на водите, влияят както върху повърхностните, така и върху подземните тела. </w:t>
      </w:r>
    </w:p>
    <w:p w14:paraId="5541763F" w14:textId="77777777" w:rsidR="00066EFE" w:rsidRPr="00E15F8F" w:rsidRDefault="00066EFE" w:rsidP="008663D3">
      <w:pPr>
        <w:autoSpaceDE w:val="0"/>
        <w:autoSpaceDN w:val="0"/>
        <w:adjustRightInd w:val="0"/>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Индексът на експлоатация на водните ресурси в България, като инструмент за оценка на натиска върху водните ресурси е под 10%, което означава, че не е наличен стрес върху възобновимите пресни водни ресурси на страната</w:t>
      </w:r>
      <w:r w:rsidRPr="00E15F8F">
        <w:rPr>
          <w:rStyle w:val="FootnoteReference"/>
          <w:rFonts w:ascii="Times New Roman" w:hAnsi="Times New Roman" w:cs="Times New Roman"/>
          <w:lang w:val="bg-BG"/>
        </w:rPr>
        <w:footnoteReference w:id="26"/>
      </w:r>
      <w:r w:rsidRPr="00E15F8F">
        <w:rPr>
          <w:rFonts w:ascii="Times New Roman" w:hAnsi="Times New Roman" w:cs="Times New Roman"/>
          <w:lang w:val="bg-BG"/>
        </w:rPr>
        <w:t>. Най-нисък стрес е регистриран през 2014 година, която се характеризира със значителна влажност, а най-висок – за периода 1990 – 1991 г.</w:t>
      </w:r>
    </w:p>
    <w:p w14:paraId="11F77FC5" w14:textId="4A74B86E" w:rsidR="00066EFE" w:rsidRPr="006F34D7" w:rsidRDefault="006F34D7" w:rsidP="006F34D7">
      <w:pPr>
        <w:pStyle w:val="Caption"/>
        <w:rPr>
          <w:rFonts w:eastAsiaTheme="minorHAnsi" w:cs="Times New Roman"/>
          <w:b w:val="0"/>
          <w:bCs w:val="0"/>
          <w:i/>
          <w:sz w:val="22"/>
          <w:szCs w:val="22"/>
          <w:lang w:eastAsia="en-US"/>
        </w:rPr>
      </w:pPr>
      <w:bookmarkStart w:id="32" w:name="_Toc72917656"/>
      <w:r w:rsidRPr="006F34D7">
        <w:rPr>
          <w:rFonts w:eastAsiaTheme="minorHAnsi" w:cs="Times New Roman"/>
          <w:b w:val="0"/>
          <w:bCs w:val="0"/>
          <w:i/>
          <w:sz w:val="22"/>
          <w:szCs w:val="22"/>
          <w:lang w:eastAsia="en-US"/>
        </w:rPr>
        <w:t xml:space="preserve">Фигура </w:t>
      </w:r>
      <w:r w:rsidRPr="006F34D7">
        <w:rPr>
          <w:rFonts w:eastAsiaTheme="minorHAnsi" w:cs="Times New Roman"/>
          <w:b w:val="0"/>
          <w:bCs w:val="0"/>
          <w:i/>
          <w:sz w:val="22"/>
          <w:szCs w:val="22"/>
          <w:lang w:eastAsia="en-US"/>
        </w:rPr>
        <w:fldChar w:fldCharType="begin"/>
      </w:r>
      <w:r w:rsidRPr="006F34D7">
        <w:rPr>
          <w:rFonts w:eastAsiaTheme="minorHAnsi" w:cs="Times New Roman"/>
          <w:b w:val="0"/>
          <w:bCs w:val="0"/>
          <w:i/>
          <w:sz w:val="22"/>
          <w:szCs w:val="22"/>
          <w:lang w:eastAsia="en-US"/>
        </w:rPr>
        <w:instrText xml:space="preserve"> SEQ Фигура \* ARABIC </w:instrText>
      </w:r>
      <w:r w:rsidRPr="006F34D7">
        <w:rPr>
          <w:rFonts w:eastAsiaTheme="minorHAnsi" w:cs="Times New Roman"/>
          <w:b w:val="0"/>
          <w:bCs w:val="0"/>
          <w:i/>
          <w:sz w:val="22"/>
          <w:szCs w:val="22"/>
          <w:lang w:eastAsia="en-US"/>
        </w:rPr>
        <w:fldChar w:fldCharType="separate"/>
      </w:r>
      <w:r w:rsidR="00E050A8">
        <w:rPr>
          <w:rFonts w:eastAsiaTheme="minorHAnsi" w:cs="Times New Roman"/>
          <w:b w:val="0"/>
          <w:bCs w:val="0"/>
          <w:i/>
          <w:noProof/>
          <w:sz w:val="22"/>
          <w:szCs w:val="22"/>
          <w:lang w:eastAsia="en-US"/>
        </w:rPr>
        <w:t>4</w:t>
      </w:r>
      <w:r w:rsidRPr="006F34D7">
        <w:rPr>
          <w:rFonts w:eastAsiaTheme="minorHAnsi" w:cs="Times New Roman"/>
          <w:b w:val="0"/>
          <w:bCs w:val="0"/>
          <w:i/>
          <w:sz w:val="22"/>
          <w:szCs w:val="22"/>
          <w:lang w:eastAsia="en-US"/>
        </w:rPr>
        <w:fldChar w:fldCharType="end"/>
      </w:r>
      <w:r w:rsidRPr="006F34D7">
        <w:rPr>
          <w:rFonts w:eastAsiaTheme="minorHAnsi" w:cs="Times New Roman"/>
          <w:b w:val="0"/>
          <w:bCs w:val="0"/>
          <w:i/>
          <w:sz w:val="22"/>
          <w:szCs w:val="22"/>
          <w:lang w:eastAsia="en-US"/>
        </w:rPr>
        <w:t xml:space="preserve"> </w:t>
      </w:r>
      <w:r w:rsidR="00066EFE" w:rsidRPr="006F34D7">
        <w:rPr>
          <w:rFonts w:eastAsiaTheme="minorHAnsi" w:cs="Times New Roman"/>
          <w:b w:val="0"/>
          <w:bCs w:val="0"/>
          <w:i/>
          <w:sz w:val="22"/>
          <w:szCs w:val="22"/>
          <w:lang w:eastAsia="en-US"/>
        </w:rPr>
        <w:t>Индекс на експлоатация на водните ресурси в България, 1990 – 2017 г.</w:t>
      </w:r>
      <w:bookmarkEnd w:id="32"/>
    </w:p>
    <w:p w14:paraId="5EED555F" w14:textId="77777777"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51F10F2D" w14:textId="77777777"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r w:rsidRPr="00E15F8F">
        <w:rPr>
          <w:rFonts w:ascii="Times New Roman" w:hAnsi="Times New Roman" w:cs="Times New Roman"/>
          <w:noProof/>
          <w:lang w:val="bg-BG" w:eastAsia="bg-BG"/>
        </w:rPr>
        <w:lastRenderedPageBreak/>
        <w:drawing>
          <wp:inline distT="0" distB="0" distL="0" distR="0" wp14:anchorId="67481475" wp14:editId="5345B999">
            <wp:extent cx="4432300" cy="1951355"/>
            <wp:effectExtent l="0" t="0" r="635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66462" cy="2010421"/>
                    </a:xfrm>
                    <a:prstGeom prst="rect">
                      <a:avLst/>
                    </a:prstGeom>
                    <a:noFill/>
                    <a:ln>
                      <a:noFill/>
                    </a:ln>
                  </pic:spPr>
                </pic:pic>
              </a:graphicData>
            </a:graphic>
          </wp:inline>
        </w:drawing>
      </w:r>
    </w:p>
    <w:p w14:paraId="27E0203E" w14:textId="77777777" w:rsidR="00066EFE" w:rsidRPr="00E15F8F" w:rsidRDefault="00066EFE" w:rsidP="00066EFE">
      <w:pPr>
        <w:autoSpaceDE w:val="0"/>
        <w:autoSpaceDN w:val="0"/>
        <w:adjustRightInd w:val="0"/>
        <w:spacing w:after="0" w:line="240" w:lineRule="auto"/>
        <w:rPr>
          <w:rFonts w:ascii="Times New Roman" w:hAnsi="Times New Roman" w:cs="Times New Roman"/>
          <w:i/>
          <w:iCs/>
          <w:lang w:val="bg-BG"/>
        </w:rPr>
      </w:pPr>
      <w:r w:rsidRPr="00E15F8F">
        <w:rPr>
          <w:rFonts w:ascii="Times New Roman" w:hAnsi="Times New Roman" w:cs="Times New Roman"/>
          <w:i/>
          <w:iCs/>
          <w:lang w:val="bg-BG"/>
        </w:rPr>
        <w:t>Източник: ЕАОС</w:t>
      </w:r>
    </w:p>
    <w:p w14:paraId="5C41BDC4" w14:textId="77777777" w:rsidR="00066EFE" w:rsidRPr="00E15F8F" w:rsidRDefault="00066EFE" w:rsidP="00E15F8F">
      <w:pPr>
        <w:autoSpaceDE w:val="0"/>
        <w:autoSpaceDN w:val="0"/>
        <w:adjustRightInd w:val="0"/>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Макар и общата оценка на индекса да показва, че като цяло за страната няма натиск върху водните ресурси, регионалните и местни специфика, свързани с неравномерното разпределение на ресурси, гъстотата на населението, интензивност на определени сектори на икономиката и сезонна натовареност, водят до недостиг на вода в определени райони.</w:t>
      </w:r>
    </w:p>
    <w:p w14:paraId="3D9EFC84" w14:textId="77777777" w:rsidR="00066EFE" w:rsidRPr="00E15F8F" w:rsidRDefault="00066EFE" w:rsidP="00E15F8F">
      <w:pPr>
        <w:autoSpaceDE w:val="0"/>
        <w:autoSpaceDN w:val="0"/>
        <w:adjustRightInd w:val="0"/>
        <w:spacing w:before="120" w:after="120" w:line="264" w:lineRule="auto"/>
        <w:jc w:val="both"/>
        <w:rPr>
          <w:rFonts w:ascii="Times New Roman" w:hAnsi="Times New Roman" w:cs="Times New Roman"/>
          <w:lang w:val="bg-BG"/>
        </w:rPr>
      </w:pPr>
      <w:r w:rsidRPr="00E15F8F">
        <w:rPr>
          <w:rFonts w:ascii="Times New Roman" w:hAnsi="Times New Roman" w:cs="Times New Roman"/>
          <w:lang w:val="bg-BG"/>
        </w:rPr>
        <w:t>Съгласно оценката на годишния обем на пресни възобновими водни ресурси на човек от населението, България е под определения минимален праг от 1700 м</w:t>
      </w:r>
      <w:r w:rsidRPr="00E15F8F">
        <w:rPr>
          <w:rFonts w:ascii="Times New Roman" w:hAnsi="Times New Roman" w:cs="Times New Roman"/>
          <w:vertAlign w:val="superscript"/>
          <w:lang w:val="bg-BG"/>
        </w:rPr>
        <w:t>3</w:t>
      </w:r>
      <w:r w:rsidRPr="00E15F8F">
        <w:rPr>
          <w:rFonts w:ascii="Times New Roman" w:hAnsi="Times New Roman" w:cs="Times New Roman"/>
          <w:lang w:val="bg-BG"/>
        </w:rPr>
        <w:t xml:space="preserve"> на жител. През 2018 г. пресните водни ресурси средно на човек от населението се изчисляват на 14 197 м</w:t>
      </w:r>
      <w:r w:rsidRPr="00E15F8F">
        <w:rPr>
          <w:rFonts w:ascii="Times New Roman" w:hAnsi="Times New Roman" w:cs="Times New Roman"/>
          <w:vertAlign w:val="superscript"/>
          <w:lang w:val="bg-BG"/>
        </w:rPr>
        <w:t>3</w:t>
      </w:r>
      <w:r w:rsidRPr="00E15F8F">
        <w:rPr>
          <w:rFonts w:ascii="Times New Roman" w:hAnsi="Times New Roman" w:cs="Times New Roman"/>
          <w:lang w:val="bg-BG"/>
        </w:rPr>
        <w:t>.</w:t>
      </w:r>
    </w:p>
    <w:p w14:paraId="12DD0128" w14:textId="77C1F47D" w:rsidR="00066EFE" w:rsidRPr="006F34D7" w:rsidRDefault="006F34D7" w:rsidP="006F34D7">
      <w:pPr>
        <w:pStyle w:val="Caption"/>
        <w:jc w:val="both"/>
        <w:rPr>
          <w:rFonts w:eastAsiaTheme="minorHAnsi" w:cs="Times New Roman"/>
          <w:b w:val="0"/>
          <w:bCs w:val="0"/>
          <w:i/>
          <w:sz w:val="22"/>
          <w:szCs w:val="22"/>
          <w:lang w:eastAsia="en-US"/>
        </w:rPr>
      </w:pPr>
      <w:bookmarkStart w:id="33" w:name="_Toc72917657"/>
      <w:r w:rsidRPr="006F34D7">
        <w:rPr>
          <w:rFonts w:eastAsiaTheme="minorHAnsi" w:cs="Times New Roman"/>
          <w:b w:val="0"/>
          <w:bCs w:val="0"/>
          <w:i/>
          <w:sz w:val="22"/>
          <w:szCs w:val="22"/>
          <w:lang w:eastAsia="en-US"/>
        </w:rPr>
        <w:t xml:space="preserve">Фигура </w:t>
      </w:r>
      <w:r w:rsidRPr="006F34D7">
        <w:rPr>
          <w:rFonts w:eastAsiaTheme="minorHAnsi" w:cs="Times New Roman"/>
          <w:b w:val="0"/>
          <w:bCs w:val="0"/>
          <w:i/>
          <w:sz w:val="22"/>
          <w:szCs w:val="22"/>
          <w:lang w:eastAsia="en-US"/>
        </w:rPr>
        <w:fldChar w:fldCharType="begin"/>
      </w:r>
      <w:r w:rsidRPr="006F34D7">
        <w:rPr>
          <w:rFonts w:eastAsiaTheme="minorHAnsi" w:cs="Times New Roman"/>
          <w:b w:val="0"/>
          <w:bCs w:val="0"/>
          <w:i/>
          <w:sz w:val="22"/>
          <w:szCs w:val="22"/>
          <w:lang w:eastAsia="en-US"/>
        </w:rPr>
        <w:instrText xml:space="preserve"> SEQ Фигура \* ARABIC </w:instrText>
      </w:r>
      <w:r w:rsidRPr="006F34D7">
        <w:rPr>
          <w:rFonts w:eastAsiaTheme="minorHAnsi" w:cs="Times New Roman"/>
          <w:b w:val="0"/>
          <w:bCs w:val="0"/>
          <w:i/>
          <w:sz w:val="22"/>
          <w:szCs w:val="22"/>
          <w:lang w:eastAsia="en-US"/>
        </w:rPr>
        <w:fldChar w:fldCharType="separate"/>
      </w:r>
      <w:r w:rsidR="00E050A8">
        <w:rPr>
          <w:rFonts w:eastAsiaTheme="minorHAnsi" w:cs="Times New Roman"/>
          <w:b w:val="0"/>
          <w:bCs w:val="0"/>
          <w:i/>
          <w:noProof/>
          <w:sz w:val="22"/>
          <w:szCs w:val="22"/>
          <w:lang w:eastAsia="en-US"/>
        </w:rPr>
        <w:t>5</w:t>
      </w:r>
      <w:r w:rsidRPr="006F34D7">
        <w:rPr>
          <w:rFonts w:eastAsiaTheme="minorHAnsi" w:cs="Times New Roman"/>
          <w:b w:val="0"/>
          <w:bCs w:val="0"/>
          <w:i/>
          <w:sz w:val="22"/>
          <w:szCs w:val="22"/>
          <w:lang w:eastAsia="en-US"/>
        </w:rPr>
        <w:fldChar w:fldCharType="end"/>
      </w:r>
      <w:r w:rsidRPr="006F34D7">
        <w:rPr>
          <w:rFonts w:eastAsiaTheme="minorHAnsi" w:cs="Times New Roman"/>
          <w:b w:val="0"/>
          <w:bCs w:val="0"/>
          <w:i/>
          <w:sz w:val="22"/>
          <w:szCs w:val="22"/>
          <w:lang w:eastAsia="en-US"/>
        </w:rPr>
        <w:t xml:space="preserve"> </w:t>
      </w:r>
      <w:r w:rsidR="00066EFE" w:rsidRPr="006F34D7">
        <w:rPr>
          <w:rFonts w:eastAsiaTheme="minorHAnsi" w:cs="Times New Roman"/>
          <w:b w:val="0"/>
          <w:bCs w:val="0"/>
          <w:i/>
          <w:sz w:val="22"/>
          <w:szCs w:val="22"/>
          <w:lang w:eastAsia="en-US"/>
        </w:rPr>
        <w:t xml:space="preserve"> Годишен обем на пресни възобновими водни ресурси на човек от населението в България, 2018 г.</w:t>
      </w:r>
      <w:bookmarkEnd w:id="33"/>
    </w:p>
    <w:p w14:paraId="7D0A8ACC" w14:textId="61F40B34" w:rsidR="00066EFE" w:rsidRPr="00E15F8F" w:rsidRDefault="00E15F8F" w:rsidP="00066EFE">
      <w:pPr>
        <w:autoSpaceDE w:val="0"/>
        <w:autoSpaceDN w:val="0"/>
        <w:adjustRightInd w:val="0"/>
        <w:spacing w:after="0" w:line="240" w:lineRule="auto"/>
        <w:rPr>
          <w:rFonts w:ascii="Times New Roman" w:hAnsi="Times New Roman" w:cs="Times New Roman"/>
          <w:sz w:val="24"/>
          <w:szCs w:val="24"/>
          <w:lang w:val="bg-BG"/>
        </w:rPr>
      </w:pPr>
      <w:r w:rsidRPr="00E15F8F">
        <w:rPr>
          <w:rFonts w:ascii="Times New Roman" w:hAnsi="Times New Roman" w:cs="Times New Roman"/>
          <w:noProof/>
          <w:lang w:val="bg-BG" w:eastAsia="bg-BG"/>
        </w:rPr>
        <w:drawing>
          <wp:anchor distT="0" distB="0" distL="114300" distR="114300" simplePos="0" relativeHeight="251679744" behindDoc="0" locked="0" layoutInCell="1" allowOverlap="1" wp14:anchorId="34EE0E68" wp14:editId="5938953D">
            <wp:simplePos x="0" y="0"/>
            <wp:positionH relativeFrom="margin">
              <wp:posOffset>80730</wp:posOffset>
            </wp:positionH>
            <wp:positionV relativeFrom="paragraph">
              <wp:posOffset>7620</wp:posOffset>
            </wp:positionV>
            <wp:extent cx="4318000" cy="1780837"/>
            <wp:effectExtent l="0" t="0" r="635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318000" cy="178083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7BBCB5" w14:textId="7B63CD50"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5E032453" w14:textId="275F8F38"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39956350" w14:textId="70E1CF15"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330FC1C4" w14:textId="3AC1D806"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7E893D89" w14:textId="368DBAF2"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720ABFF4" w14:textId="77777777"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2172F857" w14:textId="77777777"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52ADEF75" w14:textId="77777777"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75C82AC6" w14:textId="77777777" w:rsidR="00066EFE" w:rsidRPr="00E15F8F" w:rsidRDefault="00066EFE" w:rsidP="00066EFE">
      <w:pPr>
        <w:autoSpaceDE w:val="0"/>
        <w:autoSpaceDN w:val="0"/>
        <w:adjustRightInd w:val="0"/>
        <w:spacing w:after="0" w:line="240" w:lineRule="auto"/>
        <w:rPr>
          <w:rFonts w:ascii="Times New Roman" w:hAnsi="Times New Roman" w:cs="Times New Roman"/>
          <w:sz w:val="24"/>
          <w:szCs w:val="24"/>
          <w:lang w:val="bg-BG"/>
        </w:rPr>
      </w:pPr>
    </w:p>
    <w:p w14:paraId="1B1DF4E1" w14:textId="77777777" w:rsidR="00066EFE" w:rsidRPr="00E15F8F" w:rsidRDefault="00066EFE" w:rsidP="00066EFE">
      <w:pPr>
        <w:autoSpaceDE w:val="0"/>
        <w:autoSpaceDN w:val="0"/>
        <w:adjustRightInd w:val="0"/>
        <w:spacing w:after="0" w:line="240" w:lineRule="auto"/>
        <w:rPr>
          <w:rFonts w:ascii="Times New Roman" w:hAnsi="Times New Roman" w:cs="Times New Roman"/>
          <w:i/>
          <w:iCs/>
          <w:lang w:val="bg-BG"/>
        </w:rPr>
      </w:pPr>
      <w:r w:rsidRPr="00E15F8F">
        <w:rPr>
          <w:rFonts w:ascii="Times New Roman" w:hAnsi="Times New Roman" w:cs="Times New Roman"/>
          <w:i/>
          <w:iCs/>
          <w:lang w:val="bg-BG"/>
        </w:rPr>
        <w:t>Източник: Евростат</w:t>
      </w:r>
    </w:p>
    <w:p w14:paraId="34EF8BE1" w14:textId="77777777" w:rsidR="009F40E9" w:rsidRDefault="009F40E9" w:rsidP="000532D9">
      <w:pPr>
        <w:rPr>
          <w:rFonts w:ascii="Times New Roman" w:hAnsi="Times New Roman" w:cs="Times New Roman"/>
          <w:b/>
          <w:bCs/>
          <w:lang w:val="bg-BG"/>
        </w:rPr>
      </w:pPr>
    </w:p>
    <w:p w14:paraId="00D38934" w14:textId="6AC22418" w:rsidR="000532D9" w:rsidRPr="00E15F8F" w:rsidRDefault="000532D9" w:rsidP="000532D9">
      <w:pPr>
        <w:rPr>
          <w:rFonts w:ascii="Times New Roman" w:hAnsi="Times New Roman" w:cs="Times New Roman"/>
          <w:b/>
          <w:bCs/>
          <w:lang w:val="bg-BG"/>
        </w:rPr>
      </w:pPr>
      <w:r w:rsidRPr="00E15F8F">
        <w:rPr>
          <w:rFonts w:ascii="Times New Roman" w:hAnsi="Times New Roman" w:cs="Times New Roman"/>
          <w:b/>
          <w:bCs/>
          <w:lang w:val="bg-BG"/>
        </w:rPr>
        <w:t>Използване на водните ресурси</w:t>
      </w:r>
    </w:p>
    <w:p w14:paraId="4E4345EA" w14:textId="7B6FE2CD" w:rsidR="000532D9" w:rsidRPr="00E15F8F" w:rsidRDefault="000532D9" w:rsidP="000532D9">
      <w:pPr>
        <w:jc w:val="both"/>
        <w:rPr>
          <w:rFonts w:ascii="Times New Roman" w:hAnsi="Times New Roman" w:cs="Times New Roman"/>
          <w:lang w:val="bg-BG"/>
        </w:rPr>
      </w:pPr>
      <w:r w:rsidRPr="00E15F8F">
        <w:rPr>
          <w:rFonts w:ascii="Times New Roman" w:hAnsi="Times New Roman" w:cs="Times New Roman"/>
          <w:lang w:val="bg-BG"/>
        </w:rPr>
        <w:t xml:space="preserve">Средното годишно количество </w:t>
      </w:r>
      <w:r w:rsidRPr="00E15F8F">
        <w:rPr>
          <w:rFonts w:ascii="Times New Roman" w:hAnsi="Times New Roman" w:cs="Times New Roman"/>
          <w:b/>
          <w:bCs/>
          <w:lang w:val="bg-BG"/>
        </w:rPr>
        <w:t>иззета вода</w:t>
      </w:r>
      <w:r w:rsidRPr="00E15F8F">
        <w:rPr>
          <w:rFonts w:ascii="Times New Roman" w:hAnsi="Times New Roman" w:cs="Times New Roman"/>
          <w:lang w:val="bg-BG"/>
        </w:rPr>
        <w:t xml:space="preserve"> в България за периода 2010 – 2018 г. възлиза над 5 700 милиона куб. м. годишно. </w:t>
      </w:r>
    </w:p>
    <w:p w14:paraId="05DDFA6E" w14:textId="0BD1F463" w:rsidR="000532D9" w:rsidRPr="006F34D7" w:rsidRDefault="006F34D7" w:rsidP="006F34D7">
      <w:pPr>
        <w:pStyle w:val="Caption"/>
        <w:jc w:val="both"/>
        <w:rPr>
          <w:rFonts w:eastAsiaTheme="minorHAnsi" w:cs="Times New Roman"/>
          <w:b w:val="0"/>
          <w:bCs w:val="0"/>
          <w:i/>
          <w:iCs/>
          <w:sz w:val="22"/>
          <w:szCs w:val="22"/>
          <w:lang w:eastAsia="en-US"/>
        </w:rPr>
      </w:pPr>
      <w:bookmarkStart w:id="34" w:name="_Toc72917595"/>
      <w:r w:rsidRPr="006F34D7">
        <w:rPr>
          <w:rFonts w:eastAsiaTheme="minorHAnsi" w:cs="Times New Roman"/>
          <w:b w:val="0"/>
          <w:bCs w:val="0"/>
          <w:i/>
          <w:iCs/>
          <w:sz w:val="22"/>
          <w:szCs w:val="22"/>
          <w:lang w:eastAsia="en-US"/>
        </w:rPr>
        <w:t xml:space="preserve">Таблица </w:t>
      </w:r>
      <w:r w:rsidRPr="006F34D7">
        <w:rPr>
          <w:rFonts w:eastAsiaTheme="minorHAnsi" w:cs="Times New Roman"/>
          <w:b w:val="0"/>
          <w:bCs w:val="0"/>
          <w:i/>
          <w:iCs/>
          <w:sz w:val="22"/>
          <w:szCs w:val="22"/>
          <w:lang w:eastAsia="en-US"/>
        </w:rPr>
        <w:fldChar w:fldCharType="begin"/>
      </w:r>
      <w:r w:rsidRPr="006F34D7">
        <w:rPr>
          <w:rFonts w:eastAsiaTheme="minorHAnsi" w:cs="Times New Roman"/>
          <w:b w:val="0"/>
          <w:bCs w:val="0"/>
          <w:i/>
          <w:iCs/>
          <w:sz w:val="22"/>
          <w:szCs w:val="22"/>
          <w:lang w:eastAsia="en-US"/>
        </w:rPr>
        <w:instrText xml:space="preserve"> SEQ Таблица \* ARABIC </w:instrText>
      </w:r>
      <w:r w:rsidRPr="006F34D7">
        <w:rPr>
          <w:rFonts w:eastAsiaTheme="minorHAnsi" w:cs="Times New Roman"/>
          <w:b w:val="0"/>
          <w:bCs w:val="0"/>
          <w:i/>
          <w:iCs/>
          <w:sz w:val="22"/>
          <w:szCs w:val="22"/>
          <w:lang w:eastAsia="en-US"/>
        </w:rPr>
        <w:fldChar w:fldCharType="separate"/>
      </w:r>
      <w:r w:rsidR="00E050A8">
        <w:rPr>
          <w:rFonts w:eastAsiaTheme="minorHAnsi" w:cs="Times New Roman"/>
          <w:b w:val="0"/>
          <w:bCs w:val="0"/>
          <w:i/>
          <w:iCs/>
          <w:noProof/>
          <w:sz w:val="22"/>
          <w:szCs w:val="22"/>
          <w:lang w:eastAsia="en-US"/>
        </w:rPr>
        <w:t>5</w:t>
      </w:r>
      <w:r w:rsidRPr="006F34D7">
        <w:rPr>
          <w:rFonts w:eastAsiaTheme="minorHAnsi" w:cs="Times New Roman"/>
          <w:b w:val="0"/>
          <w:bCs w:val="0"/>
          <w:i/>
          <w:iCs/>
          <w:sz w:val="22"/>
          <w:szCs w:val="22"/>
          <w:lang w:eastAsia="en-US"/>
        </w:rPr>
        <w:fldChar w:fldCharType="end"/>
      </w:r>
      <w:r w:rsidRPr="006F34D7">
        <w:rPr>
          <w:rFonts w:eastAsiaTheme="minorHAnsi" w:cs="Times New Roman"/>
          <w:b w:val="0"/>
          <w:bCs w:val="0"/>
          <w:i/>
          <w:iCs/>
          <w:sz w:val="22"/>
          <w:szCs w:val="22"/>
          <w:lang w:eastAsia="en-US"/>
        </w:rPr>
        <w:t xml:space="preserve"> </w:t>
      </w:r>
      <w:r w:rsidR="000532D9" w:rsidRPr="006F34D7">
        <w:rPr>
          <w:rFonts w:eastAsiaTheme="minorHAnsi" w:cs="Times New Roman"/>
          <w:b w:val="0"/>
          <w:bCs w:val="0"/>
          <w:i/>
          <w:iCs/>
          <w:sz w:val="22"/>
          <w:szCs w:val="22"/>
          <w:lang w:eastAsia="en-US"/>
        </w:rPr>
        <w:t>Иззета вода по водоизточници и сектори в България за периода 2010 – 2018 г.</w:t>
      </w:r>
      <w:bookmarkEnd w:id="34"/>
    </w:p>
    <w:tbl>
      <w:tblPr>
        <w:tblW w:w="5096" w:type="pct"/>
        <w:tblInd w:w="-180" w:type="dxa"/>
        <w:tblLayout w:type="fixed"/>
        <w:tblLook w:val="04A0" w:firstRow="1" w:lastRow="0" w:firstColumn="1" w:lastColumn="0" w:noHBand="0" w:noVBand="1"/>
      </w:tblPr>
      <w:tblGrid>
        <w:gridCol w:w="2247"/>
        <w:gridCol w:w="811"/>
        <w:gridCol w:w="811"/>
        <w:gridCol w:w="811"/>
        <w:gridCol w:w="809"/>
        <w:gridCol w:w="811"/>
        <w:gridCol w:w="809"/>
        <w:gridCol w:w="811"/>
        <w:gridCol w:w="809"/>
        <w:gridCol w:w="811"/>
      </w:tblGrid>
      <w:tr w:rsidR="000532D9" w:rsidRPr="00E15F8F" w14:paraId="29DD50A5" w14:textId="77777777" w:rsidTr="0047737A">
        <w:trPr>
          <w:trHeight w:val="210"/>
        </w:trPr>
        <w:tc>
          <w:tcPr>
            <w:tcW w:w="1178" w:type="pct"/>
            <w:tcBorders>
              <w:top w:val="nil"/>
              <w:left w:val="nil"/>
              <w:bottom w:val="nil"/>
              <w:right w:val="nil"/>
            </w:tcBorders>
            <w:shd w:val="clear" w:color="auto" w:fill="auto"/>
            <w:noWrap/>
            <w:vAlign w:val="bottom"/>
            <w:hideMark/>
          </w:tcPr>
          <w:p w14:paraId="2FDCF36D"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p>
        </w:tc>
        <w:tc>
          <w:tcPr>
            <w:tcW w:w="425" w:type="pct"/>
            <w:tcBorders>
              <w:top w:val="nil"/>
              <w:left w:val="nil"/>
              <w:bottom w:val="nil"/>
              <w:right w:val="nil"/>
            </w:tcBorders>
            <w:shd w:val="clear" w:color="auto" w:fill="auto"/>
            <w:noWrap/>
            <w:vAlign w:val="bottom"/>
            <w:hideMark/>
          </w:tcPr>
          <w:p w14:paraId="4A736F8B"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p>
        </w:tc>
        <w:tc>
          <w:tcPr>
            <w:tcW w:w="425" w:type="pct"/>
            <w:tcBorders>
              <w:top w:val="nil"/>
              <w:left w:val="nil"/>
              <w:bottom w:val="nil"/>
              <w:right w:val="nil"/>
            </w:tcBorders>
            <w:shd w:val="clear" w:color="auto" w:fill="auto"/>
            <w:noWrap/>
            <w:vAlign w:val="bottom"/>
            <w:hideMark/>
          </w:tcPr>
          <w:p w14:paraId="498B0442"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p>
        </w:tc>
        <w:tc>
          <w:tcPr>
            <w:tcW w:w="425" w:type="pct"/>
            <w:tcBorders>
              <w:top w:val="nil"/>
              <w:left w:val="nil"/>
              <w:bottom w:val="nil"/>
              <w:right w:val="nil"/>
            </w:tcBorders>
            <w:shd w:val="clear" w:color="auto" w:fill="auto"/>
            <w:noWrap/>
            <w:vAlign w:val="bottom"/>
            <w:hideMark/>
          </w:tcPr>
          <w:p w14:paraId="752F2CDE"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p>
        </w:tc>
        <w:tc>
          <w:tcPr>
            <w:tcW w:w="424" w:type="pct"/>
            <w:tcBorders>
              <w:top w:val="nil"/>
              <w:left w:val="nil"/>
              <w:bottom w:val="nil"/>
              <w:right w:val="nil"/>
            </w:tcBorders>
            <w:shd w:val="clear" w:color="auto" w:fill="auto"/>
            <w:noWrap/>
            <w:vAlign w:val="bottom"/>
            <w:hideMark/>
          </w:tcPr>
          <w:p w14:paraId="2DD93922"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p>
        </w:tc>
        <w:tc>
          <w:tcPr>
            <w:tcW w:w="425" w:type="pct"/>
            <w:tcBorders>
              <w:top w:val="nil"/>
              <w:left w:val="nil"/>
              <w:bottom w:val="nil"/>
              <w:right w:val="nil"/>
            </w:tcBorders>
            <w:shd w:val="clear" w:color="auto" w:fill="auto"/>
            <w:noWrap/>
            <w:vAlign w:val="bottom"/>
            <w:hideMark/>
          </w:tcPr>
          <w:p w14:paraId="0171AA31"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p>
        </w:tc>
        <w:tc>
          <w:tcPr>
            <w:tcW w:w="424" w:type="pct"/>
            <w:tcBorders>
              <w:top w:val="nil"/>
              <w:left w:val="nil"/>
              <w:bottom w:val="nil"/>
              <w:right w:val="nil"/>
            </w:tcBorders>
            <w:shd w:val="clear" w:color="auto" w:fill="auto"/>
            <w:noWrap/>
            <w:vAlign w:val="bottom"/>
            <w:hideMark/>
          </w:tcPr>
          <w:p w14:paraId="009ACF4E"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p>
        </w:tc>
        <w:tc>
          <w:tcPr>
            <w:tcW w:w="425" w:type="pct"/>
            <w:tcBorders>
              <w:top w:val="nil"/>
              <w:left w:val="nil"/>
              <w:bottom w:val="nil"/>
              <w:right w:val="nil"/>
            </w:tcBorders>
            <w:shd w:val="clear" w:color="auto" w:fill="auto"/>
            <w:noWrap/>
            <w:vAlign w:val="bottom"/>
            <w:hideMark/>
          </w:tcPr>
          <w:p w14:paraId="4E0F8AF9"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p>
        </w:tc>
        <w:tc>
          <w:tcPr>
            <w:tcW w:w="849" w:type="pct"/>
            <w:gridSpan w:val="2"/>
            <w:tcBorders>
              <w:top w:val="nil"/>
              <w:left w:val="nil"/>
              <w:bottom w:val="nil"/>
              <w:right w:val="nil"/>
            </w:tcBorders>
            <w:shd w:val="clear" w:color="auto" w:fill="auto"/>
            <w:noWrap/>
            <w:vAlign w:val="bottom"/>
            <w:hideMark/>
          </w:tcPr>
          <w:p w14:paraId="45535B2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(Млн.куб.м/год.)</w:t>
            </w:r>
          </w:p>
        </w:tc>
      </w:tr>
      <w:tr w:rsidR="000532D9" w:rsidRPr="00E15F8F" w14:paraId="4F5758EC" w14:textId="77777777" w:rsidTr="0047737A">
        <w:trPr>
          <w:trHeight w:val="283"/>
        </w:trPr>
        <w:tc>
          <w:tcPr>
            <w:tcW w:w="1178" w:type="pct"/>
            <w:tcBorders>
              <w:top w:val="single" w:sz="8" w:space="0" w:color="969696"/>
              <w:left w:val="single" w:sz="8" w:space="0" w:color="969696"/>
              <w:bottom w:val="single" w:sz="8" w:space="0" w:color="969696"/>
              <w:right w:val="single" w:sz="8" w:space="0" w:color="969696"/>
            </w:tcBorders>
            <w:shd w:val="clear" w:color="auto" w:fill="DEEAF6" w:themeFill="accent5" w:themeFillTint="33"/>
            <w:noWrap/>
            <w:vAlign w:val="bottom"/>
            <w:hideMark/>
          </w:tcPr>
          <w:p w14:paraId="2A6BA37B" w14:textId="77777777" w:rsidR="000532D9" w:rsidRPr="00E15F8F" w:rsidRDefault="000532D9" w:rsidP="000532D9">
            <w:pPr>
              <w:spacing w:after="0" w:line="240" w:lineRule="auto"/>
              <w:jc w:val="center"/>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w:t>
            </w:r>
          </w:p>
        </w:tc>
        <w:tc>
          <w:tcPr>
            <w:tcW w:w="425"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7E6B81D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2010</w:t>
            </w:r>
          </w:p>
        </w:tc>
        <w:tc>
          <w:tcPr>
            <w:tcW w:w="425"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7D61255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2011</w:t>
            </w:r>
          </w:p>
        </w:tc>
        <w:tc>
          <w:tcPr>
            <w:tcW w:w="425"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12E26DC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2012</w:t>
            </w:r>
          </w:p>
        </w:tc>
        <w:tc>
          <w:tcPr>
            <w:tcW w:w="424"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1399FF7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2013</w:t>
            </w:r>
          </w:p>
        </w:tc>
        <w:tc>
          <w:tcPr>
            <w:tcW w:w="425"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15E9B34D"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2014</w:t>
            </w:r>
          </w:p>
        </w:tc>
        <w:tc>
          <w:tcPr>
            <w:tcW w:w="424"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4190404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2015</w:t>
            </w:r>
          </w:p>
        </w:tc>
        <w:tc>
          <w:tcPr>
            <w:tcW w:w="425"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55FDC8B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2016</w:t>
            </w:r>
          </w:p>
        </w:tc>
        <w:tc>
          <w:tcPr>
            <w:tcW w:w="424"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0409084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2017</w:t>
            </w:r>
          </w:p>
        </w:tc>
        <w:tc>
          <w:tcPr>
            <w:tcW w:w="425"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698FDE7D"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2018</w:t>
            </w:r>
          </w:p>
        </w:tc>
      </w:tr>
      <w:tr w:rsidR="000532D9" w:rsidRPr="00E15F8F" w14:paraId="5465FDAC"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64FB24B5" w14:textId="3563090B" w:rsidR="000532D9" w:rsidRPr="00E15F8F" w:rsidRDefault="000532D9" w:rsidP="000532D9">
            <w:pPr>
              <w:spacing w:after="0" w:line="240" w:lineRule="auto"/>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 xml:space="preserve">Иззета прясна вода </w:t>
            </w:r>
            <w:r w:rsidR="00CC7432" w:rsidRPr="00E15F8F">
              <w:rPr>
                <w:rFonts w:ascii="Times New Roman" w:eastAsia="Times New Roman" w:hAnsi="Times New Roman" w:cs="Times New Roman"/>
                <w:b/>
                <w:bCs/>
                <w:sz w:val="18"/>
                <w:szCs w:val="18"/>
                <w:lang w:val="bg-BG"/>
              </w:rPr>
              <w:t>–</w:t>
            </w:r>
            <w:r w:rsidRPr="00E15F8F">
              <w:rPr>
                <w:rFonts w:ascii="Times New Roman" w:eastAsia="Times New Roman" w:hAnsi="Times New Roman" w:cs="Times New Roman"/>
                <w:b/>
                <w:bCs/>
                <w:sz w:val="18"/>
                <w:szCs w:val="18"/>
                <w:lang w:val="bg-BG"/>
              </w:rPr>
              <w:t xml:space="preserve"> бруто</w:t>
            </w:r>
          </w:p>
        </w:tc>
        <w:tc>
          <w:tcPr>
            <w:tcW w:w="425" w:type="pct"/>
            <w:tcBorders>
              <w:top w:val="nil"/>
              <w:left w:val="nil"/>
              <w:bottom w:val="single" w:sz="8" w:space="0" w:color="969696"/>
              <w:right w:val="single" w:sz="8" w:space="0" w:color="969696"/>
            </w:tcBorders>
            <w:shd w:val="clear" w:color="auto" w:fill="auto"/>
            <w:noWrap/>
            <w:vAlign w:val="bottom"/>
            <w:hideMark/>
          </w:tcPr>
          <w:p w14:paraId="11BC1ED4"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5960.09</w:t>
            </w:r>
          </w:p>
        </w:tc>
        <w:tc>
          <w:tcPr>
            <w:tcW w:w="425" w:type="pct"/>
            <w:tcBorders>
              <w:top w:val="nil"/>
              <w:left w:val="nil"/>
              <w:bottom w:val="single" w:sz="8" w:space="0" w:color="969696"/>
              <w:right w:val="single" w:sz="8" w:space="0" w:color="969696"/>
            </w:tcBorders>
            <w:shd w:val="clear" w:color="auto" w:fill="auto"/>
            <w:noWrap/>
            <w:vAlign w:val="bottom"/>
            <w:hideMark/>
          </w:tcPr>
          <w:p w14:paraId="78F77424"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6385.10</w:t>
            </w:r>
          </w:p>
        </w:tc>
        <w:tc>
          <w:tcPr>
            <w:tcW w:w="425" w:type="pct"/>
            <w:tcBorders>
              <w:top w:val="nil"/>
              <w:left w:val="nil"/>
              <w:bottom w:val="single" w:sz="8" w:space="0" w:color="969696"/>
              <w:right w:val="single" w:sz="8" w:space="0" w:color="969696"/>
            </w:tcBorders>
            <w:shd w:val="clear" w:color="auto" w:fill="auto"/>
            <w:noWrap/>
            <w:vAlign w:val="bottom"/>
            <w:hideMark/>
          </w:tcPr>
          <w:p w14:paraId="482F9412"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5715.05</w:t>
            </w:r>
          </w:p>
        </w:tc>
        <w:tc>
          <w:tcPr>
            <w:tcW w:w="424" w:type="pct"/>
            <w:tcBorders>
              <w:top w:val="nil"/>
              <w:left w:val="nil"/>
              <w:bottom w:val="single" w:sz="8" w:space="0" w:color="969696"/>
              <w:right w:val="single" w:sz="8" w:space="0" w:color="969696"/>
            </w:tcBorders>
            <w:shd w:val="clear" w:color="auto" w:fill="auto"/>
            <w:noWrap/>
            <w:vAlign w:val="bottom"/>
            <w:hideMark/>
          </w:tcPr>
          <w:p w14:paraId="64504E47"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5468.22</w:t>
            </w:r>
          </w:p>
        </w:tc>
        <w:tc>
          <w:tcPr>
            <w:tcW w:w="425" w:type="pct"/>
            <w:tcBorders>
              <w:top w:val="nil"/>
              <w:left w:val="nil"/>
              <w:bottom w:val="single" w:sz="8" w:space="0" w:color="969696"/>
              <w:right w:val="single" w:sz="8" w:space="0" w:color="969696"/>
            </w:tcBorders>
            <w:shd w:val="clear" w:color="auto" w:fill="auto"/>
            <w:noWrap/>
            <w:vAlign w:val="bottom"/>
            <w:hideMark/>
          </w:tcPr>
          <w:p w14:paraId="77D7EE87"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5375.56</w:t>
            </w:r>
          </w:p>
        </w:tc>
        <w:tc>
          <w:tcPr>
            <w:tcW w:w="424" w:type="pct"/>
            <w:tcBorders>
              <w:top w:val="nil"/>
              <w:left w:val="nil"/>
              <w:bottom w:val="single" w:sz="8" w:space="0" w:color="969696"/>
              <w:right w:val="single" w:sz="8" w:space="0" w:color="969696"/>
            </w:tcBorders>
            <w:shd w:val="clear" w:color="auto" w:fill="auto"/>
            <w:noWrap/>
            <w:vAlign w:val="bottom"/>
            <w:hideMark/>
          </w:tcPr>
          <w:p w14:paraId="31E6B119"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5629.11</w:t>
            </w:r>
          </w:p>
        </w:tc>
        <w:tc>
          <w:tcPr>
            <w:tcW w:w="425" w:type="pct"/>
            <w:tcBorders>
              <w:top w:val="nil"/>
              <w:left w:val="nil"/>
              <w:bottom w:val="single" w:sz="8" w:space="0" w:color="969696"/>
              <w:right w:val="single" w:sz="8" w:space="0" w:color="969696"/>
            </w:tcBorders>
            <w:shd w:val="clear" w:color="auto" w:fill="auto"/>
            <w:noWrap/>
            <w:vAlign w:val="bottom"/>
            <w:hideMark/>
          </w:tcPr>
          <w:p w14:paraId="7A24CFE4"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5689.26</w:t>
            </w:r>
          </w:p>
        </w:tc>
        <w:tc>
          <w:tcPr>
            <w:tcW w:w="424" w:type="pct"/>
            <w:tcBorders>
              <w:top w:val="nil"/>
              <w:left w:val="nil"/>
              <w:bottom w:val="single" w:sz="8" w:space="0" w:color="969696"/>
              <w:right w:val="single" w:sz="8" w:space="0" w:color="969696"/>
            </w:tcBorders>
            <w:shd w:val="clear" w:color="auto" w:fill="auto"/>
            <w:noWrap/>
            <w:vAlign w:val="bottom"/>
            <w:hideMark/>
          </w:tcPr>
          <w:p w14:paraId="7148466D"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5657.99</w:t>
            </w:r>
          </w:p>
        </w:tc>
        <w:tc>
          <w:tcPr>
            <w:tcW w:w="425" w:type="pct"/>
            <w:tcBorders>
              <w:top w:val="nil"/>
              <w:left w:val="nil"/>
              <w:bottom w:val="single" w:sz="8" w:space="0" w:color="969696"/>
              <w:right w:val="single" w:sz="8" w:space="0" w:color="969696"/>
            </w:tcBorders>
            <w:shd w:val="clear" w:color="auto" w:fill="auto"/>
            <w:noWrap/>
            <w:vAlign w:val="bottom"/>
            <w:hideMark/>
          </w:tcPr>
          <w:p w14:paraId="7CC2B350"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5425.23</w:t>
            </w:r>
          </w:p>
        </w:tc>
      </w:tr>
      <w:tr w:rsidR="000532D9" w:rsidRPr="00E15F8F" w14:paraId="2E97A244"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67C181D4"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lastRenderedPageBreak/>
              <w:t>Обществено водоснабдяване (ВиК)</w:t>
            </w:r>
          </w:p>
        </w:tc>
        <w:tc>
          <w:tcPr>
            <w:tcW w:w="425" w:type="pct"/>
            <w:tcBorders>
              <w:top w:val="nil"/>
              <w:left w:val="nil"/>
              <w:bottom w:val="single" w:sz="8" w:space="0" w:color="969696"/>
              <w:right w:val="single" w:sz="8" w:space="0" w:color="969696"/>
            </w:tcBorders>
            <w:shd w:val="clear" w:color="auto" w:fill="auto"/>
            <w:noWrap/>
            <w:vAlign w:val="bottom"/>
            <w:hideMark/>
          </w:tcPr>
          <w:p w14:paraId="059E93C3"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929.41</w:t>
            </w:r>
          </w:p>
        </w:tc>
        <w:tc>
          <w:tcPr>
            <w:tcW w:w="425" w:type="pct"/>
            <w:tcBorders>
              <w:top w:val="nil"/>
              <w:left w:val="nil"/>
              <w:bottom w:val="single" w:sz="8" w:space="0" w:color="969696"/>
              <w:right w:val="single" w:sz="8" w:space="0" w:color="969696"/>
            </w:tcBorders>
            <w:shd w:val="clear" w:color="auto" w:fill="auto"/>
            <w:noWrap/>
            <w:vAlign w:val="bottom"/>
            <w:hideMark/>
          </w:tcPr>
          <w:p w14:paraId="2F9748F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916.55</w:t>
            </w:r>
          </w:p>
        </w:tc>
        <w:tc>
          <w:tcPr>
            <w:tcW w:w="425" w:type="pct"/>
            <w:tcBorders>
              <w:top w:val="nil"/>
              <w:left w:val="nil"/>
              <w:bottom w:val="single" w:sz="8" w:space="0" w:color="969696"/>
              <w:right w:val="single" w:sz="8" w:space="0" w:color="969696"/>
            </w:tcBorders>
            <w:shd w:val="clear" w:color="auto" w:fill="auto"/>
            <w:noWrap/>
            <w:vAlign w:val="bottom"/>
            <w:hideMark/>
          </w:tcPr>
          <w:p w14:paraId="59D76DF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933.82</w:t>
            </w:r>
          </w:p>
        </w:tc>
        <w:tc>
          <w:tcPr>
            <w:tcW w:w="424" w:type="pct"/>
            <w:tcBorders>
              <w:top w:val="nil"/>
              <w:left w:val="nil"/>
              <w:bottom w:val="single" w:sz="8" w:space="0" w:color="969696"/>
              <w:right w:val="single" w:sz="8" w:space="0" w:color="969696"/>
            </w:tcBorders>
            <w:shd w:val="clear" w:color="auto" w:fill="auto"/>
            <w:noWrap/>
            <w:vAlign w:val="bottom"/>
            <w:hideMark/>
          </w:tcPr>
          <w:p w14:paraId="38A1AF9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911.23</w:t>
            </w:r>
          </w:p>
        </w:tc>
        <w:tc>
          <w:tcPr>
            <w:tcW w:w="425" w:type="pct"/>
            <w:tcBorders>
              <w:top w:val="nil"/>
              <w:left w:val="nil"/>
              <w:bottom w:val="single" w:sz="8" w:space="0" w:color="969696"/>
              <w:right w:val="single" w:sz="8" w:space="0" w:color="969696"/>
            </w:tcBorders>
            <w:shd w:val="clear" w:color="auto" w:fill="auto"/>
            <w:noWrap/>
            <w:vAlign w:val="bottom"/>
            <w:hideMark/>
          </w:tcPr>
          <w:p w14:paraId="2DD8E83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856.16</w:t>
            </w:r>
          </w:p>
        </w:tc>
        <w:tc>
          <w:tcPr>
            <w:tcW w:w="424" w:type="pct"/>
            <w:tcBorders>
              <w:top w:val="nil"/>
              <w:left w:val="nil"/>
              <w:bottom w:val="single" w:sz="8" w:space="0" w:color="969696"/>
              <w:right w:val="single" w:sz="8" w:space="0" w:color="969696"/>
            </w:tcBorders>
            <w:shd w:val="clear" w:color="auto" w:fill="auto"/>
            <w:noWrap/>
            <w:vAlign w:val="bottom"/>
            <w:hideMark/>
          </w:tcPr>
          <w:p w14:paraId="7550D1E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869.30</w:t>
            </w:r>
          </w:p>
        </w:tc>
        <w:tc>
          <w:tcPr>
            <w:tcW w:w="425" w:type="pct"/>
            <w:tcBorders>
              <w:top w:val="nil"/>
              <w:left w:val="nil"/>
              <w:bottom w:val="single" w:sz="8" w:space="0" w:color="969696"/>
              <w:right w:val="single" w:sz="8" w:space="0" w:color="969696"/>
            </w:tcBorders>
            <w:shd w:val="clear" w:color="auto" w:fill="auto"/>
            <w:noWrap/>
            <w:vAlign w:val="bottom"/>
            <w:hideMark/>
          </w:tcPr>
          <w:p w14:paraId="389181E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875.36</w:t>
            </w:r>
          </w:p>
        </w:tc>
        <w:tc>
          <w:tcPr>
            <w:tcW w:w="424" w:type="pct"/>
            <w:tcBorders>
              <w:top w:val="nil"/>
              <w:left w:val="nil"/>
              <w:bottom w:val="single" w:sz="8" w:space="0" w:color="969696"/>
              <w:right w:val="single" w:sz="8" w:space="0" w:color="969696"/>
            </w:tcBorders>
            <w:shd w:val="clear" w:color="auto" w:fill="auto"/>
            <w:noWrap/>
            <w:vAlign w:val="bottom"/>
            <w:hideMark/>
          </w:tcPr>
          <w:p w14:paraId="413165D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881.98</w:t>
            </w:r>
          </w:p>
        </w:tc>
        <w:tc>
          <w:tcPr>
            <w:tcW w:w="425" w:type="pct"/>
            <w:tcBorders>
              <w:top w:val="nil"/>
              <w:left w:val="nil"/>
              <w:bottom w:val="single" w:sz="8" w:space="0" w:color="969696"/>
              <w:right w:val="single" w:sz="8" w:space="0" w:color="969696"/>
            </w:tcBorders>
            <w:shd w:val="clear" w:color="auto" w:fill="auto"/>
            <w:noWrap/>
            <w:vAlign w:val="bottom"/>
            <w:hideMark/>
          </w:tcPr>
          <w:p w14:paraId="1F1CCAA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841.36</w:t>
            </w:r>
          </w:p>
        </w:tc>
      </w:tr>
      <w:tr w:rsidR="000532D9" w:rsidRPr="00E15F8F" w14:paraId="259E69B0"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0A38E1A0"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Селско, горско и рибно стопанство</w:t>
            </w:r>
          </w:p>
        </w:tc>
        <w:tc>
          <w:tcPr>
            <w:tcW w:w="425" w:type="pct"/>
            <w:tcBorders>
              <w:top w:val="nil"/>
              <w:left w:val="nil"/>
              <w:bottom w:val="single" w:sz="8" w:space="0" w:color="969696"/>
              <w:right w:val="single" w:sz="8" w:space="0" w:color="969696"/>
            </w:tcBorders>
            <w:shd w:val="clear" w:color="auto" w:fill="auto"/>
            <w:noWrap/>
            <w:vAlign w:val="bottom"/>
            <w:hideMark/>
          </w:tcPr>
          <w:p w14:paraId="43345F3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939.35</w:t>
            </w:r>
          </w:p>
        </w:tc>
        <w:tc>
          <w:tcPr>
            <w:tcW w:w="425" w:type="pct"/>
            <w:tcBorders>
              <w:top w:val="nil"/>
              <w:left w:val="nil"/>
              <w:bottom w:val="single" w:sz="8" w:space="0" w:color="969696"/>
              <w:right w:val="single" w:sz="8" w:space="0" w:color="969696"/>
            </w:tcBorders>
            <w:shd w:val="clear" w:color="auto" w:fill="auto"/>
            <w:noWrap/>
            <w:vAlign w:val="bottom"/>
            <w:hideMark/>
          </w:tcPr>
          <w:p w14:paraId="4B357B4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1049.80</w:t>
            </w:r>
          </w:p>
        </w:tc>
        <w:tc>
          <w:tcPr>
            <w:tcW w:w="425" w:type="pct"/>
            <w:tcBorders>
              <w:top w:val="nil"/>
              <w:left w:val="nil"/>
              <w:bottom w:val="single" w:sz="8" w:space="0" w:color="969696"/>
              <w:right w:val="single" w:sz="8" w:space="0" w:color="969696"/>
            </w:tcBorders>
            <w:shd w:val="clear" w:color="auto" w:fill="auto"/>
            <w:noWrap/>
            <w:vAlign w:val="bottom"/>
            <w:hideMark/>
          </w:tcPr>
          <w:p w14:paraId="5DC7126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949.40</w:t>
            </w:r>
          </w:p>
        </w:tc>
        <w:tc>
          <w:tcPr>
            <w:tcW w:w="424" w:type="pct"/>
            <w:tcBorders>
              <w:top w:val="nil"/>
              <w:left w:val="nil"/>
              <w:bottom w:val="single" w:sz="8" w:space="0" w:color="969696"/>
              <w:right w:val="single" w:sz="8" w:space="0" w:color="969696"/>
            </w:tcBorders>
            <w:shd w:val="clear" w:color="auto" w:fill="auto"/>
            <w:noWrap/>
            <w:vAlign w:val="bottom"/>
            <w:hideMark/>
          </w:tcPr>
          <w:p w14:paraId="391A01C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825.02</w:t>
            </w:r>
          </w:p>
        </w:tc>
        <w:tc>
          <w:tcPr>
            <w:tcW w:w="425" w:type="pct"/>
            <w:tcBorders>
              <w:top w:val="nil"/>
              <w:left w:val="nil"/>
              <w:bottom w:val="single" w:sz="8" w:space="0" w:color="969696"/>
              <w:right w:val="single" w:sz="8" w:space="0" w:color="969696"/>
            </w:tcBorders>
            <w:shd w:val="clear" w:color="auto" w:fill="auto"/>
            <w:noWrap/>
            <w:vAlign w:val="bottom"/>
            <w:hideMark/>
          </w:tcPr>
          <w:p w14:paraId="35C36C5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726.55</w:t>
            </w:r>
          </w:p>
        </w:tc>
        <w:tc>
          <w:tcPr>
            <w:tcW w:w="424" w:type="pct"/>
            <w:tcBorders>
              <w:top w:val="nil"/>
              <w:left w:val="nil"/>
              <w:bottom w:val="single" w:sz="8" w:space="0" w:color="969696"/>
              <w:right w:val="single" w:sz="8" w:space="0" w:color="969696"/>
            </w:tcBorders>
            <w:shd w:val="clear" w:color="auto" w:fill="auto"/>
            <w:noWrap/>
            <w:vAlign w:val="bottom"/>
            <w:hideMark/>
          </w:tcPr>
          <w:p w14:paraId="252003C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828.84</w:t>
            </w:r>
          </w:p>
        </w:tc>
        <w:tc>
          <w:tcPr>
            <w:tcW w:w="425" w:type="pct"/>
            <w:tcBorders>
              <w:top w:val="nil"/>
              <w:left w:val="nil"/>
              <w:bottom w:val="single" w:sz="8" w:space="0" w:color="969696"/>
              <w:right w:val="single" w:sz="8" w:space="0" w:color="969696"/>
            </w:tcBorders>
            <w:shd w:val="clear" w:color="auto" w:fill="auto"/>
            <w:noWrap/>
            <w:vAlign w:val="bottom"/>
            <w:hideMark/>
          </w:tcPr>
          <w:p w14:paraId="583E79C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907.54</w:t>
            </w:r>
          </w:p>
        </w:tc>
        <w:tc>
          <w:tcPr>
            <w:tcW w:w="424" w:type="pct"/>
            <w:tcBorders>
              <w:top w:val="nil"/>
              <w:left w:val="nil"/>
              <w:bottom w:val="single" w:sz="8" w:space="0" w:color="969696"/>
              <w:right w:val="single" w:sz="8" w:space="0" w:color="969696"/>
            </w:tcBorders>
            <w:shd w:val="clear" w:color="auto" w:fill="auto"/>
            <w:noWrap/>
            <w:vAlign w:val="bottom"/>
            <w:hideMark/>
          </w:tcPr>
          <w:p w14:paraId="6FD3C5B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834.50</w:t>
            </w:r>
          </w:p>
        </w:tc>
        <w:tc>
          <w:tcPr>
            <w:tcW w:w="425" w:type="pct"/>
            <w:tcBorders>
              <w:top w:val="nil"/>
              <w:left w:val="nil"/>
              <w:bottom w:val="single" w:sz="8" w:space="0" w:color="969696"/>
              <w:right w:val="single" w:sz="8" w:space="0" w:color="969696"/>
            </w:tcBorders>
            <w:shd w:val="clear" w:color="auto" w:fill="auto"/>
            <w:noWrap/>
            <w:vAlign w:val="bottom"/>
            <w:hideMark/>
          </w:tcPr>
          <w:p w14:paraId="2A554E0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723.59</w:t>
            </w:r>
          </w:p>
        </w:tc>
      </w:tr>
      <w:tr w:rsidR="000532D9" w:rsidRPr="00E15F8F" w14:paraId="31D5E53F"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494938F0"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Индустрия:</w:t>
            </w:r>
          </w:p>
        </w:tc>
        <w:tc>
          <w:tcPr>
            <w:tcW w:w="425" w:type="pct"/>
            <w:tcBorders>
              <w:top w:val="nil"/>
              <w:left w:val="nil"/>
              <w:bottom w:val="single" w:sz="8" w:space="0" w:color="969696"/>
              <w:right w:val="single" w:sz="8" w:space="0" w:color="969696"/>
            </w:tcBorders>
            <w:shd w:val="clear" w:color="auto" w:fill="auto"/>
            <w:noWrap/>
            <w:vAlign w:val="bottom"/>
            <w:hideMark/>
          </w:tcPr>
          <w:p w14:paraId="191A2B4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4076.32</w:t>
            </w:r>
          </w:p>
        </w:tc>
        <w:tc>
          <w:tcPr>
            <w:tcW w:w="425" w:type="pct"/>
            <w:tcBorders>
              <w:top w:val="nil"/>
              <w:left w:val="nil"/>
              <w:bottom w:val="single" w:sz="8" w:space="0" w:color="969696"/>
              <w:right w:val="single" w:sz="8" w:space="0" w:color="969696"/>
            </w:tcBorders>
            <w:shd w:val="clear" w:color="auto" w:fill="auto"/>
            <w:noWrap/>
            <w:vAlign w:val="bottom"/>
            <w:hideMark/>
          </w:tcPr>
          <w:p w14:paraId="1BFAFF5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4405.20</w:t>
            </w:r>
          </w:p>
        </w:tc>
        <w:tc>
          <w:tcPr>
            <w:tcW w:w="425" w:type="pct"/>
            <w:tcBorders>
              <w:top w:val="nil"/>
              <w:left w:val="nil"/>
              <w:bottom w:val="single" w:sz="8" w:space="0" w:color="969696"/>
              <w:right w:val="single" w:sz="8" w:space="0" w:color="969696"/>
            </w:tcBorders>
            <w:shd w:val="clear" w:color="auto" w:fill="auto"/>
            <w:noWrap/>
            <w:vAlign w:val="bottom"/>
            <w:hideMark/>
          </w:tcPr>
          <w:p w14:paraId="0722571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3817.35</w:t>
            </w:r>
          </w:p>
        </w:tc>
        <w:tc>
          <w:tcPr>
            <w:tcW w:w="424" w:type="pct"/>
            <w:tcBorders>
              <w:top w:val="nil"/>
              <w:left w:val="nil"/>
              <w:bottom w:val="single" w:sz="8" w:space="0" w:color="969696"/>
              <w:right w:val="single" w:sz="8" w:space="0" w:color="969696"/>
            </w:tcBorders>
            <w:shd w:val="clear" w:color="auto" w:fill="auto"/>
            <w:noWrap/>
            <w:vAlign w:val="bottom"/>
            <w:hideMark/>
          </w:tcPr>
          <w:p w14:paraId="4B73E6D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3701.04</w:t>
            </w:r>
          </w:p>
        </w:tc>
        <w:tc>
          <w:tcPr>
            <w:tcW w:w="425" w:type="pct"/>
            <w:tcBorders>
              <w:top w:val="nil"/>
              <w:left w:val="nil"/>
              <w:bottom w:val="single" w:sz="8" w:space="0" w:color="969696"/>
              <w:right w:val="single" w:sz="8" w:space="0" w:color="969696"/>
            </w:tcBorders>
            <w:shd w:val="clear" w:color="auto" w:fill="auto"/>
            <w:noWrap/>
            <w:vAlign w:val="bottom"/>
            <w:hideMark/>
          </w:tcPr>
          <w:p w14:paraId="386ADB7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3761.77</w:t>
            </w:r>
          </w:p>
        </w:tc>
        <w:tc>
          <w:tcPr>
            <w:tcW w:w="424" w:type="pct"/>
            <w:tcBorders>
              <w:top w:val="nil"/>
              <w:left w:val="nil"/>
              <w:bottom w:val="single" w:sz="8" w:space="0" w:color="969696"/>
              <w:right w:val="single" w:sz="8" w:space="0" w:color="969696"/>
            </w:tcBorders>
            <w:shd w:val="clear" w:color="auto" w:fill="auto"/>
            <w:noWrap/>
            <w:vAlign w:val="bottom"/>
            <w:hideMark/>
          </w:tcPr>
          <w:p w14:paraId="7672EBAD"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3900.63</w:t>
            </w:r>
          </w:p>
        </w:tc>
        <w:tc>
          <w:tcPr>
            <w:tcW w:w="425" w:type="pct"/>
            <w:tcBorders>
              <w:top w:val="nil"/>
              <w:left w:val="nil"/>
              <w:bottom w:val="single" w:sz="8" w:space="0" w:color="969696"/>
              <w:right w:val="single" w:sz="8" w:space="0" w:color="969696"/>
            </w:tcBorders>
            <w:shd w:val="clear" w:color="auto" w:fill="auto"/>
            <w:noWrap/>
            <w:vAlign w:val="bottom"/>
            <w:hideMark/>
          </w:tcPr>
          <w:p w14:paraId="31C83E9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3887.92</w:t>
            </w:r>
          </w:p>
        </w:tc>
        <w:tc>
          <w:tcPr>
            <w:tcW w:w="424" w:type="pct"/>
            <w:tcBorders>
              <w:top w:val="nil"/>
              <w:left w:val="nil"/>
              <w:bottom w:val="single" w:sz="8" w:space="0" w:color="969696"/>
              <w:right w:val="single" w:sz="8" w:space="0" w:color="969696"/>
            </w:tcBorders>
            <w:shd w:val="clear" w:color="auto" w:fill="auto"/>
            <w:noWrap/>
            <w:vAlign w:val="bottom"/>
            <w:hideMark/>
          </w:tcPr>
          <w:p w14:paraId="6A14F7BF"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3918.89</w:t>
            </w:r>
          </w:p>
        </w:tc>
        <w:tc>
          <w:tcPr>
            <w:tcW w:w="425" w:type="pct"/>
            <w:tcBorders>
              <w:top w:val="nil"/>
              <w:left w:val="nil"/>
              <w:bottom w:val="single" w:sz="8" w:space="0" w:color="969696"/>
              <w:right w:val="single" w:sz="8" w:space="0" w:color="969696"/>
            </w:tcBorders>
            <w:shd w:val="clear" w:color="auto" w:fill="auto"/>
            <w:noWrap/>
            <w:vAlign w:val="bottom"/>
            <w:hideMark/>
          </w:tcPr>
          <w:p w14:paraId="417147A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3836.29</w:t>
            </w:r>
          </w:p>
        </w:tc>
      </w:tr>
      <w:tr w:rsidR="000532D9" w:rsidRPr="00E15F8F" w14:paraId="2EE071C5"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75C88217"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Добивна промишленост</w:t>
            </w:r>
          </w:p>
        </w:tc>
        <w:tc>
          <w:tcPr>
            <w:tcW w:w="425" w:type="pct"/>
            <w:tcBorders>
              <w:top w:val="nil"/>
              <w:left w:val="nil"/>
              <w:bottom w:val="single" w:sz="8" w:space="0" w:color="969696"/>
              <w:right w:val="single" w:sz="8" w:space="0" w:color="969696"/>
            </w:tcBorders>
            <w:shd w:val="clear" w:color="auto" w:fill="auto"/>
            <w:noWrap/>
            <w:vAlign w:val="bottom"/>
            <w:hideMark/>
          </w:tcPr>
          <w:p w14:paraId="2833B54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22.00</w:t>
            </w:r>
          </w:p>
        </w:tc>
        <w:tc>
          <w:tcPr>
            <w:tcW w:w="425" w:type="pct"/>
            <w:tcBorders>
              <w:top w:val="nil"/>
              <w:left w:val="nil"/>
              <w:bottom w:val="single" w:sz="8" w:space="0" w:color="969696"/>
              <w:right w:val="single" w:sz="8" w:space="0" w:color="969696"/>
            </w:tcBorders>
            <w:shd w:val="clear" w:color="auto" w:fill="auto"/>
            <w:noWrap/>
            <w:vAlign w:val="bottom"/>
            <w:hideMark/>
          </w:tcPr>
          <w:p w14:paraId="62BD2CB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20.30</w:t>
            </w:r>
          </w:p>
        </w:tc>
        <w:tc>
          <w:tcPr>
            <w:tcW w:w="425" w:type="pct"/>
            <w:tcBorders>
              <w:top w:val="nil"/>
              <w:left w:val="nil"/>
              <w:bottom w:val="single" w:sz="8" w:space="0" w:color="969696"/>
              <w:right w:val="single" w:sz="8" w:space="0" w:color="969696"/>
            </w:tcBorders>
            <w:shd w:val="clear" w:color="auto" w:fill="auto"/>
            <w:noWrap/>
            <w:vAlign w:val="bottom"/>
            <w:hideMark/>
          </w:tcPr>
          <w:p w14:paraId="0E68775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20.69</w:t>
            </w:r>
          </w:p>
        </w:tc>
        <w:tc>
          <w:tcPr>
            <w:tcW w:w="424" w:type="pct"/>
            <w:tcBorders>
              <w:top w:val="nil"/>
              <w:left w:val="nil"/>
              <w:bottom w:val="single" w:sz="8" w:space="0" w:color="969696"/>
              <w:right w:val="single" w:sz="8" w:space="0" w:color="969696"/>
            </w:tcBorders>
            <w:shd w:val="clear" w:color="auto" w:fill="auto"/>
            <w:noWrap/>
            <w:vAlign w:val="bottom"/>
            <w:hideMark/>
          </w:tcPr>
          <w:p w14:paraId="58B713C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23.12</w:t>
            </w:r>
          </w:p>
        </w:tc>
        <w:tc>
          <w:tcPr>
            <w:tcW w:w="425" w:type="pct"/>
            <w:tcBorders>
              <w:top w:val="nil"/>
              <w:left w:val="nil"/>
              <w:bottom w:val="single" w:sz="8" w:space="0" w:color="969696"/>
              <w:right w:val="single" w:sz="8" w:space="0" w:color="969696"/>
            </w:tcBorders>
            <w:shd w:val="clear" w:color="auto" w:fill="auto"/>
            <w:noWrap/>
            <w:vAlign w:val="bottom"/>
            <w:hideMark/>
          </w:tcPr>
          <w:p w14:paraId="027F9F7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23.51</w:t>
            </w:r>
          </w:p>
        </w:tc>
        <w:tc>
          <w:tcPr>
            <w:tcW w:w="424" w:type="pct"/>
            <w:tcBorders>
              <w:top w:val="nil"/>
              <w:left w:val="nil"/>
              <w:bottom w:val="single" w:sz="8" w:space="0" w:color="969696"/>
              <w:right w:val="single" w:sz="8" w:space="0" w:color="969696"/>
            </w:tcBorders>
            <w:shd w:val="clear" w:color="auto" w:fill="auto"/>
            <w:noWrap/>
            <w:vAlign w:val="bottom"/>
            <w:hideMark/>
          </w:tcPr>
          <w:p w14:paraId="7514E1E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16.40</w:t>
            </w:r>
          </w:p>
        </w:tc>
        <w:tc>
          <w:tcPr>
            <w:tcW w:w="425" w:type="pct"/>
            <w:tcBorders>
              <w:top w:val="nil"/>
              <w:left w:val="nil"/>
              <w:bottom w:val="single" w:sz="8" w:space="0" w:color="969696"/>
              <w:right w:val="single" w:sz="8" w:space="0" w:color="969696"/>
            </w:tcBorders>
            <w:shd w:val="clear" w:color="auto" w:fill="auto"/>
            <w:noWrap/>
            <w:vAlign w:val="bottom"/>
            <w:hideMark/>
          </w:tcPr>
          <w:p w14:paraId="3D2B670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21.18</w:t>
            </w:r>
          </w:p>
        </w:tc>
        <w:tc>
          <w:tcPr>
            <w:tcW w:w="424" w:type="pct"/>
            <w:tcBorders>
              <w:top w:val="nil"/>
              <w:left w:val="nil"/>
              <w:bottom w:val="single" w:sz="8" w:space="0" w:color="969696"/>
              <w:right w:val="single" w:sz="8" w:space="0" w:color="969696"/>
            </w:tcBorders>
            <w:shd w:val="clear" w:color="auto" w:fill="auto"/>
            <w:noWrap/>
            <w:vAlign w:val="bottom"/>
            <w:hideMark/>
          </w:tcPr>
          <w:p w14:paraId="451CA873"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22.44</w:t>
            </w:r>
          </w:p>
        </w:tc>
        <w:tc>
          <w:tcPr>
            <w:tcW w:w="425" w:type="pct"/>
            <w:tcBorders>
              <w:top w:val="nil"/>
              <w:left w:val="nil"/>
              <w:bottom w:val="single" w:sz="8" w:space="0" w:color="969696"/>
              <w:right w:val="single" w:sz="8" w:space="0" w:color="969696"/>
            </w:tcBorders>
            <w:shd w:val="clear" w:color="auto" w:fill="auto"/>
            <w:noWrap/>
            <w:vAlign w:val="bottom"/>
            <w:hideMark/>
          </w:tcPr>
          <w:p w14:paraId="777717F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27.71</w:t>
            </w:r>
          </w:p>
        </w:tc>
      </w:tr>
      <w:tr w:rsidR="000532D9" w:rsidRPr="00E15F8F" w14:paraId="5707E024"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73796E33"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Преработваща промишленост</w:t>
            </w:r>
          </w:p>
        </w:tc>
        <w:tc>
          <w:tcPr>
            <w:tcW w:w="425" w:type="pct"/>
            <w:tcBorders>
              <w:top w:val="nil"/>
              <w:left w:val="nil"/>
              <w:bottom w:val="single" w:sz="8" w:space="0" w:color="969696"/>
              <w:right w:val="single" w:sz="8" w:space="0" w:color="969696"/>
            </w:tcBorders>
            <w:shd w:val="clear" w:color="auto" w:fill="auto"/>
            <w:noWrap/>
            <w:vAlign w:val="bottom"/>
            <w:hideMark/>
          </w:tcPr>
          <w:p w14:paraId="1485A05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154.24</w:t>
            </w:r>
          </w:p>
        </w:tc>
        <w:tc>
          <w:tcPr>
            <w:tcW w:w="425" w:type="pct"/>
            <w:tcBorders>
              <w:top w:val="nil"/>
              <w:left w:val="nil"/>
              <w:bottom w:val="single" w:sz="8" w:space="0" w:color="969696"/>
              <w:right w:val="single" w:sz="8" w:space="0" w:color="969696"/>
            </w:tcBorders>
            <w:shd w:val="clear" w:color="auto" w:fill="auto"/>
            <w:noWrap/>
            <w:vAlign w:val="bottom"/>
            <w:hideMark/>
          </w:tcPr>
          <w:p w14:paraId="6565600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136.15</w:t>
            </w:r>
          </w:p>
        </w:tc>
        <w:tc>
          <w:tcPr>
            <w:tcW w:w="425" w:type="pct"/>
            <w:tcBorders>
              <w:top w:val="nil"/>
              <w:left w:val="nil"/>
              <w:bottom w:val="single" w:sz="8" w:space="0" w:color="969696"/>
              <w:right w:val="single" w:sz="8" w:space="0" w:color="969696"/>
            </w:tcBorders>
            <w:shd w:val="clear" w:color="auto" w:fill="auto"/>
            <w:noWrap/>
            <w:vAlign w:val="bottom"/>
            <w:hideMark/>
          </w:tcPr>
          <w:p w14:paraId="7D22DE3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125.56</w:t>
            </w:r>
          </w:p>
        </w:tc>
        <w:tc>
          <w:tcPr>
            <w:tcW w:w="424" w:type="pct"/>
            <w:tcBorders>
              <w:top w:val="nil"/>
              <w:left w:val="nil"/>
              <w:bottom w:val="single" w:sz="8" w:space="0" w:color="969696"/>
              <w:right w:val="single" w:sz="8" w:space="0" w:color="969696"/>
            </w:tcBorders>
            <w:shd w:val="clear" w:color="auto" w:fill="auto"/>
            <w:noWrap/>
            <w:vAlign w:val="bottom"/>
            <w:hideMark/>
          </w:tcPr>
          <w:p w14:paraId="3DB4AC3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121.02</w:t>
            </w:r>
          </w:p>
        </w:tc>
        <w:tc>
          <w:tcPr>
            <w:tcW w:w="425" w:type="pct"/>
            <w:tcBorders>
              <w:top w:val="nil"/>
              <w:left w:val="nil"/>
              <w:bottom w:val="single" w:sz="8" w:space="0" w:color="969696"/>
              <w:right w:val="single" w:sz="8" w:space="0" w:color="969696"/>
            </w:tcBorders>
            <w:shd w:val="clear" w:color="auto" w:fill="auto"/>
            <w:noWrap/>
            <w:vAlign w:val="bottom"/>
            <w:hideMark/>
          </w:tcPr>
          <w:p w14:paraId="5740978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122.64</w:t>
            </w:r>
          </w:p>
        </w:tc>
        <w:tc>
          <w:tcPr>
            <w:tcW w:w="424" w:type="pct"/>
            <w:tcBorders>
              <w:top w:val="nil"/>
              <w:left w:val="nil"/>
              <w:bottom w:val="single" w:sz="8" w:space="0" w:color="969696"/>
              <w:right w:val="single" w:sz="8" w:space="0" w:color="969696"/>
            </w:tcBorders>
            <w:shd w:val="clear" w:color="auto" w:fill="auto"/>
            <w:noWrap/>
            <w:vAlign w:val="bottom"/>
            <w:hideMark/>
          </w:tcPr>
          <w:p w14:paraId="6401B0B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136.12</w:t>
            </w:r>
          </w:p>
        </w:tc>
        <w:tc>
          <w:tcPr>
            <w:tcW w:w="425" w:type="pct"/>
            <w:tcBorders>
              <w:top w:val="nil"/>
              <w:left w:val="nil"/>
              <w:bottom w:val="single" w:sz="8" w:space="0" w:color="969696"/>
              <w:right w:val="single" w:sz="8" w:space="0" w:color="969696"/>
            </w:tcBorders>
            <w:shd w:val="clear" w:color="auto" w:fill="auto"/>
            <w:noWrap/>
            <w:vAlign w:val="bottom"/>
            <w:hideMark/>
          </w:tcPr>
          <w:p w14:paraId="2FE54FC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124.20</w:t>
            </w:r>
          </w:p>
        </w:tc>
        <w:tc>
          <w:tcPr>
            <w:tcW w:w="424" w:type="pct"/>
            <w:tcBorders>
              <w:top w:val="nil"/>
              <w:left w:val="nil"/>
              <w:bottom w:val="single" w:sz="8" w:space="0" w:color="969696"/>
              <w:right w:val="single" w:sz="8" w:space="0" w:color="969696"/>
            </w:tcBorders>
            <w:shd w:val="clear" w:color="auto" w:fill="auto"/>
            <w:noWrap/>
            <w:vAlign w:val="bottom"/>
            <w:hideMark/>
          </w:tcPr>
          <w:p w14:paraId="0B330D7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133.74</w:t>
            </w:r>
          </w:p>
        </w:tc>
        <w:tc>
          <w:tcPr>
            <w:tcW w:w="425" w:type="pct"/>
            <w:tcBorders>
              <w:top w:val="nil"/>
              <w:left w:val="nil"/>
              <w:bottom w:val="single" w:sz="8" w:space="0" w:color="969696"/>
              <w:right w:val="single" w:sz="8" w:space="0" w:color="969696"/>
            </w:tcBorders>
            <w:shd w:val="clear" w:color="auto" w:fill="auto"/>
            <w:noWrap/>
            <w:vAlign w:val="bottom"/>
            <w:hideMark/>
          </w:tcPr>
          <w:p w14:paraId="4099601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130.83</w:t>
            </w:r>
          </w:p>
        </w:tc>
      </w:tr>
      <w:tr w:rsidR="000532D9" w:rsidRPr="00E15F8F" w14:paraId="6B865078" w14:textId="77777777" w:rsidTr="0047737A">
        <w:trPr>
          <w:trHeight w:val="540"/>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642EAF1A"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Производство и разпределение на електрическа и топлоенергия и газ</w:t>
            </w:r>
          </w:p>
        </w:tc>
        <w:tc>
          <w:tcPr>
            <w:tcW w:w="425" w:type="pct"/>
            <w:tcBorders>
              <w:top w:val="nil"/>
              <w:left w:val="nil"/>
              <w:bottom w:val="single" w:sz="8" w:space="0" w:color="969696"/>
              <w:right w:val="single" w:sz="8" w:space="0" w:color="969696"/>
            </w:tcBorders>
            <w:shd w:val="clear" w:color="auto" w:fill="auto"/>
            <w:noWrap/>
            <w:vAlign w:val="bottom"/>
            <w:hideMark/>
          </w:tcPr>
          <w:p w14:paraId="6E00531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3877.37</w:t>
            </w:r>
          </w:p>
        </w:tc>
        <w:tc>
          <w:tcPr>
            <w:tcW w:w="425" w:type="pct"/>
            <w:tcBorders>
              <w:top w:val="nil"/>
              <w:left w:val="nil"/>
              <w:bottom w:val="single" w:sz="8" w:space="0" w:color="969696"/>
              <w:right w:val="single" w:sz="8" w:space="0" w:color="969696"/>
            </w:tcBorders>
            <w:shd w:val="clear" w:color="auto" w:fill="auto"/>
            <w:noWrap/>
            <w:vAlign w:val="bottom"/>
            <w:hideMark/>
          </w:tcPr>
          <w:p w14:paraId="1D812AC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4237.19</w:t>
            </w:r>
          </w:p>
        </w:tc>
        <w:tc>
          <w:tcPr>
            <w:tcW w:w="425" w:type="pct"/>
            <w:tcBorders>
              <w:top w:val="nil"/>
              <w:left w:val="nil"/>
              <w:bottom w:val="single" w:sz="8" w:space="0" w:color="969696"/>
              <w:right w:val="single" w:sz="8" w:space="0" w:color="969696"/>
            </w:tcBorders>
            <w:shd w:val="clear" w:color="auto" w:fill="auto"/>
            <w:noWrap/>
            <w:vAlign w:val="bottom"/>
            <w:hideMark/>
          </w:tcPr>
          <w:p w14:paraId="7F529A0F"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3656.18</w:t>
            </w:r>
          </w:p>
        </w:tc>
        <w:tc>
          <w:tcPr>
            <w:tcW w:w="424" w:type="pct"/>
            <w:tcBorders>
              <w:top w:val="nil"/>
              <w:left w:val="nil"/>
              <w:bottom w:val="single" w:sz="8" w:space="0" w:color="969696"/>
              <w:right w:val="single" w:sz="8" w:space="0" w:color="969696"/>
            </w:tcBorders>
            <w:shd w:val="clear" w:color="auto" w:fill="auto"/>
            <w:noWrap/>
            <w:vAlign w:val="bottom"/>
            <w:hideMark/>
          </w:tcPr>
          <w:p w14:paraId="1EED312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3556.24</w:t>
            </w:r>
          </w:p>
        </w:tc>
        <w:tc>
          <w:tcPr>
            <w:tcW w:w="425" w:type="pct"/>
            <w:tcBorders>
              <w:top w:val="nil"/>
              <w:left w:val="nil"/>
              <w:bottom w:val="single" w:sz="8" w:space="0" w:color="969696"/>
              <w:right w:val="single" w:sz="8" w:space="0" w:color="969696"/>
            </w:tcBorders>
            <w:shd w:val="clear" w:color="auto" w:fill="auto"/>
            <w:noWrap/>
            <w:vAlign w:val="bottom"/>
            <w:hideMark/>
          </w:tcPr>
          <w:p w14:paraId="0C82864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3614.09</w:t>
            </w:r>
          </w:p>
        </w:tc>
        <w:tc>
          <w:tcPr>
            <w:tcW w:w="424" w:type="pct"/>
            <w:tcBorders>
              <w:top w:val="nil"/>
              <w:left w:val="nil"/>
              <w:bottom w:val="single" w:sz="8" w:space="0" w:color="969696"/>
              <w:right w:val="single" w:sz="8" w:space="0" w:color="969696"/>
            </w:tcBorders>
            <w:shd w:val="clear" w:color="auto" w:fill="auto"/>
            <w:noWrap/>
            <w:vAlign w:val="bottom"/>
            <w:hideMark/>
          </w:tcPr>
          <w:p w14:paraId="0664EEC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3725.38</w:t>
            </w:r>
          </w:p>
        </w:tc>
        <w:tc>
          <w:tcPr>
            <w:tcW w:w="425" w:type="pct"/>
            <w:tcBorders>
              <w:top w:val="nil"/>
              <w:left w:val="nil"/>
              <w:bottom w:val="single" w:sz="8" w:space="0" w:color="969696"/>
              <w:right w:val="single" w:sz="8" w:space="0" w:color="969696"/>
            </w:tcBorders>
            <w:shd w:val="clear" w:color="auto" w:fill="auto"/>
            <w:noWrap/>
            <w:vAlign w:val="bottom"/>
            <w:hideMark/>
          </w:tcPr>
          <w:p w14:paraId="69287A7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3720.11</w:t>
            </w:r>
          </w:p>
        </w:tc>
        <w:tc>
          <w:tcPr>
            <w:tcW w:w="424" w:type="pct"/>
            <w:tcBorders>
              <w:top w:val="nil"/>
              <w:left w:val="nil"/>
              <w:bottom w:val="single" w:sz="8" w:space="0" w:color="969696"/>
              <w:right w:val="single" w:sz="8" w:space="0" w:color="969696"/>
            </w:tcBorders>
            <w:shd w:val="clear" w:color="auto" w:fill="auto"/>
            <w:noWrap/>
            <w:vAlign w:val="bottom"/>
            <w:hideMark/>
          </w:tcPr>
          <w:p w14:paraId="50EE257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3740.40</w:t>
            </w:r>
          </w:p>
        </w:tc>
        <w:tc>
          <w:tcPr>
            <w:tcW w:w="425" w:type="pct"/>
            <w:tcBorders>
              <w:top w:val="nil"/>
              <w:left w:val="nil"/>
              <w:bottom w:val="single" w:sz="8" w:space="0" w:color="969696"/>
              <w:right w:val="single" w:sz="8" w:space="0" w:color="969696"/>
            </w:tcBorders>
            <w:shd w:val="clear" w:color="auto" w:fill="auto"/>
            <w:noWrap/>
            <w:vAlign w:val="bottom"/>
            <w:hideMark/>
          </w:tcPr>
          <w:p w14:paraId="5B1FBC4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3654.88</w:t>
            </w:r>
          </w:p>
        </w:tc>
      </w:tr>
      <w:tr w:rsidR="000532D9" w:rsidRPr="00E15F8F" w14:paraId="6D4FC84A"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1ACA0EA5"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xml:space="preserve">    в т.ч. за охлаждане</w:t>
            </w:r>
          </w:p>
        </w:tc>
        <w:tc>
          <w:tcPr>
            <w:tcW w:w="425" w:type="pct"/>
            <w:tcBorders>
              <w:top w:val="nil"/>
              <w:left w:val="nil"/>
              <w:bottom w:val="single" w:sz="8" w:space="0" w:color="969696"/>
              <w:right w:val="single" w:sz="8" w:space="0" w:color="969696"/>
            </w:tcBorders>
            <w:shd w:val="clear" w:color="auto" w:fill="auto"/>
            <w:noWrap/>
            <w:vAlign w:val="bottom"/>
            <w:hideMark/>
          </w:tcPr>
          <w:p w14:paraId="54A09DF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3493.75</w:t>
            </w:r>
          </w:p>
        </w:tc>
        <w:tc>
          <w:tcPr>
            <w:tcW w:w="425" w:type="pct"/>
            <w:tcBorders>
              <w:top w:val="nil"/>
              <w:left w:val="nil"/>
              <w:bottom w:val="single" w:sz="8" w:space="0" w:color="969696"/>
              <w:right w:val="single" w:sz="8" w:space="0" w:color="969696"/>
            </w:tcBorders>
            <w:shd w:val="clear" w:color="auto" w:fill="auto"/>
            <w:noWrap/>
            <w:vAlign w:val="bottom"/>
            <w:hideMark/>
          </w:tcPr>
          <w:p w14:paraId="30D803C3"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3778.51</w:t>
            </w:r>
          </w:p>
        </w:tc>
        <w:tc>
          <w:tcPr>
            <w:tcW w:w="425" w:type="pct"/>
            <w:tcBorders>
              <w:top w:val="nil"/>
              <w:left w:val="nil"/>
              <w:bottom w:val="single" w:sz="8" w:space="0" w:color="969696"/>
              <w:right w:val="single" w:sz="8" w:space="0" w:color="969696"/>
            </w:tcBorders>
            <w:shd w:val="clear" w:color="auto" w:fill="auto"/>
            <w:noWrap/>
            <w:vAlign w:val="bottom"/>
            <w:hideMark/>
          </w:tcPr>
          <w:p w14:paraId="6A15282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3273.18</w:t>
            </w:r>
          </w:p>
        </w:tc>
        <w:tc>
          <w:tcPr>
            <w:tcW w:w="424" w:type="pct"/>
            <w:tcBorders>
              <w:top w:val="nil"/>
              <w:left w:val="nil"/>
              <w:bottom w:val="single" w:sz="8" w:space="0" w:color="969696"/>
              <w:right w:val="single" w:sz="8" w:space="0" w:color="969696"/>
            </w:tcBorders>
            <w:shd w:val="clear" w:color="auto" w:fill="auto"/>
            <w:noWrap/>
            <w:vAlign w:val="bottom"/>
            <w:hideMark/>
          </w:tcPr>
          <w:p w14:paraId="48B34C7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3170.87</w:t>
            </w:r>
          </w:p>
        </w:tc>
        <w:tc>
          <w:tcPr>
            <w:tcW w:w="425" w:type="pct"/>
            <w:tcBorders>
              <w:top w:val="nil"/>
              <w:left w:val="nil"/>
              <w:bottom w:val="single" w:sz="8" w:space="0" w:color="969696"/>
              <w:right w:val="single" w:sz="8" w:space="0" w:color="969696"/>
            </w:tcBorders>
            <w:shd w:val="clear" w:color="auto" w:fill="auto"/>
            <w:noWrap/>
            <w:vAlign w:val="bottom"/>
            <w:hideMark/>
          </w:tcPr>
          <w:p w14:paraId="218976A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3227.02</w:t>
            </w:r>
          </w:p>
        </w:tc>
        <w:tc>
          <w:tcPr>
            <w:tcW w:w="424" w:type="pct"/>
            <w:tcBorders>
              <w:top w:val="nil"/>
              <w:left w:val="nil"/>
              <w:bottom w:val="single" w:sz="8" w:space="0" w:color="969696"/>
              <w:right w:val="single" w:sz="8" w:space="0" w:color="969696"/>
            </w:tcBorders>
            <w:shd w:val="clear" w:color="auto" w:fill="auto"/>
            <w:noWrap/>
            <w:vAlign w:val="bottom"/>
            <w:hideMark/>
          </w:tcPr>
          <w:p w14:paraId="319AB7F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3678.18</w:t>
            </w:r>
          </w:p>
        </w:tc>
        <w:tc>
          <w:tcPr>
            <w:tcW w:w="425" w:type="pct"/>
            <w:tcBorders>
              <w:top w:val="nil"/>
              <w:left w:val="nil"/>
              <w:bottom w:val="single" w:sz="8" w:space="0" w:color="969696"/>
              <w:right w:val="single" w:sz="8" w:space="0" w:color="969696"/>
            </w:tcBorders>
            <w:shd w:val="clear" w:color="auto" w:fill="auto"/>
            <w:noWrap/>
            <w:vAlign w:val="bottom"/>
            <w:hideMark/>
          </w:tcPr>
          <w:p w14:paraId="178F846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3672.66</w:t>
            </w:r>
          </w:p>
        </w:tc>
        <w:tc>
          <w:tcPr>
            <w:tcW w:w="424" w:type="pct"/>
            <w:tcBorders>
              <w:top w:val="nil"/>
              <w:left w:val="nil"/>
              <w:bottom w:val="single" w:sz="8" w:space="0" w:color="969696"/>
              <w:right w:val="single" w:sz="8" w:space="0" w:color="969696"/>
            </w:tcBorders>
            <w:shd w:val="clear" w:color="auto" w:fill="auto"/>
            <w:noWrap/>
            <w:vAlign w:val="bottom"/>
            <w:hideMark/>
          </w:tcPr>
          <w:p w14:paraId="77D618F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3696.65</w:t>
            </w:r>
          </w:p>
        </w:tc>
        <w:tc>
          <w:tcPr>
            <w:tcW w:w="425" w:type="pct"/>
            <w:tcBorders>
              <w:top w:val="nil"/>
              <w:left w:val="nil"/>
              <w:bottom w:val="single" w:sz="8" w:space="0" w:color="969696"/>
              <w:right w:val="single" w:sz="8" w:space="0" w:color="969696"/>
            </w:tcBorders>
            <w:shd w:val="clear" w:color="auto" w:fill="auto"/>
            <w:noWrap/>
            <w:vAlign w:val="bottom"/>
            <w:hideMark/>
          </w:tcPr>
          <w:p w14:paraId="6B88772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3608.91</w:t>
            </w:r>
          </w:p>
        </w:tc>
      </w:tr>
      <w:tr w:rsidR="000532D9" w:rsidRPr="00E15F8F" w14:paraId="593EDAD0"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28C3B6D8"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Строителство</w:t>
            </w:r>
          </w:p>
        </w:tc>
        <w:tc>
          <w:tcPr>
            <w:tcW w:w="425" w:type="pct"/>
            <w:tcBorders>
              <w:top w:val="nil"/>
              <w:left w:val="nil"/>
              <w:bottom w:val="single" w:sz="8" w:space="0" w:color="969696"/>
              <w:right w:val="single" w:sz="8" w:space="0" w:color="969696"/>
            </w:tcBorders>
            <w:shd w:val="clear" w:color="auto" w:fill="auto"/>
            <w:noWrap/>
            <w:vAlign w:val="bottom"/>
            <w:hideMark/>
          </w:tcPr>
          <w:p w14:paraId="774A4EF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2.40</w:t>
            </w:r>
          </w:p>
        </w:tc>
        <w:tc>
          <w:tcPr>
            <w:tcW w:w="425" w:type="pct"/>
            <w:tcBorders>
              <w:top w:val="nil"/>
              <w:left w:val="nil"/>
              <w:bottom w:val="single" w:sz="8" w:space="0" w:color="969696"/>
              <w:right w:val="single" w:sz="8" w:space="0" w:color="969696"/>
            </w:tcBorders>
            <w:shd w:val="clear" w:color="auto" w:fill="auto"/>
            <w:noWrap/>
            <w:vAlign w:val="bottom"/>
            <w:hideMark/>
          </w:tcPr>
          <w:p w14:paraId="78C4330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0.84</w:t>
            </w:r>
          </w:p>
        </w:tc>
        <w:tc>
          <w:tcPr>
            <w:tcW w:w="425" w:type="pct"/>
            <w:tcBorders>
              <w:top w:val="nil"/>
              <w:left w:val="nil"/>
              <w:bottom w:val="single" w:sz="8" w:space="0" w:color="969696"/>
              <w:right w:val="single" w:sz="8" w:space="0" w:color="969696"/>
            </w:tcBorders>
            <w:shd w:val="clear" w:color="auto" w:fill="auto"/>
            <w:noWrap/>
            <w:vAlign w:val="bottom"/>
            <w:hideMark/>
          </w:tcPr>
          <w:p w14:paraId="19E71A9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0.81</w:t>
            </w:r>
          </w:p>
        </w:tc>
        <w:tc>
          <w:tcPr>
            <w:tcW w:w="424" w:type="pct"/>
            <w:tcBorders>
              <w:top w:val="nil"/>
              <w:left w:val="nil"/>
              <w:bottom w:val="single" w:sz="8" w:space="0" w:color="969696"/>
              <w:right w:val="single" w:sz="8" w:space="0" w:color="969696"/>
            </w:tcBorders>
            <w:shd w:val="clear" w:color="auto" w:fill="auto"/>
            <w:noWrap/>
            <w:vAlign w:val="bottom"/>
            <w:hideMark/>
          </w:tcPr>
          <w:p w14:paraId="51F4EF5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0.45</w:t>
            </w:r>
          </w:p>
        </w:tc>
        <w:tc>
          <w:tcPr>
            <w:tcW w:w="425" w:type="pct"/>
            <w:tcBorders>
              <w:top w:val="nil"/>
              <w:left w:val="nil"/>
              <w:bottom w:val="single" w:sz="8" w:space="0" w:color="969696"/>
              <w:right w:val="single" w:sz="8" w:space="0" w:color="969696"/>
            </w:tcBorders>
            <w:shd w:val="clear" w:color="auto" w:fill="auto"/>
            <w:noWrap/>
            <w:vAlign w:val="bottom"/>
            <w:hideMark/>
          </w:tcPr>
          <w:p w14:paraId="3C8EFBE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0.89</w:t>
            </w:r>
          </w:p>
        </w:tc>
        <w:tc>
          <w:tcPr>
            <w:tcW w:w="424" w:type="pct"/>
            <w:tcBorders>
              <w:top w:val="nil"/>
              <w:left w:val="nil"/>
              <w:bottom w:val="single" w:sz="8" w:space="0" w:color="969696"/>
              <w:right w:val="single" w:sz="8" w:space="0" w:color="969696"/>
            </w:tcBorders>
            <w:shd w:val="clear" w:color="auto" w:fill="auto"/>
            <w:noWrap/>
            <w:vAlign w:val="bottom"/>
            <w:hideMark/>
          </w:tcPr>
          <w:p w14:paraId="5462AD33"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4.08</w:t>
            </w:r>
          </w:p>
        </w:tc>
        <w:tc>
          <w:tcPr>
            <w:tcW w:w="425" w:type="pct"/>
            <w:tcBorders>
              <w:top w:val="nil"/>
              <w:left w:val="nil"/>
              <w:bottom w:val="single" w:sz="8" w:space="0" w:color="969696"/>
              <w:right w:val="single" w:sz="8" w:space="0" w:color="969696"/>
            </w:tcBorders>
            <w:shd w:val="clear" w:color="auto" w:fill="auto"/>
            <w:noWrap/>
            <w:vAlign w:val="bottom"/>
            <w:hideMark/>
          </w:tcPr>
          <w:p w14:paraId="689B670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3.11</w:t>
            </w:r>
          </w:p>
        </w:tc>
        <w:tc>
          <w:tcPr>
            <w:tcW w:w="424" w:type="pct"/>
            <w:tcBorders>
              <w:top w:val="nil"/>
              <w:left w:val="nil"/>
              <w:bottom w:val="single" w:sz="8" w:space="0" w:color="969696"/>
              <w:right w:val="single" w:sz="8" w:space="0" w:color="969696"/>
            </w:tcBorders>
            <w:shd w:val="clear" w:color="auto" w:fill="auto"/>
            <w:noWrap/>
            <w:vAlign w:val="bottom"/>
            <w:hideMark/>
          </w:tcPr>
          <w:p w14:paraId="2CCC47C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3.16</w:t>
            </w:r>
          </w:p>
        </w:tc>
        <w:tc>
          <w:tcPr>
            <w:tcW w:w="425" w:type="pct"/>
            <w:tcBorders>
              <w:top w:val="nil"/>
              <w:left w:val="nil"/>
              <w:bottom w:val="single" w:sz="8" w:space="0" w:color="969696"/>
              <w:right w:val="single" w:sz="8" w:space="0" w:color="969696"/>
            </w:tcBorders>
            <w:shd w:val="clear" w:color="auto" w:fill="auto"/>
            <w:noWrap/>
            <w:vAlign w:val="bottom"/>
            <w:hideMark/>
          </w:tcPr>
          <w:p w14:paraId="33EAFED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3.66</w:t>
            </w:r>
          </w:p>
        </w:tc>
      </w:tr>
      <w:tr w:rsidR="000532D9" w:rsidRPr="00E15F8F" w14:paraId="727F4EE0"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noWrap/>
            <w:vAlign w:val="bottom"/>
            <w:hideMark/>
          </w:tcPr>
          <w:p w14:paraId="5B5D488F"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Други индустриални дейности</w:t>
            </w:r>
          </w:p>
        </w:tc>
        <w:tc>
          <w:tcPr>
            <w:tcW w:w="425" w:type="pct"/>
            <w:tcBorders>
              <w:top w:val="nil"/>
              <w:left w:val="nil"/>
              <w:bottom w:val="single" w:sz="8" w:space="0" w:color="969696"/>
              <w:right w:val="single" w:sz="8" w:space="0" w:color="969696"/>
            </w:tcBorders>
            <w:shd w:val="clear" w:color="auto" w:fill="auto"/>
            <w:noWrap/>
            <w:vAlign w:val="bottom"/>
            <w:hideMark/>
          </w:tcPr>
          <w:p w14:paraId="24B57E7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20.31</w:t>
            </w:r>
          </w:p>
        </w:tc>
        <w:tc>
          <w:tcPr>
            <w:tcW w:w="425" w:type="pct"/>
            <w:tcBorders>
              <w:top w:val="nil"/>
              <w:left w:val="nil"/>
              <w:bottom w:val="single" w:sz="8" w:space="0" w:color="969696"/>
              <w:right w:val="single" w:sz="8" w:space="0" w:color="969696"/>
            </w:tcBorders>
            <w:shd w:val="clear" w:color="auto" w:fill="auto"/>
            <w:noWrap/>
            <w:vAlign w:val="bottom"/>
            <w:hideMark/>
          </w:tcPr>
          <w:p w14:paraId="61C1D0B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10.73</w:t>
            </w:r>
          </w:p>
        </w:tc>
        <w:tc>
          <w:tcPr>
            <w:tcW w:w="425" w:type="pct"/>
            <w:tcBorders>
              <w:top w:val="nil"/>
              <w:left w:val="nil"/>
              <w:bottom w:val="single" w:sz="8" w:space="0" w:color="969696"/>
              <w:right w:val="single" w:sz="8" w:space="0" w:color="969696"/>
            </w:tcBorders>
            <w:shd w:val="clear" w:color="auto" w:fill="auto"/>
            <w:noWrap/>
            <w:vAlign w:val="bottom"/>
            <w:hideMark/>
          </w:tcPr>
          <w:p w14:paraId="6370870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14.10</w:t>
            </w:r>
          </w:p>
        </w:tc>
        <w:tc>
          <w:tcPr>
            <w:tcW w:w="424" w:type="pct"/>
            <w:tcBorders>
              <w:top w:val="nil"/>
              <w:left w:val="nil"/>
              <w:bottom w:val="single" w:sz="8" w:space="0" w:color="969696"/>
              <w:right w:val="single" w:sz="8" w:space="0" w:color="969696"/>
            </w:tcBorders>
            <w:shd w:val="clear" w:color="auto" w:fill="auto"/>
            <w:noWrap/>
            <w:vAlign w:val="bottom"/>
            <w:hideMark/>
          </w:tcPr>
          <w:p w14:paraId="6EF9A24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0.21</w:t>
            </w:r>
          </w:p>
        </w:tc>
        <w:tc>
          <w:tcPr>
            <w:tcW w:w="425" w:type="pct"/>
            <w:tcBorders>
              <w:top w:val="nil"/>
              <w:left w:val="nil"/>
              <w:bottom w:val="single" w:sz="8" w:space="0" w:color="969696"/>
              <w:right w:val="single" w:sz="8" w:space="0" w:color="969696"/>
            </w:tcBorders>
            <w:shd w:val="clear" w:color="auto" w:fill="auto"/>
            <w:noWrap/>
            <w:vAlign w:val="bottom"/>
            <w:hideMark/>
          </w:tcPr>
          <w:p w14:paraId="79D3BCEF"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0.65</w:t>
            </w:r>
          </w:p>
        </w:tc>
        <w:tc>
          <w:tcPr>
            <w:tcW w:w="424" w:type="pct"/>
            <w:tcBorders>
              <w:top w:val="nil"/>
              <w:left w:val="nil"/>
              <w:bottom w:val="single" w:sz="8" w:space="0" w:color="969696"/>
              <w:right w:val="single" w:sz="8" w:space="0" w:color="969696"/>
            </w:tcBorders>
            <w:shd w:val="clear" w:color="auto" w:fill="auto"/>
            <w:noWrap/>
            <w:vAlign w:val="bottom"/>
            <w:hideMark/>
          </w:tcPr>
          <w:p w14:paraId="4B0404C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18.66</w:t>
            </w:r>
          </w:p>
        </w:tc>
        <w:tc>
          <w:tcPr>
            <w:tcW w:w="425" w:type="pct"/>
            <w:tcBorders>
              <w:top w:val="nil"/>
              <w:left w:val="nil"/>
              <w:bottom w:val="single" w:sz="8" w:space="0" w:color="969696"/>
              <w:right w:val="single" w:sz="8" w:space="0" w:color="969696"/>
            </w:tcBorders>
            <w:shd w:val="clear" w:color="auto" w:fill="auto"/>
            <w:noWrap/>
            <w:vAlign w:val="bottom"/>
            <w:hideMark/>
          </w:tcPr>
          <w:p w14:paraId="7437113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19.33</w:t>
            </w:r>
          </w:p>
        </w:tc>
        <w:tc>
          <w:tcPr>
            <w:tcW w:w="424" w:type="pct"/>
            <w:tcBorders>
              <w:top w:val="nil"/>
              <w:left w:val="nil"/>
              <w:bottom w:val="single" w:sz="8" w:space="0" w:color="969696"/>
              <w:right w:val="single" w:sz="8" w:space="0" w:color="969696"/>
            </w:tcBorders>
            <w:shd w:val="clear" w:color="auto" w:fill="auto"/>
            <w:noWrap/>
            <w:vAlign w:val="bottom"/>
            <w:hideMark/>
          </w:tcPr>
          <w:p w14:paraId="7F9B5DA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19.15</w:t>
            </w:r>
          </w:p>
        </w:tc>
        <w:tc>
          <w:tcPr>
            <w:tcW w:w="425" w:type="pct"/>
            <w:tcBorders>
              <w:top w:val="nil"/>
              <w:left w:val="nil"/>
              <w:bottom w:val="single" w:sz="8" w:space="0" w:color="969696"/>
              <w:right w:val="single" w:sz="8" w:space="0" w:color="969696"/>
            </w:tcBorders>
            <w:shd w:val="clear" w:color="auto" w:fill="auto"/>
            <w:noWrap/>
            <w:vAlign w:val="bottom"/>
            <w:hideMark/>
          </w:tcPr>
          <w:p w14:paraId="06652D1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19.21</w:t>
            </w:r>
          </w:p>
        </w:tc>
      </w:tr>
      <w:tr w:rsidR="000532D9" w:rsidRPr="00E15F8F" w14:paraId="7E2E9BB3" w14:textId="77777777" w:rsidTr="0047737A">
        <w:trPr>
          <w:trHeight w:val="283"/>
        </w:trPr>
        <w:tc>
          <w:tcPr>
            <w:tcW w:w="1178" w:type="pct"/>
            <w:tcBorders>
              <w:top w:val="nil"/>
              <w:left w:val="single" w:sz="8" w:space="0" w:color="969696"/>
              <w:bottom w:val="single" w:sz="8" w:space="0" w:color="969696"/>
              <w:right w:val="single" w:sz="8" w:space="0" w:color="969696"/>
            </w:tcBorders>
            <w:shd w:val="clear" w:color="auto" w:fill="auto"/>
            <w:vAlign w:val="bottom"/>
            <w:hideMark/>
          </w:tcPr>
          <w:p w14:paraId="1901D5D2"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Услуги</w:t>
            </w:r>
          </w:p>
        </w:tc>
        <w:tc>
          <w:tcPr>
            <w:tcW w:w="425" w:type="pct"/>
            <w:tcBorders>
              <w:top w:val="nil"/>
              <w:left w:val="nil"/>
              <w:bottom w:val="single" w:sz="8" w:space="0" w:color="969696"/>
              <w:right w:val="single" w:sz="8" w:space="0" w:color="969696"/>
            </w:tcBorders>
            <w:shd w:val="clear" w:color="auto" w:fill="auto"/>
            <w:noWrap/>
            <w:vAlign w:val="bottom"/>
            <w:hideMark/>
          </w:tcPr>
          <w:p w14:paraId="7674A93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15.02</w:t>
            </w:r>
          </w:p>
        </w:tc>
        <w:tc>
          <w:tcPr>
            <w:tcW w:w="425" w:type="pct"/>
            <w:tcBorders>
              <w:top w:val="nil"/>
              <w:left w:val="nil"/>
              <w:bottom w:val="single" w:sz="8" w:space="0" w:color="969696"/>
              <w:right w:val="single" w:sz="8" w:space="0" w:color="969696"/>
            </w:tcBorders>
            <w:shd w:val="clear" w:color="auto" w:fill="auto"/>
            <w:noWrap/>
            <w:vAlign w:val="bottom"/>
            <w:hideMark/>
          </w:tcPr>
          <w:p w14:paraId="748D5BB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13.55</w:t>
            </w:r>
          </w:p>
        </w:tc>
        <w:tc>
          <w:tcPr>
            <w:tcW w:w="425" w:type="pct"/>
            <w:tcBorders>
              <w:top w:val="nil"/>
              <w:left w:val="nil"/>
              <w:bottom w:val="single" w:sz="8" w:space="0" w:color="969696"/>
              <w:right w:val="single" w:sz="8" w:space="0" w:color="969696"/>
            </w:tcBorders>
            <w:shd w:val="clear" w:color="auto" w:fill="auto"/>
            <w:noWrap/>
            <w:vAlign w:val="bottom"/>
            <w:hideMark/>
          </w:tcPr>
          <w:p w14:paraId="6E04F55D"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14.49</w:t>
            </w:r>
          </w:p>
        </w:tc>
        <w:tc>
          <w:tcPr>
            <w:tcW w:w="424" w:type="pct"/>
            <w:tcBorders>
              <w:top w:val="nil"/>
              <w:left w:val="nil"/>
              <w:bottom w:val="single" w:sz="8" w:space="0" w:color="969696"/>
              <w:right w:val="single" w:sz="8" w:space="0" w:color="969696"/>
            </w:tcBorders>
            <w:shd w:val="clear" w:color="auto" w:fill="auto"/>
            <w:noWrap/>
            <w:vAlign w:val="bottom"/>
            <w:hideMark/>
          </w:tcPr>
          <w:p w14:paraId="4F45E84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30.93</w:t>
            </w:r>
          </w:p>
        </w:tc>
        <w:tc>
          <w:tcPr>
            <w:tcW w:w="425" w:type="pct"/>
            <w:tcBorders>
              <w:top w:val="nil"/>
              <w:left w:val="nil"/>
              <w:bottom w:val="single" w:sz="8" w:space="0" w:color="969696"/>
              <w:right w:val="single" w:sz="8" w:space="0" w:color="969696"/>
            </w:tcBorders>
            <w:shd w:val="clear" w:color="auto" w:fill="auto"/>
            <w:noWrap/>
            <w:vAlign w:val="bottom"/>
            <w:hideMark/>
          </w:tcPr>
          <w:p w14:paraId="47ED7AA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31.09</w:t>
            </w:r>
          </w:p>
        </w:tc>
        <w:tc>
          <w:tcPr>
            <w:tcW w:w="424" w:type="pct"/>
            <w:tcBorders>
              <w:top w:val="nil"/>
              <w:left w:val="nil"/>
              <w:bottom w:val="single" w:sz="8" w:space="0" w:color="969696"/>
              <w:right w:val="single" w:sz="8" w:space="0" w:color="969696"/>
            </w:tcBorders>
            <w:shd w:val="clear" w:color="auto" w:fill="auto"/>
            <w:noWrap/>
            <w:vAlign w:val="bottom"/>
            <w:hideMark/>
          </w:tcPr>
          <w:p w14:paraId="7C87711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30.34</w:t>
            </w:r>
          </w:p>
        </w:tc>
        <w:tc>
          <w:tcPr>
            <w:tcW w:w="425" w:type="pct"/>
            <w:tcBorders>
              <w:top w:val="nil"/>
              <w:left w:val="nil"/>
              <w:bottom w:val="single" w:sz="8" w:space="0" w:color="969696"/>
              <w:right w:val="single" w:sz="8" w:space="0" w:color="969696"/>
            </w:tcBorders>
            <w:shd w:val="clear" w:color="auto" w:fill="auto"/>
            <w:noWrap/>
            <w:vAlign w:val="bottom"/>
            <w:hideMark/>
          </w:tcPr>
          <w:p w14:paraId="7309AAE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18.44</w:t>
            </w:r>
          </w:p>
        </w:tc>
        <w:tc>
          <w:tcPr>
            <w:tcW w:w="424" w:type="pct"/>
            <w:tcBorders>
              <w:top w:val="nil"/>
              <w:left w:val="nil"/>
              <w:bottom w:val="single" w:sz="8" w:space="0" w:color="969696"/>
              <w:right w:val="single" w:sz="8" w:space="0" w:color="969696"/>
            </w:tcBorders>
            <w:shd w:val="clear" w:color="auto" w:fill="auto"/>
            <w:noWrap/>
            <w:vAlign w:val="bottom"/>
            <w:hideMark/>
          </w:tcPr>
          <w:p w14:paraId="54EE91B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22.63</w:t>
            </w:r>
          </w:p>
        </w:tc>
        <w:tc>
          <w:tcPr>
            <w:tcW w:w="425" w:type="pct"/>
            <w:tcBorders>
              <w:top w:val="nil"/>
              <w:left w:val="nil"/>
              <w:bottom w:val="single" w:sz="8" w:space="0" w:color="969696"/>
              <w:right w:val="single" w:sz="8" w:space="0" w:color="969696"/>
            </w:tcBorders>
            <w:shd w:val="clear" w:color="auto" w:fill="auto"/>
            <w:noWrap/>
            <w:vAlign w:val="bottom"/>
            <w:hideMark/>
          </w:tcPr>
          <w:p w14:paraId="5F59416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24.00</w:t>
            </w:r>
          </w:p>
        </w:tc>
      </w:tr>
    </w:tbl>
    <w:p w14:paraId="5D182454" w14:textId="77777777" w:rsidR="000532D9" w:rsidRPr="006F34D7" w:rsidRDefault="000532D9" w:rsidP="006F34D7">
      <w:pPr>
        <w:pStyle w:val="Caption"/>
        <w:jc w:val="both"/>
        <w:rPr>
          <w:rFonts w:eastAsiaTheme="minorHAnsi" w:cs="Times New Roman"/>
          <w:b w:val="0"/>
          <w:bCs w:val="0"/>
          <w:i/>
          <w:iCs/>
          <w:sz w:val="22"/>
          <w:szCs w:val="22"/>
          <w:lang w:eastAsia="en-US"/>
        </w:rPr>
      </w:pPr>
      <w:r w:rsidRPr="006F34D7">
        <w:rPr>
          <w:rFonts w:eastAsiaTheme="minorHAnsi" w:cs="Times New Roman"/>
          <w:b w:val="0"/>
          <w:bCs w:val="0"/>
          <w:i/>
          <w:iCs/>
          <w:sz w:val="22"/>
          <w:szCs w:val="22"/>
          <w:lang w:eastAsia="en-US"/>
        </w:rPr>
        <w:t>Източник: НСИ</w:t>
      </w:r>
    </w:p>
    <w:p w14:paraId="02367F90" w14:textId="77777777" w:rsidR="000532D9" w:rsidRPr="00E15F8F" w:rsidRDefault="000532D9" w:rsidP="000532D9">
      <w:pPr>
        <w:jc w:val="both"/>
        <w:rPr>
          <w:rFonts w:ascii="Times New Roman" w:hAnsi="Times New Roman" w:cs="Times New Roman"/>
          <w:lang w:val="bg-BG"/>
        </w:rPr>
      </w:pPr>
      <w:r w:rsidRPr="00E15F8F">
        <w:rPr>
          <w:rFonts w:ascii="Times New Roman" w:hAnsi="Times New Roman" w:cs="Times New Roman"/>
          <w:lang w:val="bg-BG"/>
        </w:rPr>
        <w:t xml:space="preserve">Производството на електрическа и топлоенергия формира 67,37% от общото количество иззета вода. Слабата тенденция на намаляване на количествата иззета вода за периода се дължи предимно на намаляване на дяловото участие на сектор енергетика и селско стопанство. Повече от два пъти се увеличава иззетата прясна вода за производство на хидроенергия, като през 2018 г. достига 26 049 млн. куб.м. </w:t>
      </w:r>
      <w:r w:rsidRPr="00E15F8F">
        <w:rPr>
          <w:rStyle w:val="FootnoteReference"/>
          <w:rFonts w:ascii="Times New Roman" w:hAnsi="Times New Roman" w:cs="Times New Roman"/>
          <w:lang w:val="bg-BG"/>
        </w:rPr>
        <w:footnoteReference w:id="27"/>
      </w:r>
    </w:p>
    <w:p w14:paraId="47A42E53" w14:textId="23872863" w:rsidR="000532D9" w:rsidRPr="006F34D7" w:rsidRDefault="006F34D7" w:rsidP="006F34D7">
      <w:pPr>
        <w:pStyle w:val="Caption"/>
        <w:jc w:val="both"/>
        <w:rPr>
          <w:rFonts w:eastAsiaTheme="minorHAnsi" w:cs="Times New Roman"/>
          <w:b w:val="0"/>
          <w:bCs w:val="0"/>
          <w:i/>
          <w:sz w:val="22"/>
          <w:szCs w:val="22"/>
          <w:lang w:eastAsia="en-US"/>
        </w:rPr>
      </w:pPr>
      <w:bookmarkStart w:id="35" w:name="_Toc72917658"/>
      <w:r w:rsidRPr="006F34D7">
        <w:rPr>
          <w:rFonts w:eastAsiaTheme="minorHAnsi" w:cs="Times New Roman"/>
          <w:b w:val="0"/>
          <w:bCs w:val="0"/>
          <w:i/>
          <w:sz w:val="22"/>
          <w:szCs w:val="22"/>
          <w:lang w:eastAsia="en-US"/>
        </w:rPr>
        <w:t xml:space="preserve">Фигура </w:t>
      </w:r>
      <w:r w:rsidRPr="006F34D7">
        <w:rPr>
          <w:rFonts w:eastAsiaTheme="minorHAnsi" w:cs="Times New Roman"/>
          <w:b w:val="0"/>
          <w:bCs w:val="0"/>
          <w:i/>
          <w:sz w:val="22"/>
          <w:szCs w:val="22"/>
          <w:lang w:eastAsia="en-US"/>
        </w:rPr>
        <w:fldChar w:fldCharType="begin"/>
      </w:r>
      <w:r w:rsidRPr="006F34D7">
        <w:rPr>
          <w:rFonts w:eastAsiaTheme="minorHAnsi" w:cs="Times New Roman"/>
          <w:b w:val="0"/>
          <w:bCs w:val="0"/>
          <w:i/>
          <w:sz w:val="22"/>
          <w:szCs w:val="22"/>
          <w:lang w:eastAsia="en-US"/>
        </w:rPr>
        <w:instrText xml:space="preserve"> SEQ Фигура \* ARABIC </w:instrText>
      </w:r>
      <w:r w:rsidRPr="006F34D7">
        <w:rPr>
          <w:rFonts w:eastAsiaTheme="minorHAnsi" w:cs="Times New Roman"/>
          <w:b w:val="0"/>
          <w:bCs w:val="0"/>
          <w:i/>
          <w:sz w:val="22"/>
          <w:szCs w:val="22"/>
          <w:lang w:eastAsia="en-US"/>
        </w:rPr>
        <w:fldChar w:fldCharType="separate"/>
      </w:r>
      <w:r w:rsidR="00E050A8">
        <w:rPr>
          <w:rFonts w:eastAsiaTheme="minorHAnsi" w:cs="Times New Roman"/>
          <w:b w:val="0"/>
          <w:bCs w:val="0"/>
          <w:i/>
          <w:noProof/>
          <w:sz w:val="22"/>
          <w:szCs w:val="22"/>
          <w:lang w:eastAsia="en-US"/>
        </w:rPr>
        <w:t>6</w:t>
      </w:r>
      <w:r w:rsidRPr="006F34D7">
        <w:rPr>
          <w:rFonts w:eastAsiaTheme="minorHAnsi" w:cs="Times New Roman"/>
          <w:b w:val="0"/>
          <w:bCs w:val="0"/>
          <w:i/>
          <w:sz w:val="22"/>
          <w:szCs w:val="22"/>
          <w:lang w:eastAsia="en-US"/>
        </w:rPr>
        <w:fldChar w:fldCharType="end"/>
      </w:r>
      <w:r w:rsidRPr="006F34D7">
        <w:rPr>
          <w:rFonts w:eastAsiaTheme="minorHAnsi" w:cs="Times New Roman"/>
          <w:b w:val="0"/>
          <w:bCs w:val="0"/>
          <w:i/>
          <w:sz w:val="22"/>
          <w:szCs w:val="22"/>
          <w:lang w:eastAsia="en-US"/>
        </w:rPr>
        <w:t xml:space="preserve"> </w:t>
      </w:r>
      <w:r w:rsidR="000532D9" w:rsidRPr="006F34D7">
        <w:rPr>
          <w:rFonts w:eastAsiaTheme="minorHAnsi" w:cs="Times New Roman"/>
          <w:b w:val="0"/>
          <w:bCs w:val="0"/>
          <w:i/>
          <w:sz w:val="22"/>
          <w:szCs w:val="22"/>
          <w:lang w:eastAsia="en-US"/>
        </w:rPr>
        <w:t>Количество иззета вода по сектори, 2018 г.</w:t>
      </w:r>
      <w:bookmarkEnd w:id="35"/>
    </w:p>
    <w:p w14:paraId="0091F368" w14:textId="77777777" w:rsidR="000532D9" w:rsidRPr="00E15F8F" w:rsidRDefault="000532D9" w:rsidP="000532D9">
      <w:pPr>
        <w:jc w:val="both"/>
        <w:rPr>
          <w:rFonts w:ascii="Times New Roman" w:hAnsi="Times New Roman" w:cs="Times New Roman"/>
          <w:sz w:val="24"/>
          <w:szCs w:val="24"/>
          <w:lang w:val="bg-BG"/>
        </w:rPr>
      </w:pPr>
      <w:r w:rsidRPr="00E15F8F">
        <w:rPr>
          <w:rFonts w:ascii="Times New Roman" w:hAnsi="Times New Roman" w:cs="Times New Roman"/>
          <w:noProof/>
          <w:lang w:val="bg-BG" w:eastAsia="bg-BG"/>
        </w:rPr>
        <w:drawing>
          <wp:inline distT="0" distB="0" distL="0" distR="0" wp14:anchorId="36675D2E" wp14:editId="28F73AAF">
            <wp:extent cx="5683250" cy="2063750"/>
            <wp:effectExtent l="0" t="0" r="12700" b="12700"/>
            <wp:docPr id="3" name="Chart 3">
              <a:extLst xmlns:a="http://schemas.openxmlformats.org/drawingml/2006/main">
                <a:ext uri="{FF2B5EF4-FFF2-40B4-BE49-F238E27FC236}">
                  <a16:creationId xmlns:a16="http://schemas.microsoft.com/office/drawing/2014/main" id="{5CC79318-B08F-4143-9511-F1BD9C9631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A339AAB" w14:textId="77777777" w:rsidR="000532D9" w:rsidRPr="00E15F8F" w:rsidRDefault="000532D9" w:rsidP="000532D9">
      <w:pPr>
        <w:jc w:val="both"/>
        <w:rPr>
          <w:rFonts w:ascii="Times New Roman" w:hAnsi="Times New Roman" w:cs="Times New Roman"/>
          <w:i/>
          <w:iCs/>
          <w:lang w:val="bg-BG"/>
        </w:rPr>
      </w:pPr>
      <w:r w:rsidRPr="00E15F8F">
        <w:rPr>
          <w:rFonts w:ascii="Times New Roman" w:hAnsi="Times New Roman" w:cs="Times New Roman"/>
          <w:i/>
          <w:iCs/>
          <w:lang w:val="bg-BG"/>
        </w:rPr>
        <w:t>Източник: НСИ</w:t>
      </w:r>
    </w:p>
    <w:p w14:paraId="28C193AD"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Значимите обеми на водите за охлаждащи процеси поставят Република България сред страните с високо равнище на водовземане средно на човек от населението (2018 г. – 769 м</w:t>
      </w:r>
      <w:r w:rsidRPr="00E15F8F">
        <w:rPr>
          <w:rFonts w:ascii="Times New Roman" w:hAnsi="Times New Roman" w:cs="Times New Roman"/>
          <w:vertAlign w:val="superscript"/>
          <w:lang w:val="bg-BG"/>
        </w:rPr>
        <w:t>3</w:t>
      </w:r>
      <w:r w:rsidRPr="00E15F8F">
        <w:rPr>
          <w:rFonts w:ascii="Times New Roman" w:hAnsi="Times New Roman" w:cs="Times New Roman"/>
          <w:lang w:val="bg-BG"/>
        </w:rPr>
        <w:t>), след Гърция (942 м</w:t>
      </w:r>
      <w:r w:rsidRPr="00E15F8F">
        <w:rPr>
          <w:rFonts w:ascii="Times New Roman" w:hAnsi="Times New Roman" w:cs="Times New Roman"/>
          <w:vertAlign w:val="superscript"/>
          <w:lang w:val="bg-BG"/>
        </w:rPr>
        <w:t>3</w:t>
      </w:r>
      <w:r w:rsidRPr="00E15F8F">
        <w:rPr>
          <w:rFonts w:ascii="Times New Roman" w:hAnsi="Times New Roman" w:cs="Times New Roman"/>
          <w:lang w:val="bg-BG"/>
        </w:rPr>
        <w:t>/чов., 2018 г.).</w:t>
      </w:r>
      <w:r w:rsidRPr="00E15F8F">
        <w:rPr>
          <w:rStyle w:val="FootnoteReference"/>
          <w:rFonts w:ascii="Times New Roman" w:hAnsi="Times New Roman" w:cs="Times New Roman"/>
          <w:lang w:val="bg-BG"/>
        </w:rPr>
        <w:footnoteReference w:id="28"/>
      </w:r>
    </w:p>
    <w:p w14:paraId="4C75B507" w14:textId="5721AF35" w:rsidR="000532D9" w:rsidRPr="006F34D7" w:rsidRDefault="006F34D7" w:rsidP="006F34D7">
      <w:pPr>
        <w:pStyle w:val="Caption"/>
        <w:jc w:val="both"/>
        <w:rPr>
          <w:rFonts w:cs="Times New Roman"/>
          <w:b w:val="0"/>
          <w:i/>
          <w:iCs/>
          <w:sz w:val="22"/>
          <w:szCs w:val="22"/>
        </w:rPr>
      </w:pPr>
      <w:bookmarkStart w:id="36" w:name="_Toc72917659"/>
      <w:r w:rsidRPr="006F34D7">
        <w:rPr>
          <w:rFonts w:cs="Times New Roman"/>
          <w:b w:val="0"/>
          <w:i/>
          <w:iCs/>
          <w:sz w:val="22"/>
          <w:szCs w:val="22"/>
        </w:rPr>
        <w:lastRenderedPageBreak/>
        <w:t xml:space="preserve">Фигура </w:t>
      </w:r>
      <w:r w:rsidRPr="006F34D7">
        <w:rPr>
          <w:rFonts w:cs="Times New Roman"/>
          <w:b w:val="0"/>
          <w:i/>
          <w:iCs/>
          <w:sz w:val="22"/>
          <w:szCs w:val="22"/>
        </w:rPr>
        <w:fldChar w:fldCharType="begin"/>
      </w:r>
      <w:r w:rsidRPr="006F34D7">
        <w:rPr>
          <w:rFonts w:cs="Times New Roman"/>
          <w:b w:val="0"/>
          <w:i/>
          <w:iCs/>
          <w:sz w:val="22"/>
          <w:szCs w:val="22"/>
        </w:rPr>
        <w:instrText xml:space="preserve"> SEQ Фигура \* ARABIC </w:instrText>
      </w:r>
      <w:r w:rsidRPr="006F34D7">
        <w:rPr>
          <w:rFonts w:cs="Times New Roman"/>
          <w:b w:val="0"/>
          <w:i/>
          <w:iCs/>
          <w:sz w:val="22"/>
          <w:szCs w:val="22"/>
        </w:rPr>
        <w:fldChar w:fldCharType="separate"/>
      </w:r>
      <w:r w:rsidR="00E050A8">
        <w:rPr>
          <w:rFonts w:cs="Times New Roman"/>
          <w:b w:val="0"/>
          <w:i/>
          <w:iCs/>
          <w:noProof/>
          <w:sz w:val="22"/>
          <w:szCs w:val="22"/>
        </w:rPr>
        <w:t>7</w:t>
      </w:r>
      <w:r w:rsidRPr="006F34D7">
        <w:rPr>
          <w:rFonts w:cs="Times New Roman"/>
          <w:b w:val="0"/>
          <w:i/>
          <w:iCs/>
          <w:sz w:val="22"/>
          <w:szCs w:val="22"/>
        </w:rPr>
        <w:fldChar w:fldCharType="end"/>
      </w:r>
      <w:r w:rsidR="000532D9" w:rsidRPr="006F34D7">
        <w:rPr>
          <w:rFonts w:cs="Times New Roman"/>
          <w:b w:val="0"/>
          <w:i/>
          <w:iCs/>
          <w:sz w:val="22"/>
          <w:szCs w:val="22"/>
        </w:rPr>
        <w:t xml:space="preserve"> Иззети пресни води средно на човек от населението в ЕС</w:t>
      </w:r>
      <w:bookmarkEnd w:id="36"/>
    </w:p>
    <w:p w14:paraId="5AAEAFEC" w14:textId="77777777" w:rsidR="000532D9" w:rsidRPr="00E15F8F" w:rsidRDefault="000532D9" w:rsidP="000532D9">
      <w:pPr>
        <w:autoSpaceDE w:val="0"/>
        <w:autoSpaceDN w:val="0"/>
        <w:adjustRightInd w:val="0"/>
        <w:spacing w:after="0" w:line="240" w:lineRule="auto"/>
        <w:jc w:val="both"/>
        <w:rPr>
          <w:rFonts w:ascii="Times New Roman" w:hAnsi="Times New Roman" w:cs="Times New Roman"/>
          <w:sz w:val="24"/>
          <w:szCs w:val="24"/>
          <w:lang w:val="bg-BG"/>
        </w:rPr>
      </w:pPr>
      <w:r w:rsidRPr="00E15F8F">
        <w:rPr>
          <w:rFonts w:ascii="Times New Roman" w:hAnsi="Times New Roman" w:cs="Times New Roman"/>
          <w:noProof/>
          <w:lang w:val="bg-BG"/>
        </w:rPr>
        <w:t xml:space="preserve"> </w:t>
      </w:r>
      <w:r w:rsidRPr="00E15F8F">
        <w:rPr>
          <w:rFonts w:ascii="Times New Roman" w:hAnsi="Times New Roman" w:cs="Times New Roman"/>
          <w:noProof/>
          <w:lang w:val="bg-BG" w:eastAsia="bg-BG"/>
        </w:rPr>
        <w:drawing>
          <wp:inline distT="0" distB="0" distL="0" distR="0" wp14:anchorId="4AA62EA2" wp14:editId="6457E2AD">
            <wp:extent cx="3924300" cy="2336800"/>
            <wp:effectExtent l="0" t="0" r="0" b="6350"/>
            <wp:docPr id="1" name="Chart 1">
              <a:extLst xmlns:a="http://schemas.openxmlformats.org/drawingml/2006/main">
                <a:ext uri="{FF2B5EF4-FFF2-40B4-BE49-F238E27FC236}">
                  <a16:creationId xmlns:a16="http://schemas.microsoft.com/office/drawing/2014/main" id="{FCD406BC-F751-41CB-ADF5-AD543CDFEEB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A9FDD87" w14:textId="77777777" w:rsidR="000532D9" w:rsidRPr="00E15F8F" w:rsidRDefault="000532D9" w:rsidP="000532D9">
      <w:pPr>
        <w:autoSpaceDE w:val="0"/>
        <w:autoSpaceDN w:val="0"/>
        <w:adjustRightInd w:val="0"/>
        <w:spacing w:after="0" w:line="240" w:lineRule="auto"/>
        <w:jc w:val="both"/>
        <w:rPr>
          <w:rFonts w:ascii="Times New Roman" w:hAnsi="Times New Roman" w:cs="Times New Roman"/>
          <w:i/>
          <w:iCs/>
          <w:lang w:val="bg-BG"/>
        </w:rPr>
      </w:pPr>
      <w:r w:rsidRPr="00E15F8F">
        <w:rPr>
          <w:rFonts w:ascii="Times New Roman" w:hAnsi="Times New Roman" w:cs="Times New Roman"/>
          <w:i/>
          <w:iCs/>
          <w:lang w:val="bg-BG"/>
        </w:rPr>
        <w:t>Източник: Евростат</w:t>
      </w:r>
    </w:p>
    <w:p w14:paraId="62027A5A" w14:textId="77777777" w:rsidR="000532D9" w:rsidRPr="00E15F8F" w:rsidRDefault="000532D9" w:rsidP="000532D9">
      <w:pPr>
        <w:autoSpaceDE w:val="0"/>
        <w:autoSpaceDN w:val="0"/>
        <w:adjustRightInd w:val="0"/>
        <w:spacing w:after="0" w:line="240" w:lineRule="auto"/>
        <w:rPr>
          <w:rFonts w:ascii="Times New Roman" w:hAnsi="Times New Roman" w:cs="Times New Roman"/>
          <w:i/>
          <w:iCs/>
          <w:color w:val="000000"/>
          <w:lang w:val="bg-BG"/>
        </w:rPr>
      </w:pPr>
    </w:p>
    <w:p w14:paraId="141CC7B5"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Регионалните различия в страната се определят от териториалното разположение на водоползващите дейности и други природо-географски особености. Водещо място заемат районите с голям дял на енергийно водоползване - Дунавски и Източнобеломорски басейнов район.</w:t>
      </w:r>
    </w:p>
    <w:p w14:paraId="2F262BA5" w14:textId="000972BC" w:rsidR="000532D9" w:rsidRPr="006F34D7" w:rsidRDefault="006F34D7" w:rsidP="006F34D7">
      <w:pPr>
        <w:pStyle w:val="Caption"/>
        <w:jc w:val="both"/>
        <w:rPr>
          <w:rFonts w:eastAsiaTheme="minorHAnsi" w:cs="Times New Roman"/>
          <w:b w:val="0"/>
          <w:bCs w:val="0"/>
          <w:i/>
          <w:sz w:val="22"/>
          <w:szCs w:val="22"/>
          <w:lang w:eastAsia="en-US"/>
        </w:rPr>
      </w:pPr>
      <w:bookmarkStart w:id="37" w:name="_Toc72917660"/>
      <w:r w:rsidRPr="006F34D7">
        <w:rPr>
          <w:rFonts w:eastAsiaTheme="minorHAnsi" w:cs="Times New Roman"/>
          <w:b w:val="0"/>
          <w:bCs w:val="0"/>
          <w:i/>
          <w:sz w:val="22"/>
          <w:szCs w:val="22"/>
          <w:lang w:eastAsia="en-US"/>
        </w:rPr>
        <w:t xml:space="preserve">Фигура </w:t>
      </w:r>
      <w:r w:rsidRPr="006F34D7">
        <w:rPr>
          <w:rFonts w:eastAsiaTheme="minorHAnsi" w:cs="Times New Roman"/>
          <w:b w:val="0"/>
          <w:bCs w:val="0"/>
          <w:i/>
          <w:sz w:val="22"/>
          <w:szCs w:val="22"/>
          <w:lang w:eastAsia="en-US"/>
        </w:rPr>
        <w:fldChar w:fldCharType="begin"/>
      </w:r>
      <w:r w:rsidRPr="006F34D7">
        <w:rPr>
          <w:rFonts w:eastAsiaTheme="minorHAnsi" w:cs="Times New Roman"/>
          <w:b w:val="0"/>
          <w:bCs w:val="0"/>
          <w:i/>
          <w:sz w:val="22"/>
          <w:szCs w:val="22"/>
          <w:lang w:eastAsia="en-US"/>
        </w:rPr>
        <w:instrText xml:space="preserve"> SEQ Фигура \* ARABIC </w:instrText>
      </w:r>
      <w:r w:rsidRPr="006F34D7">
        <w:rPr>
          <w:rFonts w:eastAsiaTheme="minorHAnsi" w:cs="Times New Roman"/>
          <w:b w:val="0"/>
          <w:bCs w:val="0"/>
          <w:i/>
          <w:sz w:val="22"/>
          <w:szCs w:val="22"/>
          <w:lang w:eastAsia="en-US"/>
        </w:rPr>
        <w:fldChar w:fldCharType="separate"/>
      </w:r>
      <w:r w:rsidR="00E050A8">
        <w:rPr>
          <w:rFonts w:eastAsiaTheme="minorHAnsi" w:cs="Times New Roman"/>
          <w:b w:val="0"/>
          <w:bCs w:val="0"/>
          <w:i/>
          <w:noProof/>
          <w:sz w:val="22"/>
          <w:szCs w:val="22"/>
          <w:lang w:eastAsia="en-US"/>
        </w:rPr>
        <w:t>8</w:t>
      </w:r>
      <w:r w:rsidRPr="006F34D7">
        <w:rPr>
          <w:rFonts w:eastAsiaTheme="minorHAnsi" w:cs="Times New Roman"/>
          <w:b w:val="0"/>
          <w:bCs w:val="0"/>
          <w:i/>
          <w:sz w:val="22"/>
          <w:szCs w:val="22"/>
          <w:lang w:eastAsia="en-US"/>
        </w:rPr>
        <w:fldChar w:fldCharType="end"/>
      </w:r>
      <w:r w:rsidR="000532D9" w:rsidRPr="006F34D7">
        <w:rPr>
          <w:rFonts w:eastAsiaTheme="minorHAnsi" w:cs="Times New Roman"/>
          <w:b w:val="0"/>
          <w:bCs w:val="0"/>
          <w:i/>
          <w:sz w:val="22"/>
          <w:szCs w:val="22"/>
          <w:lang w:eastAsia="en-US"/>
        </w:rPr>
        <w:t xml:space="preserve"> Иззета вода по райони за басейново управление, 2018 г.</w:t>
      </w:r>
      <w:bookmarkEnd w:id="37"/>
    </w:p>
    <w:p w14:paraId="666517F4"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noProof/>
          <w:lang w:val="bg-BG" w:eastAsia="bg-BG"/>
        </w:rPr>
        <w:drawing>
          <wp:inline distT="0" distB="0" distL="0" distR="0" wp14:anchorId="1AA00148" wp14:editId="075DF95B">
            <wp:extent cx="4349750" cy="2355850"/>
            <wp:effectExtent l="0" t="0" r="12700" b="6350"/>
            <wp:docPr id="5" name="Chart 5">
              <a:extLst xmlns:a="http://schemas.openxmlformats.org/drawingml/2006/main">
                <a:ext uri="{FF2B5EF4-FFF2-40B4-BE49-F238E27FC236}">
                  <a16:creationId xmlns:a16="http://schemas.microsoft.com/office/drawing/2014/main" id="{B774F840-B07D-4C3A-8F32-39A6460068E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4F54E2A0" w14:textId="77777777" w:rsidR="000532D9" w:rsidRPr="006F34D7" w:rsidRDefault="000532D9" w:rsidP="000532D9">
      <w:pPr>
        <w:autoSpaceDE w:val="0"/>
        <w:autoSpaceDN w:val="0"/>
        <w:adjustRightInd w:val="0"/>
        <w:spacing w:after="0" w:line="276" w:lineRule="auto"/>
        <w:jc w:val="both"/>
        <w:rPr>
          <w:rFonts w:ascii="Times New Roman" w:hAnsi="Times New Roman" w:cs="Times New Roman"/>
          <w:i/>
          <w:iCs/>
          <w:lang w:val="bg-BG"/>
        </w:rPr>
      </w:pPr>
      <w:r w:rsidRPr="006F34D7">
        <w:rPr>
          <w:rFonts w:ascii="Times New Roman" w:hAnsi="Times New Roman" w:cs="Times New Roman"/>
          <w:i/>
          <w:iCs/>
          <w:lang w:val="bg-BG"/>
        </w:rPr>
        <w:t>Източник: НСИ</w:t>
      </w:r>
    </w:p>
    <w:p w14:paraId="0686FF0D"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i/>
          <w:iCs/>
          <w:lang w:val="bg-BG"/>
        </w:rPr>
      </w:pPr>
    </w:p>
    <w:p w14:paraId="03F350EC"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color w:val="000000"/>
          <w:lang w:val="bg-BG"/>
        </w:rPr>
      </w:pPr>
      <w:r w:rsidRPr="00E15F8F">
        <w:rPr>
          <w:rFonts w:ascii="Times New Roman" w:hAnsi="Times New Roman" w:cs="Times New Roman"/>
          <w:color w:val="000000"/>
          <w:lang w:val="bg-BG"/>
        </w:rPr>
        <w:t xml:space="preserve">Предлагането на </w:t>
      </w:r>
      <w:r w:rsidRPr="00E15F8F">
        <w:rPr>
          <w:rFonts w:ascii="Times New Roman" w:hAnsi="Times New Roman" w:cs="Times New Roman"/>
          <w:b/>
          <w:bCs/>
          <w:color w:val="000000"/>
          <w:lang w:val="bg-BG"/>
        </w:rPr>
        <w:t>туристически услуги</w:t>
      </w:r>
      <w:r w:rsidRPr="00E15F8F">
        <w:rPr>
          <w:rFonts w:ascii="Times New Roman" w:hAnsi="Times New Roman" w:cs="Times New Roman"/>
          <w:color w:val="000000"/>
          <w:lang w:val="bg-BG"/>
        </w:rPr>
        <w:t xml:space="preserve"> са друг стресов фактор по отношение на наличието на водни ресурси в България, определящ специфични регионални различия. Основни причини са силната пространствена концентрация на сектора и ясно изразената сезонност. Над 65% от общия леглови капацитет са съсредоточени на Черноморието, в районите на Бургас и Варна – 184 812 легла (2020 г.). Близо 68% от реализираните през 2019 г. нощувки в местата за настаняване са в Североизточен (7 888 370 бр.) и Югоизточен (10 565 610 бр.) райони.</w:t>
      </w:r>
    </w:p>
    <w:p w14:paraId="28740DE1" w14:textId="475421A8" w:rsidR="000532D9" w:rsidRPr="006F34D7" w:rsidRDefault="006F34D7" w:rsidP="006F34D7">
      <w:pPr>
        <w:pStyle w:val="Caption"/>
        <w:rPr>
          <w:rFonts w:eastAsiaTheme="minorHAnsi" w:cs="Times New Roman"/>
          <w:b w:val="0"/>
          <w:bCs w:val="0"/>
          <w:i/>
          <w:iCs/>
          <w:color w:val="000000"/>
          <w:sz w:val="22"/>
          <w:szCs w:val="22"/>
          <w:lang w:eastAsia="en-US"/>
        </w:rPr>
      </w:pPr>
      <w:bookmarkStart w:id="38" w:name="_Toc69129109"/>
      <w:bookmarkStart w:id="39" w:name="_Toc72917661"/>
      <w:r w:rsidRPr="006F34D7">
        <w:rPr>
          <w:rFonts w:eastAsiaTheme="minorHAnsi" w:cs="Times New Roman"/>
          <w:b w:val="0"/>
          <w:bCs w:val="0"/>
          <w:i/>
          <w:iCs/>
          <w:color w:val="000000"/>
          <w:sz w:val="22"/>
          <w:szCs w:val="22"/>
          <w:lang w:eastAsia="en-US"/>
        </w:rPr>
        <w:lastRenderedPageBreak/>
        <w:t xml:space="preserve">Фигура </w:t>
      </w:r>
      <w:r w:rsidRPr="006F34D7">
        <w:rPr>
          <w:rFonts w:eastAsiaTheme="minorHAnsi" w:cs="Times New Roman"/>
          <w:b w:val="0"/>
          <w:bCs w:val="0"/>
          <w:i/>
          <w:iCs/>
          <w:color w:val="000000"/>
          <w:sz w:val="22"/>
          <w:szCs w:val="22"/>
          <w:lang w:eastAsia="en-US"/>
        </w:rPr>
        <w:fldChar w:fldCharType="begin"/>
      </w:r>
      <w:r w:rsidRPr="006F34D7">
        <w:rPr>
          <w:rFonts w:eastAsiaTheme="minorHAnsi" w:cs="Times New Roman"/>
          <w:b w:val="0"/>
          <w:bCs w:val="0"/>
          <w:i/>
          <w:iCs/>
          <w:color w:val="000000"/>
          <w:sz w:val="22"/>
          <w:szCs w:val="22"/>
          <w:lang w:eastAsia="en-US"/>
        </w:rPr>
        <w:instrText xml:space="preserve"> SEQ Фигура \* ARABIC </w:instrText>
      </w:r>
      <w:r w:rsidRPr="006F34D7">
        <w:rPr>
          <w:rFonts w:eastAsiaTheme="minorHAnsi" w:cs="Times New Roman"/>
          <w:b w:val="0"/>
          <w:bCs w:val="0"/>
          <w:i/>
          <w:iCs/>
          <w:color w:val="000000"/>
          <w:sz w:val="22"/>
          <w:szCs w:val="22"/>
          <w:lang w:eastAsia="en-US"/>
        </w:rPr>
        <w:fldChar w:fldCharType="separate"/>
      </w:r>
      <w:r w:rsidR="00E050A8">
        <w:rPr>
          <w:rFonts w:eastAsiaTheme="minorHAnsi" w:cs="Times New Roman"/>
          <w:b w:val="0"/>
          <w:bCs w:val="0"/>
          <w:i/>
          <w:iCs/>
          <w:noProof/>
          <w:color w:val="000000"/>
          <w:sz w:val="22"/>
          <w:szCs w:val="22"/>
          <w:lang w:eastAsia="en-US"/>
        </w:rPr>
        <w:t>9</w:t>
      </w:r>
      <w:r w:rsidRPr="006F34D7">
        <w:rPr>
          <w:rFonts w:eastAsiaTheme="minorHAnsi" w:cs="Times New Roman"/>
          <w:b w:val="0"/>
          <w:bCs w:val="0"/>
          <w:i/>
          <w:iCs/>
          <w:color w:val="000000"/>
          <w:sz w:val="22"/>
          <w:szCs w:val="22"/>
          <w:lang w:eastAsia="en-US"/>
        </w:rPr>
        <w:fldChar w:fldCharType="end"/>
      </w:r>
      <w:r w:rsidR="000532D9" w:rsidRPr="006F34D7">
        <w:rPr>
          <w:rFonts w:eastAsiaTheme="minorHAnsi" w:cs="Times New Roman"/>
          <w:b w:val="0"/>
          <w:bCs w:val="0"/>
          <w:i/>
          <w:iCs/>
          <w:color w:val="000000"/>
          <w:sz w:val="22"/>
          <w:szCs w:val="22"/>
          <w:lang w:eastAsia="en-US"/>
        </w:rPr>
        <w:t xml:space="preserve"> Приходи от нощувки/ лв. за 2020 г.</w:t>
      </w:r>
      <w:bookmarkEnd w:id="38"/>
      <w:bookmarkEnd w:id="39"/>
    </w:p>
    <w:p w14:paraId="074547A9" w14:textId="77777777" w:rsidR="000532D9" w:rsidRPr="00E15F8F" w:rsidRDefault="000532D9" w:rsidP="000532D9">
      <w:pPr>
        <w:autoSpaceDE w:val="0"/>
        <w:autoSpaceDN w:val="0"/>
        <w:adjustRightInd w:val="0"/>
        <w:spacing w:after="0" w:line="240" w:lineRule="auto"/>
        <w:rPr>
          <w:rFonts w:ascii="Times New Roman" w:hAnsi="Times New Roman" w:cs="Times New Roman"/>
          <w:color w:val="000000"/>
          <w:sz w:val="23"/>
          <w:szCs w:val="23"/>
          <w:lang w:val="bg-BG"/>
        </w:rPr>
      </w:pPr>
      <w:r w:rsidRPr="00E15F8F">
        <w:rPr>
          <w:rFonts w:ascii="Times New Roman" w:hAnsi="Times New Roman" w:cs="Times New Roman"/>
          <w:noProof/>
          <w:lang w:val="bg-BG" w:eastAsia="bg-BG"/>
        </w:rPr>
        <w:drawing>
          <wp:inline distT="0" distB="0" distL="0" distR="0" wp14:anchorId="3B33D580" wp14:editId="6073F5EF">
            <wp:extent cx="4027845" cy="25273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069886" cy="2553679"/>
                    </a:xfrm>
                    <a:prstGeom prst="rect">
                      <a:avLst/>
                    </a:prstGeom>
                    <a:noFill/>
                    <a:ln>
                      <a:noFill/>
                    </a:ln>
                  </pic:spPr>
                </pic:pic>
              </a:graphicData>
            </a:graphic>
          </wp:inline>
        </w:drawing>
      </w:r>
    </w:p>
    <w:p w14:paraId="07DAC67C" w14:textId="77777777" w:rsidR="000532D9" w:rsidRPr="00E15F8F" w:rsidRDefault="000532D9" w:rsidP="000532D9">
      <w:pPr>
        <w:autoSpaceDE w:val="0"/>
        <w:autoSpaceDN w:val="0"/>
        <w:adjustRightInd w:val="0"/>
        <w:spacing w:after="0" w:line="240" w:lineRule="auto"/>
        <w:rPr>
          <w:rFonts w:ascii="Times New Roman" w:hAnsi="Times New Roman" w:cs="Times New Roman"/>
          <w:i/>
          <w:iCs/>
          <w:color w:val="000000"/>
          <w:lang w:val="bg-BG"/>
        </w:rPr>
      </w:pPr>
      <w:r w:rsidRPr="00E15F8F">
        <w:rPr>
          <w:rFonts w:ascii="Times New Roman" w:hAnsi="Times New Roman" w:cs="Times New Roman"/>
          <w:i/>
          <w:iCs/>
          <w:color w:val="000000"/>
          <w:lang w:val="bg-BG"/>
        </w:rPr>
        <w:t>Източник: НСИ</w:t>
      </w:r>
    </w:p>
    <w:p w14:paraId="6EFD3D57"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i/>
          <w:iCs/>
          <w:sz w:val="24"/>
          <w:szCs w:val="24"/>
          <w:lang w:val="bg-BG"/>
        </w:rPr>
      </w:pPr>
    </w:p>
    <w:p w14:paraId="04271896"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Основен източник на водоснабдяване и производство в България са повърхностните водни тела. Над 89% от общото иззето количество за 2018 г. е от повърхностни води.</w:t>
      </w:r>
    </w:p>
    <w:p w14:paraId="384D5E8A" w14:textId="41F33604" w:rsidR="000532D9" w:rsidRPr="006F34D7" w:rsidRDefault="006F34D7" w:rsidP="006F34D7">
      <w:pPr>
        <w:pStyle w:val="Caption"/>
        <w:rPr>
          <w:rFonts w:eastAsiaTheme="minorHAnsi" w:cs="Times New Roman"/>
          <w:b w:val="0"/>
          <w:bCs w:val="0"/>
          <w:i/>
          <w:sz w:val="22"/>
          <w:szCs w:val="22"/>
          <w:lang w:eastAsia="en-US"/>
        </w:rPr>
      </w:pPr>
      <w:bookmarkStart w:id="40" w:name="_Toc72917662"/>
      <w:r w:rsidRPr="006F34D7">
        <w:rPr>
          <w:rFonts w:eastAsiaTheme="minorHAnsi" w:cs="Times New Roman"/>
          <w:b w:val="0"/>
          <w:bCs w:val="0"/>
          <w:i/>
          <w:sz w:val="22"/>
          <w:szCs w:val="22"/>
          <w:lang w:eastAsia="en-US"/>
        </w:rPr>
        <w:t xml:space="preserve">Фигура </w:t>
      </w:r>
      <w:r w:rsidRPr="006F34D7">
        <w:rPr>
          <w:rFonts w:eastAsiaTheme="minorHAnsi" w:cs="Times New Roman"/>
          <w:b w:val="0"/>
          <w:bCs w:val="0"/>
          <w:i/>
          <w:sz w:val="22"/>
          <w:szCs w:val="22"/>
          <w:lang w:eastAsia="en-US"/>
        </w:rPr>
        <w:fldChar w:fldCharType="begin"/>
      </w:r>
      <w:r w:rsidRPr="006F34D7">
        <w:rPr>
          <w:rFonts w:eastAsiaTheme="minorHAnsi" w:cs="Times New Roman"/>
          <w:b w:val="0"/>
          <w:bCs w:val="0"/>
          <w:i/>
          <w:sz w:val="22"/>
          <w:szCs w:val="22"/>
          <w:lang w:eastAsia="en-US"/>
        </w:rPr>
        <w:instrText xml:space="preserve"> SEQ Фигура \* ARABIC </w:instrText>
      </w:r>
      <w:r w:rsidRPr="006F34D7">
        <w:rPr>
          <w:rFonts w:eastAsiaTheme="minorHAnsi" w:cs="Times New Roman"/>
          <w:b w:val="0"/>
          <w:bCs w:val="0"/>
          <w:i/>
          <w:sz w:val="22"/>
          <w:szCs w:val="22"/>
          <w:lang w:eastAsia="en-US"/>
        </w:rPr>
        <w:fldChar w:fldCharType="separate"/>
      </w:r>
      <w:r w:rsidR="00E050A8">
        <w:rPr>
          <w:rFonts w:eastAsiaTheme="minorHAnsi" w:cs="Times New Roman"/>
          <w:b w:val="0"/>
          <w:bCs w:val="0"/>
          <w:i/>
          <w:noProof/>
          <w:sz w:val="22"/>
          <w:szCs w:val="22"/>
          <w:lang w:eastAsia="en-US"/>
        </w:rPr>
        <w:t>10</w:t>
      </w:r>
      <w:r w:rsidRPr="006F34D7">
        <w:rPr>
          <w:rFonts w:eastAsiaTheme="minorHAnsi" w:cs="Times New Roman"/>
          <w:b w:val="0"/>
          <w:bCs w:val="0"/>
          <w:i/>
          <w:sz w:val="22"/>
          <w:szCs w:val="22"/>
          <w:lang w:eastAsia="en-US"/>
        </w:rPr>
        <w:fldChar w:fldCharType="end"/>
      </w:r>
      <w:r w:rsidR="000532D9" w:rsidRPr="006F34D7">
        <w:rPr>
          <w:rFonts w:eastAsiaTheme="minorHAnsi" w:cs="Times New Roman"/>
          <w:b w:val="0"/>
          <w:bCs w:val="0"/>
          <w:i/>
          <w:sz w:val="22"/>
          <w:szCs w:val="22"/>
          <w:lang w:eastAsia="en-US"/>
        </w:rPr>
        <w:t xml:space="preserve"> Иззета вода по водоизточници, 2018 г.</w:t>
      </w:r>
      <w:bookmarkEnd w:id="40"/>
    </w:p>
    <w:p w14:paraId="0B30B492" w14:textId="77777777" w:rsidR="000532D9" w:rsidRPr="00E15F8F" w:rsidRDefault="000532D9" w:rsidP="000532D9">
      <w:pPr>
        <w:autoSpaceDE w:val="0"/>
        <w:autoSpaceDN w:val="0"/>
        <w:adjustRightInd w:val="0"/>
        <w:spacing w:after="0" w:line="240" w:lineRule="auto"/>
        <w:rPr>
          <w:rFonts w:ascii="Times New Roman" w:hAnsi="Times New Roman" w:cs="Times New Roman"/>
          <w:lang w:val="bg-BG"/>
        </w:rPr>
      </w:pPr>
      <w:r w:rsidRPr="00E15F8F">
        <w:rPr>
          <w:rFonts w:ascii="Times New Roman" w:hAnsi="Times New Roman" w:cs="Times New Roman"/>
          <w:noProof/>
          <w:lang w:val="bg-BG" w:eastAsia="bg-BG"/>
        </w:rPr>
        <w:drawing>
          <wp:inline distT="0" distB="0" distL="0" distR="0" wp14:anchorId="618F83E6" wp14:editId="59C3E83E">
            <wp:extent cx="4311650" cy="2120900"/>
            <wp:effectExtent l="0" t="0" r="12700" b="12700"/>
            <wp:docPr id="24" name="Chart 24">
              <a:extLst xmlns:a="http://schemas.openxmlformats.org/drawingml/2006/main">
                <a:ext uri="{FF2B5EF4-FFF2-40B4-BE49-F238E27FC236}">
                  <a16:creationId xmlns:a16="http://schemas.microsoft.com/office/drawing/2014/main" id="{B0704BB8-1375-48CB-9EC8-3194C10A24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668BEFBF" w14:textId="77777777" w:rsidR="000532D9" w:rsidRPr="00E15F8F" w:rsidRDefault="000532D9" w:rsidP="000532D9">
      <w:pPr>
        <w:autoSpaceDE w:val="0"/>
        <w:autoSpaceDN w:val="0"/>
        <w:adjustRightInd w:val="0"/>
        <w:spacing w:after="0" w:line="240" w:lineRule="auto"/>
        <w:rPr>
          <w:rFonts w:ascii="Times New Roman" w:hAnsi="Times New Roman" w:cs="Times New Roman"/>
          <w:i/>
          <w:iCs/>
          <w:lang w:val="bg-BG"/>
        </w:rPr>
      </w:pPr>
      <w:r w:rsidRPr="00E15F8F">
        <w:rPr>
          <w:rFonts w:ascii="Times New Roman" w:hAnsi="Times New Roman" w:cs="Times New Roman"/>
          <w:i/>
          <w:iCs/>
          <w:lang w:val="bg-BG"/>
        </w:rPr>
        <w:t>Източник: НСИ</w:t>
      </w:r>
    </w:p>
    <w:p w14:paraId="217960C2" w14:textId="77777777" w:rsidR="000532D9" w:rsidRPr="00E15F8F" w:rsidRDefault="000532D9" w:rsidP="000532D9">
      <w:pPr>
        <w:autoSpaceDE w:val="0"/>
        <w:autoSpaceDN w:val="0"/>
        <w:adjustRightInd w:val="0"/>
        <w:spacing w:after="0" w:line="240" w:lineRule="auto"/>
        <w:jc w:val="both"/>
        <w:rPr>
          <w:rFonts w:ascii="Times New Roman" w:hAnsi="Times New Roman" w:cs="Times New Roman"/>
          <w:sz w:val="24"/>
          <w:szCs w:val="24"/>
          <w:lang w:val="bg-BG"/>
        </w:rPr>
      </w:pPr>
    </w:p>
    <w:p w14:paraId="33FB8E75" w14:textId="1709874C" w:rsidR="000532D9" w:rsidRPr="001B1B03" w:rsidRDefault="000532D9" w:rsidP="000532D9">
      <w:pPr>
        <w:autoSpaceDE w:val="0"/>
        <w:autoSpaceDN w:val="0"/>
        <w:adjustRightInd w:val="0"/>
        <w:spacing w:after="0" w:line="240" w:lineRule="auto"/>
        <w:jc w:val="both"/>
        <w:rPr>
          <w:rFonts w:ascii="Times New Roman" w:hAnsi="Times New Roman" w:cs="Times New Roman"/>
          <w:lang w:val="bg-BG"/>
        </w:rPr>
      </w:pPr>
      <w:r w:rsidRPr="00E15F8F">
        <w:rPr>
          <w:rFonts w:ascii="Times New Roman" w:hAnsi="Times New Roman" w:cs="Times New Roman"/>
          <w:lang w:val="bg-BG"/>
        </w:rPr>
        <w:t xml:space="preserve">Използваните пресни и непресни води от крайните потребители в страната следват равнищата на иззетите води. Общото количество </w:t>
      </w:r>
      <w:r w:rsidRPr="00E15F8F">
        <w:rPr>
          <w:rFonts w:ascii="Times New Roman" w:hAnsi="Times New Roman" w:cs="Times New Roman"/>
          <w:b/>
          <w:bCs/>
          <w:lang w:val="bg-BG"/>
        </w:rPr>
        <w:t>използвана вода</w:t>
      </w:r>
      <w:r w:rsidRPr="00E15F8F">
        <w:rPr>
          <w:rFonts w:ascii="Times New Roman" w:hAnsi="Times New Roman" w:cs="Times New Roman"/>
          <w:lang w:val="bg-BG"/>
        </w:rPr>
        <w:t xml:space="preserve"> от икономиката и населението е относително постоянно за периода, като значителни отклонения се регистрират през 2011 г., поради продължителните периоди на засушаване. За 2018 г. това количество се изчислява на 4 646 млн. м</w:t>
      </w:r>
      <w:r w:rsidRPr="00E15F8F">
        <w:rPr>
          <w:rFonts w:ascii="Times New Roman" w:hAnsi="Times New Roman" w:cs="Times New Roman"/>
          <w:vertAlign w:val="superscript"/>
          <w:lang w:val="bg-BG"/>
        </w:rPr>
        <w:t>3</w:t>
      </w:r>
      <w:r w:rsidRPr="00E15F8F">
        <w:rPr>
          <w:rFonts w:ascii="Times New Roman" w:hAnsi="Times New Roman" w:cs="Times New Roman"/>
          <w:lang w:val="bg-BG"/>
        </w:rPr>
        <w:t>, стойност малко по-ниска от средната за периода (4694 млн. м</w:t>
      </w:r>
      <w:r w:rsidRPr="00E15F8F">
        <w:rPr>
          <w:rFonts w:ascii="Times New Roman" w:hAnsi="Times New Roman" w:cs="Times New Roman"/>
          <w:vertAlign w:val="superscript"/>
          <w:lang w:val="bg-BG"/>
        </w:rPr>
        <w:t>3</w:t>
      </w:r>
      <w:r w:rsidRPr="00E15F8F">
        <w:rPr>
          <w:rFonts w:ascii="Times New Roman" w:hAnsi="Times New Roman" w:cs="Times New Roman"/>
          <w:lang w:val="bg-BG"/>
        </w:rPr>
        <w:t>/год.). С най-голям дял, над 70%, са водите, използвани за охлаждане в производството и разпределението на електрическа, топлоенергия и газ.</w:t>
      </w:r>
    </w:p>
    <w:p w14:paraId="5494E04A" w14:textId="7CE6ED43" w:rsidR="000532D9" w:rsidRPr="00E15F8F" w:rsidRDefault="006F34D7" w:rsidP="006F34D7">
      <w:pPr>
        <w:pStyle w:val="Caption"/>
        <w:rPr>
          <w:rFonts w:cs="Times New Roman"/>
          <w:i/>
          <w:iCs/>
        </w:rPr>
      </w:pPr>
      <w:bookmarkStart w:id="41" w:name="_Toc72917596"/>
      <w:r w:rsidRPr="006F34D7">
        <w:rPr>
          <w:rFonts w:eastAsiaTheme="minorHAnsi" w:cs="Times New Roman"/>
          <w:b w:val="0"/>
          <w:bCs w:val="0"/>
          <w:i/>
          <w:iCs/>
          <w:sz w:val="22"/>
          <w:szCs w:val="22"/>
          <w:lang w:eastAsia="en-US"/>
        </w:rPr>
        <w:lastRenderedPageBreak/>
        <w:t xml:space="preserve">Таблица </w:t>
      </w:r>
      <w:r w:rsidRPr="006F34D7">
        <w:rPr>
          <w:rFonts w:eastAsiaTheme="minorHAnsi" w:cs="Times New Roman"/>
          <w:b w:val="0"/>
          <w:bCs w:val="0"/>
          <w:i/>
          <w:iCs/>
          <w:sz w:val="22"/>
          <w:szCs w:val="22"/>
          <w:lang w:eastAsia="en-US"/>
        </w:rPr>
        <w:fldChar w:fldCharType="begin"/>
      </w:r>
      <w:r w:rsidRPr="006F34D7">
        <w:rPr>
          <w:rFonts w:eastAsiaTheme="minorHAnsi" w:cs="Times New Roman"/>
          <w:b w:val="0"/>
          <w:bCs w:val="0"/>
          <w:i/>
          <w:iCs/>
          <w:sz w:val="22"/>
          <w:szCs w:val="22"/>
          <w:lang w:eastAsia="en-US"/>
        </w:rPr>
        <w:instrText xml:space="preserve"> SEQ Таблица \* ARABIC </w:instrText>
      </w:r>
      <w:r w:rsidRPr="006F34D7">
        <w:rPr>
          <w:rFonts w:eastAsiaTheme="minorHAnsi" w:cs="Times New Roman"/>
          <w:b w:val="0"/>
          <w:bCs w:val="0"/>
          <w:i/>
          <w:iCs/>
          <w:sz w:val="22"/>
          <w:szCs w:val="22"/>
          <w:lang w:eastAsia="en-US"/>
        </w:rPr>
        <w:fldChar w:fldCharType="separate"/>
      </w:r>
      <w:r w:rsidR="00E050A8">
        <w:rPr>
          <w:rFonts w:eastAsiaTheme="minorHAnsi" w:cs="Times New Roman"/>
          <w:b w:val="0"/>
          <w:bCs w:val="0"/>
          <w:i/>
          <w:iCs/>
          <w:noProof/>
          <w:sz w:val="22"/>
          <w:szCs w:val="22"/>
          <w:lang w:eastAsia="en-US"/>
        </w:rPr>
        <w:t>6</w:t>
      </w:r>
      <w:r w:rsidRPr="006F34D7">
        <w:rPr>
          <w:rFonts w:eastAsiaTheme="minorHAnsi" w:cs="Times New Roman"/>
          <w:b w:val="0"/>
          <w:bCs w:val="0"/>
          <w:i/>
          <w:iCs/>
          <w:sz w:val="22"/>
          <w:szCs w:val="22"/>
          <w:lang w:eastAsia="en-US"/>
        </w:rPr>
        <w:fldChar w:fldCharType="end"/>
      </w:r>
      <w:r w:rsidRPr="006F34D7">
        <w:rPr>
          <w:rFonts w:eastAsiaTheme="minorHAnsi" w:cs="Times New Roman"/>
          <w:b w:val="0"/>
          <w:bCs w:val="0"/>
          <w:i/>
          <w:iCs/>
          <w:sz w:val="22"/>
          <w:szCs w:val="22"/>
          <w:lang w:eastAsia="en-US"/>
        </w:rPr>
        <w:t xml:space="preserve"> </w:t>
      </w:r>
      <w:r w:rsidR="000532D9" w:rsidRPr="006F34D7">
        <w:rPr>
          <w:rFonts w:eastAsiaTheme="minorHAnsi" w:cs="Times New Roman"/>
          <w:b w:val="0"/>
          <w:bCs w:val="0"/>
          <w:i/>
          <w:iCs/>
          <w:sz w:val="22"/>
          <w:szCs w:val="22"/>
          <w:lang w:eastAsia="en-US"/>
        </w:rPr>
        <w:t>Използвана вода по икономически дейности за периода 2010 – 2018 г.</w:t>
      </w:r>
      <w:bookmarkEnd w:id="41"/>
      <w:r w:rsidR="000532D9" w:rsidRPr="006F34D7">
        <w:rPr>
          <w:rFonts w:eastAsiaTheme="minorHAnsi" w:cs="Times New Roman"/>
          <w:b w:val="0"/>
          <w:bCs w:val="0"/>
          <w:i/>
          <w:iCs/>
          <w:sz w:val="22"/>
          <w:szCs w:val="22"/>
          <w:lang w:eastAsia="en-US"/>
        </w:rPr>
        <w:t xml:space="preserve"> </w:t>
      </w:r>
    </w:p>
    <w:p w14:paraId="6E6D6327" w14:textId="77777777" w:rsidR="000532D9" w:rsidRPr="00E15F8F" w:rsidRDefault="000532D9" w:rsidP="000532D9">
      <w:pPr>
        <w:autoSpaceDE w:val="0"/>
        <w:autoSpaceDN w:val="0"/>
        <w:adjustRightInd w:val="0"/>
        <w:spacing w:after="0" w:line="240" w:lineRule="auto"/>
        <w:rPr>
          <w:rFonts w:ascii="Times New Roman" w:hAnsi="Times New Roman" w:cs="Times New Roman"/>
          <w:i/>
          <w:iCs/>
          <w:lang w:val="bg-BG"/>
        </w:rPr>
      </w:pPr>
    </w:p>
    <w:p w14:paraId="7581BB10" w14:textId="77777777" w:rsidR="000532D9" w:rsidRPr="00E15F8F" w:rsidRDefault="000532D9" w:rsidP="000532D9">
      <w:pPr>
        <w:autoSpaceDE w:val="0"/>
        <w:autoSpaceDN w:val="0"/>
        <w:adjustRightInd w:val="0"/>
        <w:spacing w:after="0" w:line="240" w:lineRule="auto"/>
        <w:jc w:val="right"/>
        <w:rPr>
          <w:rFonts w:ascii="Times New Roman" w:hAnsi="Times New Roman" w:cs="Times New Roman"/>
          <w:i/>
          <w:iCs/>
          <w:sz w:val="18"/>
          <w:szCs w:val="18"/>
          <w:lang w:val="bg-BG"/>
        </w:rPr>
      </w:pPr>
      <w:r w:rsidRPr="00E15F8F">
        <w:rPr>
          <w:rFonts w:ascii="Times New Roman" w:hAnsi="Times New Roman" w:cs="Times New Roman"/>
          <w:i/>
          <w:iCs/>
          <w:sz w:val="18"/>
          <w:szCs w:val="18"/>
          <w:lang w:val="bg-BG"/>
        </w:rPr>
        <w:t>Млн. куб. м./ год.</w:t>
      </w:r>
    </w:p>
    <w:tbl>
      <w:tblPr>
        <w:tblW w:w="5150" w:type="pct"/>
        <w:tblLayout w:type="fixed"/>
        <w:tblLook w:val="04A0" w:firstRow="1" w:lastRow="0" w:firstColumn="1" w:lastColumn="0" w:noHBand="0" w:noVBand="1"/>
      </w:tblPr>
      <w:tblGrid>
        <w:gridCol w:w="2327"/>
        <w:gridCol w:w="803"/>
        <w:gridCol w:w="810"/>
        <w:gridCol w:w="812"/>
        <w:gridCol w:w="812"/>
        <w:gridCol w:w="812"/>
        <w:gridCol w:w="812"/>
        <w:gridCol w:w="812"/>
        <w:gridCol w:w="810"/>
        <w:gridCol w:w="810"/>
      </w:tblGrid>
      <w:tr w:rsidR="000532D9" w:rsidRPr="00E15F8F" w14:paraId="5B1DA0BB" w14:textId="77777777" w:rsidTr="0047737A">
        <w:trPr>
          <w:trHeight w:val="283"/>
        </w:trPr>
        <w:tc>
          <w:tcPr>
            <w:tcW w:w="1209" w:type="pct"/>
            <w:tcBorders>
              <w:top w:val="single" w:sz="8" w:space="0" w:color="969696"/>
              <w:left w:val="single" w:sz="8" w:space="0" w:color="969696"/>
              <w:bottom w:val="single" w:sz="8" w:space="0" w:color="969696"/>
              <w:right w:val="single" w:sz="8" w:space="0" w:color="969696"/>
            </w:tcBorders>
            <w:shd w:val="clear" w:color="auto" w:fill="DEEAF6" w:themeFill="accent5" w:themeFillTint="33"/>
            <w:noWrap/>
            <w:vAlign w:val="bottom"/>
            <w:hideMark/>
          </w:tcPr>
          <w:p w14:paraId="0CF2443C"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w:t>
            </w:r>
          </w:p>
        </w:tc>
        <w:tc>
          <w:tcPr>
            <w:tcW w:w="417"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4530692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2010</w:t>
            </w:r>
          </w:p>
        </w:tc>
        <w:tc>
          <w:tcPr>
            <w:tcW w:w="421"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6D3F796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2011</w:t>
            </w:r>
          </w:p>
        </w:tc>
        <w:tc>
          <w:tcPr>
            <w:tcW w:w="422"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3720412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2012</w:t>
            </w:r>
          </w:p>
        </w:tc>
        <w:tc>
          <w:tcPr>
            <w:tcW w:w="422"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6B70309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2013</w:t>
            </w:r>
          </w:p>
        </w:tc>
        <w:tc>
          <w:tcPr>
            <w:tcW w:w="422"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4A04C5E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2014</w:t>
            </w:r>
          </w:p>
        </w:tc>
        <w:tc>
          <w:tcPr>
            <w:tcW w:w="422"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34291FD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2015</w:t>
            </w:r>
          </w:p>
        </w:tc>
        <w:tc>
          <w:tcPr>
            <w:tcW w:w="422"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28B7245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2016</w:t>
            </w:r>
          </w:p>
        </w:tc>
        <w:tc>
          <w:tcPr>
            <w:tcW w:w="421"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14F90D8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2017</w:t>
            </w:r>
          </w:p>
        </w:tc>
        <w:tc>
          <w:tcPr>
            <w:tcW w:w="421" w:type="pct"/>
            <w:tcBorders>
              <w:top w:val="single" w:sz="8" w:space="0" w:color="969696"/>
              <w:left w:val="nil"/>
              <w:bottom w:val="single" w:sz="8" w:space="0" w:color="969696"/>
              <w:right w:val="single" w:sz="8" w:space="0" w:color="969696"/>
            </w:tcBorders>
            <w:shd w:val="clear" w:color="auto" w:fill="DEEAF6" w:themeFill="accent5" w:themeFillTint="33"/>
            <w:noWrap/>
            <w:vAlign w:val="bottom"/>
            <w:hideMark/>
          </w:tcPr>
          <w:p w14:paraId="318875D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2018</w:t>
            </w:r>
          </w:p>
        </w:tc>
      </w:tr>
      <w:tr w:rsidR="000532D9" w:rsidRPr="00E15F8F" w14:paraId="5AFE58B4"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1AAC07CB" w14:textId="77777777" w:rsidR="000532D9" w:rsidRPr="00E15F8F" w:rsidRDefault="000532D9" w:rsidP="000532D9">
            <w:pPr>
              <w:spacing w:after="0" w:line="240" w:lineRule="auto"/>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Използвана вода - общо</w:t>
            </w:r>
            <w:r w:rsidRPr="00E15F8F">
              <w:rPr>
                <w:rFonts w:ascii="Times New Roman" w:eastAsia="Times New Roman" w:hAnsi="Times New Roman" w:cs="Times New Roman"/>
                <w:b/>
                <w:bCs/>
                <w:sz w:val="18"/>
                <w:szCs w:val="18"/>
                <w:vertAlign w:val="superscript"/>
                <w:lang w:val="bg-BG"/>
              </w:rPr>
              <w:t>1</w:t>
            </w:r>
          </w:p>
        </w:tc>
        <w:tc>
          <w:tcPr>
            <w:tcW w:w="417" w:type="pct"/>
            <w:tcBorders>
              <w:top w:val="nil"/>
              <w:left w:val="nil"/>
              <w:bottom w:val="single" w:sz="8" w:space="0" w:color="969696"/>
              <w:right w:val="single" w:sz="8" w:space="0" w:color="969696"/>
            </w:tcBorders>
            <w:shd w:val="clear" w:color="auto" w:fill="auto"/>
            <w:noWrap/>
            <w:vAlign w:val="bottom"/>
            <w:hideMark/>
          </w:tcPr>
          <w:p w14:paraId="54B3B2C3"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4821.28</w:t>
            </w:r>
          </w:p>
        </w:tc>
        <w:tc>
          <w:tcPr>
            <w:tcW w:w="421" w:type="pct"/>
            <w:tcBorders>
              <w:top w:val="nil"/>
              <w:left w:val="nil"/>
              <w:bottom w:val="single" w:sz="8" w:space="0" w:color="969696"/>
              <w:right w:val="single" w:sz="8" w:space="0" w:color="969696"/>
            </w:tcBorders>
            <w:shd w:val="clear" w:color="auto" w:fill="auto"/>
            <w:noWrap/>
            <w:vAlign w:val="bottom"/>
            <w:hideMark/>
          </w:tcPr>
          <w:p w14:paraId="0CDDCFA4"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5177.77</w:t>
            </w:r>
          </w:p>
        </w:tc>
        <w:tc>
          <w:tcPr>
            <w:tcW w:w="422" w:type="pct"/>
            <w:tcBorders>
              <w:top w:val="nil"/>
              <w:left w:val="nil"/>
              <w:bottom w:val="single" w:sz="8" w:space="0" w:color="969696"/>
              <w:right w:val="single" w:sz="8" w:space="0" w:color="969696"/>
            </w:tcBorders>
            <w:shd w:val="clear" w:color="auto" w:fill="auto"/>
            <w:noWrap/>
            <w:vAlign w:val="bottom"/>
            <w:hideMark/>
          </w:tcPr>
          <w:p w14:paraId="3473702A"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4559.42</w:t>
            </w:r>
          </w:p>
        </w:tc>
        <w:tc>
          <w:tcPr>
            <w:tcW w:w="422" w:type="pct"/>
            <w:tcBorders>
              <w:top w:val="nil"/>
              <w:left w:val="nil"/>
              <w:bottom w:val="single" w:sz="8" w:space="0" w:color="969696"/>
              <w:right w:val="single" w:sz="8" w:space="0" w:color="969696"/>
            </w:tcBorders>
            <w:shd w:val="clear" w:color="auto" w:fill="auto"/>
            <w:noWrap/>
            <w:vAlign w:val="bottom"/>
            <w:hideMark/>
          </w:tcPr>
          <w:p w14:paraId="4BA2CDD4"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4477.32</w:t>
            </w:r>
          </w:p>
        </w:tc>
        <w:tc>
          <w:tcPr>
            <w:tcW w:w="422" w:type="pct"/>
            <w:tcBorders>
              <w:top w:val="nil"/>
              <w:left w:val="nil"/>
              <w:bottom w:val="single" w:sz="8" w:space="0" w:color="969696"/>
              <w:right w:val="single" w:sz="8" w:space="0" w:color="969696"/>
            </w:tcBorders>
            <w:shd w:val="clear" w:color="auto" w:fill="auto"/>
            <w:noWrap/>
            <w:vAlign w:val="bottom"/>
            <w:hideMark/>
          </w:tcPr>
          <w:p w14:paraId="3FBF1E4C"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4505.68</w:t>
            </w:r>
          </w:p>
        </w:tc>
        <w:tc>
          <w:tcPr>
            <w:tcW w:w="422" w:type="pct"/>
            <w:tcBorders>
              <w:top w:val="nil"/>
              <w:left w:val="nil"/>
              <w:bottom w:val="single" w:sz="8" w:space="0" w:color="969696"/>
              <w:right w:val="single" w:sz="8" w:space="0" w:color="969696"/>
            </w:tcBorders>
            <w:shd w:val="clear" w:color="auto" w:fill="auto"/>
            <w:noWrap/>
            <w:vAlign w:val="bottom"/>
            <w:hideMark/>
          </w:tcPr>
          <w:p w14:paraId="21FA331C"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4735.50</w:t>
            </w:r>
          </w:p>
        </w:tc>
        <w:tc>
          <w:tcPr>
            <w:tcW w:w="422" w:type="pct"/>
            <w:tcBorders>
              <w:top w:val="nil"/>
              <w:left w:val="nil"/>
              <w:bottom w:val="single" w:sz="8" w:space="0" w:color="969696"/>
              <w:right w:val="single" w:sz="8" w:space="0" w:color="969696"/>
            </w:tcBorders>
            <w:shd w:val="clear" w:color="auto" w:fill="auto"/>
            <w:noWrap/>
            <w:vAlign w:val="bottom"/>
            <w:hideMark/>
          </w:tcPr>
          <w:p w14:paraId="1687896C"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4721.41</w:t>
            </w:r>
          </w:p>
        </w:tc>
        <w:tc>
          <w:tcPr>
            <w:tcW w:w="421" w:type="pct"/>
            <w:tcBorders>
              <w:top w:val="nil"/>
              <w:left w:val="nil"/>
              <w:bottom w:val="single" w:sz="8" w:space="0" w:color="969696"/>
              <w:right w:val="single" w:sz="8" w:space="0" w:color="969696"/>
            </w:tcBorders>
            <w:shd w:val="clear" w:color="auto" w:fill="auto"/>
            <w:noWrap/>
            <w:vAlign w:val="bottom"/>
            <w:hideMark/>
          </w:tcPr>
          <w:p w14:paraId="68AFBC50"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4732.45</w:t>
            </w:r>
          </w:p>
        </w:tc>
        <w:tc>
          <w:tcPr>
            <w:tcW w:w="421" w:type="pct"/>
            <w:tcBorders>
              <w:top w:val="nil"/>
              <w:left w:val="nil"/>
              <w:bottom w:val="single" w:sz="8" w:space="0" w:color="969696"/>
              <w:right w:val="single" w:sz="8" w:space="0" w:color="969696"/>
            </w:tcBorders>
            <w:shd w:val="clear" w:color="auto" w:fill="auto"/>
            <w:noWrap/>
            <w:vAlign w:val="bottom"/>
            <w:hideMark/>
          </w:tcPr>
          <w:p w14:paraId="38D83F3A" w14:textId="77777777" w:rsidR="000532D9" w:rsidRPr="00E15F8F" w:rsidRDefault="000532D9" w:rsidP="000532D9">
            <w:pPr>
              <w:spacing w:after="0" w:line="240" w:lineRule="auto"/>
              <w:jc w:val="right"/>
              <w:rPr>
                <w:rFonts w:ascii="Times New Roman" w:eastAsia="Times New Roman" w:hAnsi="Times New Roman" w:cs="Times New Roman"/>
                <w:b/>
                <w:bCs/>
                <w:sz w:val="18"/>
                <w:szCs w:val="18"/>
                <w:lang w:val="bg-BG"/>
              </w:rPr>
            </w:pPr>
            <w:r w:rsidRPr="00E15F8F">
              <w:rPr>
                <w:rFonts w:ascii="Times New Roman" w:eastAsia="Times New Roman" w:hAnsi="Times New Roman" w:cs="Times New Roman"/>
                <w:b/>
                <w:bCs/>
                <w:sz w:val="18"/>
                <w:szCs w:val="18"/>
                <w:lang w:val="bg-BG"/>
              </w:rPr>
              <w:t>4646.84</w:t>
            </w:r>
          </w:p>
        </w:tc>
      </w:tr>
      <w:tr w:rsidR="000532D9" w:rsidRPr="00E15F8F" w14:paraId="099BAF8E"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6A9DD9EA"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Селско, горско и рибно стопанство</w:t>
            </w:r>
          </w:p>
        </w:tc>
        <w:tc>
          <w:tcPr>
            <w:tcW w:w="417" w:type="pct"/>
            <w:tcBorders>
              <w:top w:val="nil"/>
              <w:left w:val="nil"/>
              <w:bottom w:val="single" w:sz="8" w:space="0" w:color="969696"/>
              <w:right w:val="single" w:sz="8" w:space="0" w:color="969696"/>
            </w:tcBorders>
            <w:shd w:val="clear" w:color="auto" w:fill="auto"/>
            <w:noWrap/>
            <w:vAlign w:val="bottom"/>
            <w:hideMark/>
          </w:tcPr>
          <w:p w14:paraId="44BDCEC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308.90</w:t>
            </w:r>
          </w:p>
        </w:tc>
        <w:tc>
          <w:tcPr>
            <w:tcW w:w="421" w:type="pct"/>
            <w:tcBorders>
              <w:top w:val="nil"/>
              <w:left w:val="nil"/>
              <w:bottom w:val="single" w:sz="8" w:space="0" w:color="969696"/>
              <w:right w:val="single" w:sz="8" w:space="0" w:color="969696"/>
            </w:tcBorders>
            <w:shd w:val="clear" w:color="auto" w:fill="auto"/>
            <w:noWrap/>
            <w:vAlign w:val="bottom"/>
            <w:hideMark/>
          </w:tcPr>
          <w:p w14:paraId="40B1BFC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348.43</w:t>
            </w:r>
          </w:p>
        </w:tc>
        <w:tc>
          <w:tcPr>
            <w:tcW w:w="422" w:type="pct"/>
            <w:tcBorders>
              <w:top w:val="nil"/>
              <w:left w:val="nil"/>
              <w:bottom w:val="single" w:sz="8" w:space="0" w:color="969696"/>
              <w:right w:val="single" w:sz="8" w:space="0" w:color="969696"/>
            </w:tcBorders>
            <w:shd w:val="clear" w:color="auto" w:fill="auto"/>
            <w:noWrap/>
            <w:vAlign w:val="bottom"/>
            <w:hideMark/>
          </w:tcPr>
          <w:p w14:paraId="7E16B37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295.83</w:t>
            </w:r>
          </w:p>
        </w:tc>
        <w:tc>
          <w:tcPr>
            <w:tcW w:w="422" w:type="pct"/>
            <w:tcBorders>
              <w:top w:val="nil"/>
              <w:left w:val="nil"/>
              <w:bottom w:val="single" w:sz="8" w:space="0" w:color="969696"/>
              <w:right w:val="single" w:sz="8" w:space="0" w:color="969696"/>
            </w:tcBorders>
            <w:shd w:val="clear" w:color="auto" w:fill="auto"/>
            <w:noWrap/>
            <w:vAlign w:val="bottom"/>
            <w:hideMark/>
          </w:tcPr>
          <w:p w14:paraId="47F0DB3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296.15</w:t>
            </w:r>
          </w:p>
        </w:tc>
        <w:tc>
          <w:tcPr>
            <w:tcW w:w="422" w:type="pct"/>
            <w:tcBorders>
              <w:top w:val="nil"/>
              <w:left w:val="nil"/>
              <w:bottom w:val="single" w:sz="8" w:space="0" w:color="969696"/>
              <w:right w:val="single" w:sz="8" w:space="0" w:color="969696"/>
            </w:tcBorders>
            <w:shd w:val="clear" w:color="auto" w:fill="auto"/>
            <w:noWrap/>
            <w:vAlign w:val="bottom"/>
            <w:hideMark/>
          </w:tcPr>
          <w:p w14:paraId="7E15A85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289.25</w:t>
            </w:r>
          </w:p>
        </w:tc>
        <w:tc>
          <w:tcPr>
            <w:tcW w:w="422" w:type="pct"/>
            <w:tcBorders>
              <w:top w:val="nil"/>
              <w:left w:val="nil"/>
              <w:bottom w:val="single" w:sz="8" w:space="0" w:color="969696"/>
              <w:right w:val="single" w:sz="8" w:space="0" w:color="969696"/>
            </w:tcBorders>
            <w:shd w:val="clear" w:color="auto" w:fill="auto"/>
            <w:noWrap/>
            <w:vAlign w:val="bottom"/>
            <w:hideMark/>
          </w:tcPr>
          <w:p w14:paraId="1FE8CF2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359.59</w:t>
            </w:r>
          </w:p>
        </w:tc>
        <w:tc>
          <w:tcPr>
            <w:tcW w:w="422" w:type="pct"/>
            <w:tcBorders>
              <w:top w:val="nil"/>
              <w:left w:val="nil"/>
              <w:bottom w:val="single" w:sz="8" w:space="0" w:color="969696"/>
              <w:right w:val="single" w:sz="8" w:space="0" w:color="969696"/>
            </w:tcBorders>
            <w:shd w:val="clear" w:color="auto" w:fill="auto"/>
            <w:noWrap/>
            <w:vAlign w:val="bottom"/>
            <w:hideMark/>
          </w:tcPr>
          <w:p w14:paraId="415FDD3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355.19</w:t>
            </w:r>
          </w:p>
        </w:tc>
        <w:tc>
          <w:tcPr>
            <w:tcW w:w="421" w:type="pct"/>
            <w:tcBorders>
              <w:top w:val="nil"/>
              <w:left w:val="nil"/>
              <w:bottom w:val="single" w:sz="8" w:space="0" w:color="969696"/>
              <w:right w:val="single" w:sz="8" w:space="0" w:color="969696"/>
            </w:tcBorders>
            <w:shd w:val="clear" w:color="auto" w:fill="auto"/>
            <w:noWrap/>
            <w:vAlign w:val="bottom"/>
            <w:hideMark/>
          </w:tcPr>
          <w:p w14:paraId="15B65CD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306.62</w:t>
            </w:r>
          </w:p>
        </w:tc>
        <w:tc>
          <w:tcPr>
            <w:tcW w:w="421" w:type="pct"/>
            <w:tcBorders>
              <w:top w:val="nil"/>
              <w:left w:val="nil"/>
              <w:bottom w:val="single" w:sz="8" w:space="0" w:color="969696"/>
              <w:right w:val="single" w:sz="8" w:space="0" w:color="969696"/>
            </w:tcBorders>
            <w:shd w:val="clear" w:color="auto" w:fill="auto"/>
            <w:noWrap/>
            <w:vAlign w:val="bottom"/>
            <w:hideMark/>
          </w:tcPr>
          <w:p w14:paraId="1014D0D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311.69</w:t>
            </w:r>
          </w:p>
        </w:tc>
      </w:tr>
      <w:tr w:rsidR="000532D9" w:rsidRPr="00E15F8F" w14:paraId="79D5B865"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34AA94F5"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Индустрия</w:t>
            </w:r>
          </w:p>
        </w:tc>
        <w:tc>
          <w:tcPr>
            <w:tcW w:w="417" w:type="pct"/>
            <w:tcBorders>
              <w:top w:val="nil"/>
              <w:left w:val="nil"/>
              <w:bottom w:val="single" w:sz="8" w:space="0" w:color="969696"/>
              <w:right w:val="single" w:sz="8" w:space="0" w:color="969696"/>
            </w:tcBorders>
            <w:shd w:val="clear" w:color="auto" w:fill="auto"/>
            <w:noWrap/>
            <w:vAlign w:val="bottom"/>
            <w:hideMark/>
          </w:tcPr>
          <w:p w14:paraId="0F21419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4180.40</w:t>
            </w:r>
          </w:p>
        </w:tc>
        <w:tc>
          <w:tcPr>
            <w:tcW w:w="421" w:type="pct"/>
            <w:tcBorders>
              <w:top w:val="nil"/>
              <w:left w:val="nil"/>
              <w:bottom w:val="single" w:sz="8" w:space="0" w:color="969696"/>
              <w:right w:val="single" w:sz="8" w:space="0" w:color="969696"/>
            </w:tcBorders>
            <w:shd w:val="clear" w:color="auto" w:fill="auto"/>
            <w:noWrap/>
            <w:vAlign w:val="bottom"/>
            <w:hideMark/>
          </w:tcPr>
          <w:p w14:paraId="09DDF56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4496.80</w:t>
            </w:r>
          </w:p>
        </w:tc>
        <w:tc>
          <w:tcPr>
            <w:tcW w:w="422" w:type="pct"/>
            <w:tcBorders>
              <w:top w:val="nil"/>
              <w:left w:val="nil"/>
              <w:bottom w:val="single" w:sz="8" w:space="0" w:color="969696"/>
              <w:right w:val="single" w:sz="8" w:space="0" w:color="969696"/>
            </w:tcBorders>
            <w:shd w:val="clear" w:color="auto" w:fill="auto"/>
            <w:noWrap/>
            <w:vAlign w:val="bottom"/>
            <w:hideMark/>
          </w:tcPr>
          <w:p w14:paraId="231B549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3926.93</w:t>
            </w:r>
          </w:p>
        </w:tc>
        <w:tc>
          <w:tcPr>
            <w:tcW w:w="422" w:type="pct"/>
            <w:tcBorders>
              <w:top w:val="nil"/>
              <w:left w:val="nil"/>
              <w:bottom w:val="single" w:sz="8" w:space="0" w:color="969696"/>
              <w:right w:val="single" w:sz="8" w:space="0" w:color="969696"/>
            </w:tcBorders>
            <w:shd w:val="clear" w:color="auto" w:fill="auto"/>
            <w:noWrap/>
            <w:vAlign w:val="bottom"/>
            <w:hideMark/>
          </w:tcPr>
          <w:p w14:paraId="6A881FB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3840.80</w:t>
            </w:r>
          </w:p>
        </w:tc>
        <w:tc>
          <w:tcPr>
            <w:tcW w:w="422" w:type="pct"/>
            <w:tcBorders>
              <w:top w:val="nil"/>
              <w:left w:val="nil"/>
              <w:bottom w:val="single" w:sz="8" w:space="0" w:color="969696"/>
              <w:right w:val="single" w:sz="8" w:space="0" w:color="969696"/>
            </w:tcBorders>
            <w:shd w:val="clear" w:color="auto" w:fill="auto"/>
            <w:noWrap/>
            <w:vAlign w:val="bottom"/>
            <w:hideMark/>
          </w:tcPr>
          <w:p w14:paraId="0335453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3887.18</w:t>
            </w:r>
          </w:p>
        </w:tc>
        <w:tc>
          <w:tcPr>
            <w:tcW w:w="422" w:type="pct"/>
            <w:tcBorders>
              <w:top w:val="nil"/>
              <w:left w:val="nil"/>
              <w:bottom w:val="single" w:sz="8" w:space="0" w:color="969696"/>
              <w:right w:val="single" w:sz="8" w:space="0" w:color="969696"/>
            </w:tcBorders>
            <w:shd w:val="clear" w:color="auto" w:fill="auto"/>
            <w:noWrap/>
            <w:vAlign w:val="bottom"/>
            <w:hideMark/>
          </w:tcPr>
          <w:p w14:paraId="2DACF60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4036.66</w:t>
            </w:r>
          </w:p>
        </w:tc>
        <w:tc>
          <w:tcPr>
            <w:tcW w:w="422" w:type="pct"/>
            <w:tcBorders>
              <w:top w:val="nil"/>
              <w:left w:val="nil"/>
              <w:bottom w:val="single" w:sz="8" w:space="0" w:color="969696"/>
              <w:right w:val="single" w:sz="8" w:space="0" w:color="969696"/>
            </w:tcBorders>
            <w:shd w:val="clear" w:color="auto" w:fill="auto"/>
            <w:noWrap/>
            <w:vAlign w:val="bottom"/>
            <w:hideMark/>
          </w:tcPr>
          <w:p w14:paraId="5F66E9A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4041.45</w:t>
            </w:r>
          </w:p>
        </w:tc>
        <w:tc>
          <w:tcPr>
            <w:tcW w:w="421" w:type="pct"/>
            <w:tcBorders>
              <w:top w:val="nil"/>
              <w:left w:val="nil"/>
              <w:bottom w:val="single" w:sz="8" w:space="0" w:color="969696"/>
              <w:right w:val="single" w:sz="8" w:space="0" w:color="969696"/>
            </w:tcBorders>
            <w:shd w:val="clear" w:color="auto" w:fill="auto"/>
            <w:noWrap/>
            <w:vAlign w:val="bottom"/>
            <w:hideMark/>
          </w:tcPr>
          <w:p w14:paraId="0A1E48E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4091.20</w:t>
            </w:r>
          </w:p>
        </w:tc>
        <w:tc>
          <w:tcPr>
            <w:tcW w:w="421" w:type="pct"/>
            <w:tcBorders>
              <w:top w:val="nil"/>
              <w:left w:val="nil"/>
              <w:bottom w:val="single" w:sz="8" w:space="0" w:color="969696"/>
              <w:right w:val="single" w:sz="8" w:space="0" w:color="969696"/>
            </w:tcBorders>
            <w:shd w:val="clear" w:color="auto" w:fill="auto"/>
            <w:noWrap/>
            <w:vAlign w:val="bottom"/>
            <w:hideMark/>
          </w:tcPr>
          <w:p w14:paraId="46DF268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3995.41</w:t>
            </w:r>
          </w:p>
        </w:tc>
      </w:tr>
      <w:tr w:rsidR="000532D9" w:rsidRPr="00E15F8F" w14:paraId="65F10CF7"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170FF31B"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Добивна промишленост</w:t>
            </w:r>
          </w:p>
        </w:tc>
        <w:tc>
          <w:tcPr>
            <w:tcW w:w="417" w:type="pct"/>
            <w:tcBorders>
              <w:top w:val="nil"/>
              <w:left w:val="nil"/>
              <w:bottom w:val="single" w:sz="8" w:space="0" w:color="969696"/>
              <w:right w:val="single" w:sz="8" w:space="0" w:color="969696"/>
            </w:tcBorders>
            <w:shd w:val="clear" w:color="auto" w:fill="auto"/>
            <w:noWrap/>
            <w:vAlign w:val="bottom"/>
            <w:hideMark/>
          </w:tcPr>
          <w:p w14:paraId="59EE0263"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34.86</w:t>
            </w:r>
          </w:p>
        </w:tc>
        <w:tc>
          <w:tcPr>
            <w:tcW w:w="421" w:type="pct"/>
            <w:tcBorders>
              <w:top w:val="nil"/>
              <w:left w:val="nil"/>
              <w:bottom w:val="single" w:sz="8" w:space="0" w:color="969696"/>
              <w:right w:val="single" w:sz="8" w:space="0" w:color="969696"/>
            </w:tcBorders>
            <w:shd w:val="clear" w:color="auto" w:fill="auto"/>
            <w:noWrap/>
            <w:vAlign w:val="bottom"/>
            <w:hideMark/>
          </w:tcPr>
          <w:p w14:paraId="1ADE76E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28.73</w:t>
            </w:r>
          </w:p>
        </w:tc>
        <w:tc>
          <w:tcPr>
            <w:tcW w:w="422" w:type="pct"/>
            <w:tcBorders>
              <w:top w:val="nil"/>
              <w:left w:val="nil"/>
              <w:bottom w:val="single" w:sz="8" w:space="0" w:color="969696"/>
              <w:right w:val="single" w:sz="8" w:space="0" w:color="969696"/>
            </w:tcBorders>
            <w:shd w:val="clear" w:color="auto" w:fill="auto"/>
            <w:noWrap/>
            <w:vAlign w:val="bottom"/>
            <w:hideMark/>
          </w:tcPr>
          <w:p w14:paraId="6384DEE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29.84</w:t>
            </w:r>
          </w:p>
        </w:tc>
        <w:tc>
          <w:tcPr>
            <w:tcW w:w="422" w:type="pct"/>
            <w:tcBorders>
              <w:top w:val="nil"/>
              <w:left w:val="nil"/>
              <w:bottom w:val="single" w:sz="8" w:space="0" w:color="969696"/>
              <w:right w:val="single" w:sz="8" w:space="0" w:color="969696"/>
            </w:tcBorders>
            <w:shd w:val="clear" w:color="auto" w:fill="auto"/>
            <w:noWrap/>
            <w:vAlign w:val="bottom"/>
            <w:hideMark/>
          </w:tcPr>
          <w:p w14:paraId="7B67187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31.03</w:t>
            </w:r>
          </w:p>
        </w:tc>
        <w:tc>
          <w:tcPr>
            <w:tcW w:w="422" w:type="pct"/>
            <w:tcBorders>
              <w:top w:val="nil"/>
              <w:left w:val="nil"/>
              <w:bottom w:val="single" w:sz="8" w:space="0" w:color="969696"/>
              <w:right w:val="single" w:sz="8" w:space="0" w:color="969696"/>
            </w:tcBorders>
            <w:shd w:val="clear" w:color="auto" w:fill="auto"/>
            <w:noWrap/>
            <w:vAlign w:val="bottom"/>
            <w:hideMark/>
          </w:tcPr>
          <w:p w14:paraId="3D23101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32.37</w:t>
            </w:r>
          </w:p>
        </w:tc>
        <w:tc>
          <w:tcPr>
            <w:tcW w:w="422" w:type="pct"/>
            <w:tcBorders>
              <w:top w:val="nil"/>
              <w:left w:val="nil"/>
              <w:bottom w:val="single" w:sz="8" w:space="0" w:color="969696"/>
              <w:right w:val="single" w:sz="8" w:space="0" w:color="969696"/>
            </w:tcBorders>
            <w:shd w:val="clear" w:color="auto" w:fill="auto"/>
            <w:noWrap/>
            <w:vAlign w:val="bottom"/>
            <w:hideMark/>
          </w:tcPr>
          <w:p w14:paraId="052DCB8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25.43</w:t>
            </w:r>
          </w:p>
        </w:tc>
        <w:tc>
          <w:tcPr>
            <w:tcW w:w="422" w:type="pct"/>
            <w:tcBorders>
              <w:top w:val="nil"/>
              <w:left w:val="nil"/>
              <w:bottom w:val="single" w:sz="8" w:space="0" w:color="969696"/>
              <w:right w:val="single" w:sz="8" w:space="0" w:color="969696"/>
            </w:tcBorders>
            <w:shd w:val="clear" w:color="auto" w:fill="auto"/>
            <w:noWrap/>
            <w:vAlign w:val="bottom"/>
            <w:hideMark/>
          </w:tcPr>
          <w:p w14:paraId="48E5CD3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28.80</w:t>
            </w:r>
          </w:p>
        </w:tc>
        <w:tc>
          <w:tcPr>
            <w:tcW w:w="421" w:type="pct"/>
            <w:tcBorders>
              <w:top w:val="nil"/>
              <w:left w:val="nil"/>
              <w:bottom w:val="single" w:sz="8" w:space="0" w:color="969696"/>
              <w:right w:val="single" w:sz="8" w:space="0" w:color="969696"/>
            </w:tcBorders>
            <w:shd w:val="clear" w:color="auto" w:fill="auto"/>
            <w:noWrap/>
            <w:vAlign w:val="bottom"/>
            <w:hideMark/>
          </w:tcPr>
          <w:p w14:paraId="32FE824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28.40</w:t>
            </w:r>
          </w:p>
        </w:tc>
        <w:tc>
          <w:tcPr>
            <w:tcW w:w="421" w:type="pct"/>
            <w:tcBorders>
              <w:top w:val="nil"/>
              <w:left w:val="nil"/>
              <w:bottom w:val="single" w:sz="8" w:space="0" w:color="969696"/>
              <w:right w:val="single" w:sz="8" w:space="0" w:color="969696"/>
            </w:tcBorders>
            <w:shd w:val="clear" w:color="auto" w:fill="auto"/>
            <w:noWrap/>
            <w:vAlign w:val="bottom"/>
            <w:hideMark/>
          </w:tcPr>
          <w:p w14:paraId="68D8F30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30.21</w:t>
            </w:r>
          </w:p>
        </w:tc>
      </w:tr>
      <w:tr w:rsidR="000532D9" w:rsidRPr="00E15F8F" w14:paraId="34E0490B"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6B8B585D"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Преработваща промишленост</w:t>
            </w:r>
          </w:p>
        </w:tc>
        <w:tc>
          <w:tcPr>
            <w:tcW w:w="417" w:type="pct"/>
            <w:tcBorders>
              <w:top w:val="nil"/>
              <w:left w:val="nil"/>
              <w:bottom w:val="single" w:sz="8" w:space="0" w:color="969696"/>
              <w:right w:val="single" w:sz="8" w:space="0" w:color="969696"/>
            </w:tcBorders>
            <w:shd w:val="clear" w:color="auto" w:fill="auto"/>
            <w:noWrap/>
            <w:vAlign w:val="bottom"/>
            <w:hideMark/>
          </w:tcPr>
          <w:p w14:paraId="5BC9D28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219.96</w:t>
            </w:r>
          </w:p>
        </w:tc>
        <w:tc>
          <w:tcPr>
            <w:tcW w:w="421" w:type="pct"/>
            <w:tcBorders>
              <w:top w:val="nil"/>
              <w:left w:val="nil"/>
              <w:bottom w:val="single" w:sz="8" w:space="0" w:color="969696"/>
              <w:right w:val="single" w:sz="8" w:space="0" w:color="969696"/>
            </w:tcBorders>
            <w:shd w:val="clear" w:color="auto" w:fill="auto"/>
            <w:noWrap/>
            <w:vAlign w:val="bottom"/>
            <w:hideMark/>
          </w:tcPr>
          <w:p w14:paraId="689F8BA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210.14</w:t>
            </w:r>
          </w:p>
        </w:tc>
        <w:tc>
          <w:tcPr>
            <w:tcW w:w="422" w:type="pct"/>
            <w:tcBorders>
              <w:top w:val="nil"/>
              <w:left w:val="nil"/>
              <w:bottom w:val="single" w:sz="8" w:space="0" w:color="969696"/>
              <w:right w:val="single" w:sz="8" w:space="0" w:color="969696"/>
            </w:tcBorders>
            <w:shd w:val="clear" w:color="auto" w:fill="auto"/>
            <w:noWrap/>
            <w:vAlign w:val="bottom"/>
            <w:hideMark/>
          </w:tcPr>
          <w:p w14:paraId="4BBD0EA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210.11</w:t>
            </w:r>
          </w:p>
        </w:tc>
        <w:tc>
          <w:tcPr>
            <w:tcW w:w="422" w:type="pct"/>
            <w:tcBorders>
              <w:top w:val="nil"/>
              <w:left w:val="nil"/>
              <w:bottom w:val="single" w:sz="8" w:space="0" w:color="969696"/>
              <w:right w:val="single" w:sz="8" w:space="0" w:color="969696"/>
            </w:tcBorders>
            <w:shd w:val="clear" w:color="auto" w:fill="auto"/>
            <w:noWrap/>
            <w:vAlign w:val="bottom"/>
            <w:hideMark/>
          </w:tcPr>
          <w:p w14:paraId="2EE83B7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194.00</w:t>
            </w:r>
          </w:p>
        </w:tc>
        <w:tc>
          <w:tcPr>
            <w:tcW w:w="422" w:type="pct"/>
            <w:tcBorders>
              <w:top w:val="nil"/>
              <w:left w:val="nil"/>
              <w:bottom w:val="single" w:sz="8" w:space="0" w:color="969696"/>
              <w:right w:val="single" w:sz="8" w:space="0" w:color="969696"/>
            </w:tcBorders>
            <w:shd w:val="clear" w:color="auto" w:fill="auto"/>
            <w:noWrap/>
            <w:vAlign w:val="bottom"/>
            <w:hideMark/>
          </w:tcPr>
          <w:p w14:paraId="1E3D33E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198.57</w:t>
            </w:r>
          </w:p>
        </w:tc>
        <w:tc>
          <w:tcPr>
            <w:tcW w:w="422" w:type="pct"/>
            <w:tcBorders>
              <w:top w:val="nil"/>
              <w:left w:val="nil"/>
              <w:bottom w:val="single" w:sz="8" w:space="0" w:color="969696"/>
              <w:right w:val="single" w:sz="8" w:space="0" w:color="969696"/>
            </w:tcBorders>
            <w:shd w:val="clear" w:color="auto" w:fill="auto"/>
            <w:noWrap/>
            <w:vAlign w:val="bottom"/>
            <w:hideMark/>
          </w:tcPr>
          <w:p w14:paraId="2CFD9E5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217.79</w:t>
            </w:r>
          </w:p>
        </w:tc>
        <w:tc>
          <w:tcPr>
            <w:tcW w:w="422" w:type="pct"/>
            <w:tcBorders>
              <w:top w:val="nil"/>
              <w:left w:val="nil"/>
              <w:bottom w:val="single" w:sz="8" w:space="0" w:color="969696"/>
              <w:right w:val="single" w:sz="8" w:space="0" w:color="969696"/>
            </w:tcBorders>
            <w:shd w:val="clear" w:color="auto" w:fill="auto"/>
            <w:noWrap/>
            <w:vAlign w:val="bottom"/>
            <w:hideMark/>
          </w:tcPr>
          <w:p w14:paraId="18B0D6B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214.08</w:t>
            </w:r>
          </w:p>
        </w:tc>
        <w:tc>
          <w:tcPr>
            <w:tcW w:w="421" w:type="pct"/>
            <w:tcBorders>
              <w:top w:val="nil"/>
              <w:left w:val="nil"/>
              <w:bottom w:val="single" w:sz="8" w:space="0" w:color="969696"/>
              <w:right w:val="single" w:sz="8" w:space="0" w:color="969696"/>
            </w:tcBorders>
            <w:shd w:val="clear" w:color="auto" w:fill="auto"/>
            <w:noWrap/>
            <w:vAlign w:val="bottom"/>
            <w:hideMark/>
          </w:tcPr>
          <w:p w14:paraId="5328D84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242.97</w:t>
            </w:r>
          </w:p>
        </w:tc>
        <w:tc>
          <w:tcPr>
            <w:tcW w:w="421" w:type="pct"/>
            <w:tcBorders>
              <w:top w:val="nil"/>
              <w:left w:val="nil"/>
              <w:bottom w:val="single" w:sz="8" w:space="0" w:color="969696"/>
              <w:right w:val="single" w:sz="8" w:space="0" w:color="969696"/>
            </w:tcBorders>
            <w:shd w:val="clear" w:color="auto" w:fill="auto"/>
            <w:noWrap/>
            <w:vAlign w:val="bottom"/>
            <w:hideMark/>
          </w:tcPr>
          <w:p w14:paraId="60FF154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225.00</w:t>
            </w:r>
          </w:p>
        </w:tc>
      </w:tr>
      <w:tr w:rsidR="000532D9" w:rsidRPr="00E15F8F" w14:paraId="755F47B4"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1B5EF554"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xml:space="preserve">    в т.ч : използвана за охлаждане в преработващата индустрия</w:t>
            </w:r>
          </w:p>
        </w:tc>
        <w:tc>
          <w:tcPr>
            <w:tcW w:w="417" w:type="pct"/>
            <w:tcBorders>
              <w:top w:val="nil"/>
              <w:left w:val="nil"/>
              <w:bottom w:val="single" w:sz="8" w:space="0" w:color="969696"/>
              <w:right w:val="single" w:sz="8" w:space="0" w:color="969696"/>
            </w:tcBorders>
            <w:shd w:val="clear" w:color="auto" w:fill="auto"/>
            <w:noWrap/>
            <w:vAlign w:val="bottom"/>
            <w:hideMark/>
          </w:tcPr>
          <w:p w14:paraId="24F6523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98.79</w:t>
            </w:r>
          </w:p>
        </w:tc>
        <w:tc>
          <w:tcPr>
            <w:tcW w:w="421" w:type="pct"/>
            <w:tcBorders>
              <w:top w:val="nil"/>
              <w:left w:val="nil"/>
              <w:bottom w:val="single" w:sz="8" w:space="0" w:color="969696"/>
              <w:right w:val="single" w:sz="8" w:space="0" w:color="969696"/>
            </w:tcBorders>
            <w:shd w:val="clear" w:color="auto" w:fill="auto"/>
            <w:noWrap/>
            <w:vAlign w:val="bottom"/>
            <w:hideMark/>
          </w:tcPr>
          <w:p w14:paraId="18BBB78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91.11</w:t>
            </w:r>
          </w:p>
        </w:tc>
        <w:tc>
          <w:tcPr>
            <w:tcW w:w="422" w:type="pct"/>
            <w:tcBorders>
              <w:top w:val="nil"/>
              <w:left w:val="nil"/>
              <w:bottom w:val="single" w:sz="8" w:space="0" w:color="969696"/>
              <w:right w:val="single" w:sz="8" w:space="0" w:color="969696"/>
            </w:tcBorders>
            <w:shd w:val="clear" w:color="auto" w:fill="auto"/>
            <w:noWrap/>
            <w:vAlign w:val="bottom"/>
            <w:hideMark/>
          </w:tcPr>
          <w:p w14:paraId="747CA9C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96.66</w:t>
            </w:r>
          </w:p>
        </w:tc>
        <w:tc>
          <w:tcPr>
            <w:tcW w:w="422" w:type="pct"/>
            <w:tcBorders>
              <w:top w:val="nil"/>
              <w:left w:val="nil"/>
              <w:bottom w:val="single" w:sz="8" w:space="0" w:color="969696"/>
              <w:right w:val="single" w:sz="8" w:space="0" w:color="969696"/>
            </w:tcBorders>
            <w:shd w:val="clear" w:color="auto" w:fill="auto"/>
            <w:noWrap/>
            <w:vAlign w:val="bottom"/>
            <w:hideMark/>
          </w:tcPr>
          <w:p w14:paraId="6D8B360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90.61</w:t>
            </w:r>
          </w:p>
        </w:tc>
        <w:tc>
          <w:tcPr>
            <w:tcW w:w="422" w:type="pct"/>
            <w:tcBorders>
              <w:top w:val="nil"/>
              <w:left w:val="nil"/>
              <w:bottom w:val="single" w:sz="8" w:space="0" w:color="969696"/>
              <w:right w:val="single" w:sz="8" w:space="0" w:color="969696"/>
            </w:tcBorders>
            <w:shd w:val="clear" w:color="auto" w:fill="auto"/>
            <w:noWrap/>
            <w:vAlign w:val="bottom"/>
            <w:hideMark/>
          </w:tcPr>
          <w:p w14:paraId="10A47D7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88.15</w:t>
            </w:r>
          </w:p>
        </w:tc>
        <w:tc>
          <w:tcPr>
            <w:tcW w:w="422" w:type="pct"/>
            <w:tcBorders>
              <w:top w:val="nil"/>
              <w:left w:val="nil"/>
              <w:bottom w:val="single" w:sz="8" w:space="0" w:color="969696"/>
              <w:right w:val="single" w:sz="8" w:space="0" w:color="969696"/>
            </w:tcBorders>
            <w:shd w:val="clear" w:color="auto" w:fill="auto"/>
            <w:noWrap/>
            <w:vAlign w:val="bottom"/>
            <w:hideMark/>
          </w:tcPr>
          <w:p w14:paraId="116F014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94.38</w:t>
            </w:r>
          </w:p>
        </w:tc>
        <w:tc>
          <w:tcPr>
            <w:tcW w:w="422" w:type="pct"/>
            <w:tcBorders>
              <w:top w:val="nil"/>
              <w:left w:val="nil"/>
              <w:bottom w:val="single" w:sz="8" w:space="0" w:color="969696"/>
              <w:right w:val="single" w:sz="8" w:space="0" w:color="969696"/>
            </w:tcBorders>
            <w:shd w:val="clear" w:color="auto" w:fill="auto"/>
            <w:noWrap/>
            <w:vAlign w:val="bottom"/>
            <w:hideMark/>
          </w:tcPr>
          <w:p w14:paraId="6A8FA9BF"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94.89</w:t>
            </w:r>
          </w:p>
        </w:tc>
        <w:tc>
          <w:tcPr>
            <w:tcW w:w="421" w:type="pct"/>
            <w:tcBorders>
              <w:top w:val="nil"/>
              <w:left w:val="nil"/>
              <w:bottom w:val="single" w:sz="8" w:space="0" w:color="969696"/>
              <w:right w:val="single" w:sz="8" w:space="0" w:color="969696"/>
            </w:tcBorders>
            <w:shd w:val="clear" w:color="auto" w:fill="auto"/>
            <w:noWrap/>
            <w:vAlign w:val="bottom"/>
            <w:hideMark/>
          </w:tcPr>
          <w:p w14:paraId="246FF8C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96.38</w:t>
            </w:r>
          </w:p>
        </w:tc>
        <w:tc>
          <w:tcPr>
            <w:tcW w:w="421" w:type="pct"/>
            <w:tcBorders>
              <w:top w:val="nil"/>
              <w:left w:val="nil"/>
              <w:bottom w:val="single" w:sz="8" w:space="0" w:color="969696"/>
              <w:right w:val="single" w:sz="8" w:space="0" w:color="969696"/>
            </w:tcBorders>
            <w:shd w:val="clear" w:color="auto" w:fill="auto"/>
            <w:noWrap/>
            <w:vAlign w:val="bottom"/>
            <w:hideMark/>
          </w:tcPr>
          <w:p w14:paraId="76A6BAF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93.34</w:t>
            </w:r>
          </w:p>
        </w:tc>
      </w:tr>
      <w:tr w:rsidR="000532D9" w:rsidRPr="00E15F8F" w14:paraId="22B5D226"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634ECA96"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Производство и разпределение на електрическа и топлоенергия и газ</w:t>
            </w:r>
          </w:p>
        </w:tc>
        <w:tc>
          <w:tcPr>
            <w:tcW w:w="417" w:type="pct"/>
            <w:tcBorders>
              <w:top w:val="nil"/>
              <w:left w:val="nil"/>
              <w:bottom w:val="single" w:sz="8" w:space="0" w:color="969696"/>
              <w:right w:val="single" w:sz="8" w:space="0" w:color="969696"/>
            </w:tcBorders>
            <w:shd w:val="clear" w:color="auto" w:fill="auto"/>
            <w:noWrap/>
            <w:vAlign w:val="bottom"/>
            <w:hideMark/>
          </w:tcPr>
          <w:p w14:paraId="60BEC29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3897.18</w:t>
            </w:r>
          </w:p>
        </w:tc>
        <w:tc>
          <w:tcPr>
            <w:tcW w:w="421" w:type="pct"/>
            <w:tcBorders>
              <w:top w:val="nil"/>
              <w:left w:val="nil"/>
              <w:bottom w:val="single" w:sz="8" w:space="0" w:color="969696"/>
              <w:right w:val="single" w:sz="8" w:space="0" w:color="969696"/>
            </w:tcBorders>
            <w:shd w:val="clear" w:color="auto" w:fill="auto"/>
            <w:noWrap/>
            <w:vAlign w:val="bottom"/>
            <w:hideMark/>
          </w:tcPr>
          <w:p w14:paraId="113D175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4244.31</w:t>
            </w:r>
          </w:p>
        </w:tc>
        <w:tc>
          <w:tcPr>
            <w:tcW w:w="422" w:type="pct"/>
            <w:tcBorders>
              <w:top w:val="nil"/>
              <w:left w:val="nil"/>
              <w:bottom w:val="single" w:sz="8" w:space="0" w:color="969696"/>
              <w:right w:val="single" w:sz="8" w:space="0" w:color="969696"/>
            </w:tcBorders>
            <w:shd w:val="clear" w:color="auto" w:fill="auto"/>
            <w:noWrap/>
            <w:vAlign w:val="bottom"/>
            <w:hideMark/>
          </w:tcPr>
          <w:p w14:paraId="6FB54CA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3667.03</w:t>
            </w:r>
          </w:p>
        </w:tc>
        <w:tc>
          <w:tcPr>
            <w:tcW w:w="422" w:type="pct"/>
            <w:tcBorders>
              <w:top w:val="nil"/>
              <w:left w:val="nil"/>
              <w:bottom w:val="single" w:sz="8" w:space="0" w:color="969696"/>
              <w:right w:val="single" w:sz="8" w:space="0" w:color="969696"/>
            </w:tcBorders>
            <w:shd w:val="clear" w:color="auto" w:fill="auto"/>
            <w:noWrap/>
            <w:vAlign w:val="bottom"/>
            <w:hideMark/>
          </w:tcPr>
          <w:p w14:paraId="194B948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3578.06</w:t>
            </w:r>
          </w:p>
        </w:tc>
        <w:tc>
          <w:tcPr>
            <w:tcW w:w="422" w:type="pct"/>
            <w:tcBorders>
              <w:top w:val="nil"/>
              <w:left w:val="nil"/>
              <w:bottom w:val="single" w:sz="8" w:space="0" w:color="969696"/>
              <w:right w:val="single" w:sz="8" w:space="0" w:color="969696"/>
            </w:tcBorders>
            <w:shd w:val="clear" w:color="auto" w:fill="auto"/>
            <w:noWrap/>
            <w:vAlign w:val="bottom"/>
            <w:hideMark/>
          </w:tcPr>
          <w:p w14:paraId="038D559D"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3625.24</w:t>
            </w:r>
          </w:p>
        </w:tc>
        <w:tc>
          <w:tcPr>
            <w:tcW w:w="422" w:type="pct"/>
            <w:tcBorders>
              <w:top w:val="nil"/>
              <w:left w:val="nil"/>
              <w:bottom w:val="single" w:sz="8" w:space="0" w:color="969696"/>
              <w:right w:val="single" w:sz="8" w:space="0" w:color="969696"/>
            </w:tcBorders>
            <w:shd w:val="clear" w:color="auto" w:fill="auto"/>
            <w:noWrap/>
            <w:vAlign w:val="bottom"/>
            <w:hideMark/>
          </w:tcPr>
          <w:p w14:paraId="601A0A5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3746.65</w:t>
            </w:r>
          </w:p>
        </w:tc>
        <w:tc>
          <w:tcPr>
            <w:tcW w:w="422" w:type="pct"/>
            <w:tcBorders>
              <w:top w:val="nil"/>
              <w:left w:val="nil"/>
              <w:bottom w:val="single" w:sz="8" w:space="0" w:color="969696"/>
              <w:right w:val="single" w:sz="8" w:space="0" w:color="969696"/>
            </w:tcBorders>
            <w:shd w:val="clear" w:color="auto" w:fill="auto"/>
            <w:noWrap/>
            <w:vAlign w:val="bottom"/>
            <w:hideMark/>
          </w:tcPr>
          <w:p w14:paraId="620BFFE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3740.57</w:t>
            </w:r>
          </w:p>
        </w:tc>
        <w:tc>
          <w:tcPr>
            <w:tcW w:w="421" w:type="pct"/>
            <w:tcBorders>
              <w:top w:val="nil"/>
              <w:left w:val="nil"/>
              <w:bottom w:val="single" w:sz="8" w:space="0" w:color="969696"/>
              <w:right w:val="single" w:sz="8" w:space="0" w:color="969696"/>
            </w:tcBorders>
            <w:shd w:val="clear" w:color="auto" w:fill="auto"/>
            <w:noWrap/>
            <w:vAlign w:val="bottom"/>
            <w:hideMark/>
          </w:tcPr>
          <w:p w14:paraId="016424C6"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3759.01</w:t>
            </w:r>
          </w:p>
        </w:tc>
        <w:tc>
          <w:tcPr>
            <w:tcW w:w="421" w:type="pct"/>
            <w:tcBorders>
              <w:top w:val="nil"/>
              <w:left w:val="nil"/>
              <w:bottom w:val="single" w:sz="8" w:space="0" w:color="969696"/>
              <w:right w:val="single" w:sz="8" w:space="0" w:color="969696"/>
            </w:tcBorders>
            <w:shd w:val="clear" w:color="auto" w:fill="auto"/>
            <w:noWrap/>
            <w:vAlign w:val="bottom"/>
            <w:hideMark/>
          </w:tcPr>
          <w:p w14:paraId="79E35EB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3683.59</w:t>
            </w:r>
          </w:p>
        </w:tc>
      </w:tr>
      <w:tr w:rsidR="000532D9" w:rsidRPr="00E15F8F" w14:paraId="0E1B734C"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344BD33F"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xml:space="preserve">    в т.ч. за охлаждане</w:t>
            </w:r>
          </w:p>
        </w:tc>
        <w:tc>
          <w:tcPr>
            <w:tcW w:w="417" w:type="pct"/>
            <w:tcBorders>
              <w:top w:val="nil"/>
              <w:left w:val="nil"/>
              <w:bottom w:val="single" w:sz="8" w:space="0" w:color="969696"/>
              <w:right w:val="single" w:sz="8" w:space="0" w:color="969696"/>
            </w:tcBorders>
            <w:shd w:val="clear" w:color="auto" w:fill="auto"/>
            <w:noWrap/>
            <w:vAlign w:val="bottom"/>
            <w:hideMark/>
          </w:tcPr>
          <w:p w14:paraId="5BF3F0C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3507.43</w:t>
            </w:r>
          </w:p>
        </w:tc>
        <w:tc>
          <w:tcPr>
            <w:tcW w:w="421" w:type="pct"/>
            <w:tcBorders>
              <w:top w:val="nil"/>
              <w:left w:val="nil"/>
              <w:bottom w:val="single" w:sz="8" w:space="0" w:color="969696"/>
              <w:right w:val="single" w:sz="8" w:space="0" w:color="969696"/>
            </w:tcBorders>
            <w:shd w:val="clear" w:color="auto" w:fill="auto"/>
            <w:noWrap/>
            <w:vAlign w:val="bottom"/>
            <w:hideMark/>
          </w:tcPr>
          <w:p w14:paraId="3867DFED"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3795.32</w:t>
            </w:r>
          </w:p>
        </w:tc>
        <w:tc>
          <w:tcPr>
            <w:tcW w:w="422" w:type="pct"/>
            <w:tcBorders>
              <w:top w:val="nil"/>
              <w:left w:val="nil"/>
              <w:bottom w:val="single" w:sz="8" w:space="0" w:color="969696"/>
              <w:right w:val="single" w:sz="8" w:space="0" w:color="969696"/>
            </w:tcBorders>
            <w:shd w:val="clear" w:color="auto" w:fill="auto"/>
            <w:noWrap/>
            <w:vAlign w:val="bottom"/>
            <w:hideMark/>
          </w:tcPr>
          <w:p w14:paraId="0406495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3283.96</w:t>
            </w:r>
          </w:p>
        </w:tc>
        <w:tc>
          <w:tcPr>
            <w:tcW w:w="422" w:type="pct"/>
            <w:tcBorders>
              <w:top w:val="nil"/>
              <w:left w:val="nil"/>
              <w:bottom w:val="single" w:sz="8" w:space="0" w:color="969696"/>
              <w:right w:val="single" w:sz="8" w:space="0" w:color="969696"/>
            </w:tcBorders>
            <w:shd w:val="clear" w:color="auto" w:fill="auto"/>
            <w:noWrap/>
            <w:vAlign w:val="bottom"/>
            <w:hideMark/>
          </w:tcPr>
          <w:p w14:paraId="0038319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3181.92</w:t>
            </w:r>
          </w:p>
        </w:tc>
        <w:tc>
          <w:tcPr>
            <w:tcW w:w="422" w:type="pct"/>
            <w:tcBorders>
              <w:top w:val="nil"/>
              <w:left w:val="nil"/>
              <w:bottom w:val="single" w:sz="8" w:space="0" w:color="969696"/>
              <w:right w:val="single" w:sz="8" w:space="0" w:color="969696"/>
            </w:tcBorders>
            <w:shd w:val="clear" w:color="auto" w:fill="auto"/>
            <w:noWrap/>
            <w:vAlign w:val="bottom"/>
            <w:hideMark/>
          </w:tcPr>
          <w:p w14:paraId="06D38DC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3236.75</w:t>
            </w:r>
          </w:p>
        </w:tc>
        <w:tc>
          <w:tcPr>
            <w:tcW w:w="422" w:type="pct"/>
            <w:tcBorders>
              <w:top w:val="nil"/>
              <w:left w:val="nil"/>
              <w:bottom w:val="single" w:sz="8" w:space="0" w:color="969696"/>
              <w:right w:val="single" w:sz="8" w:space="0" w:color="969696"/>
            </w:tcBorders>
            <w:shd w:val="clear" w:color="auto" w:fill="auto"/>
            <w:noWrap/>
            <w:vAlign w:val="bottom"/>
            <w:hideMark/>
          </w:tcPr>
          <w:p w14:paraId="7CF1F06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3686.38</w:t>
            </w:r>
          </w:p>
        </w:tc>
        <w:tc>
          <w:tcPr>
            <w:tcW w:w="422" w:type="pct"/>
            <w:tcBorders>
              <w:top w:val="nil"/>
              <w:left w:val="nil"/>
              <w:bottom w:val="single" w:sz="8" w:space="0" w:color="969696"/>
              <w:right w:val="single" w:sz="8" w:space="0" w:color="969696"/>
            </w:tcBorders>
            <w:shd w:val="clear" w:color="auto" w:fill="auto"/>
            <w:noWrap/>
            <w:vAlign w:val="bottom"/>
            <w:hideMark/>
          </w:tcPr>
          <w:p w14:paraId="68A10FC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3681.00</w:t>
            </w:r>
          </w:p>
        </w:tc>
        <w:tc>
          <w:tcPr>
            <w:tcW w:w="421" w:type="pct"/>
            <w:tcBorders>
              <w:top w:val="nil"/>
              <w:left w:val="nil"/>
              <w:bottom w:val="single" w:sz="8" w:space="0" w:color="969696"/>
              <w:right w:val="single" w:sz="8" w:space="0" w:color="969696"/>
            </w:tcBorders>
            <w:shd w:val="clear" w:color="auto" w:fill="auto"/>
            <w:noWrap/>
            <w:vAlign w:val="bottom"/>
            <w:hideMark/>
          </w:tcPr>
          <w:p w14:paraId="05E72AF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3704.41</w:t>
            </w:r>
          </w:p>
        </w:tc>
        <w:tc>
          <w:tcPr>
            <w:tcW w:w="421" w:type="pct"/>
            <w:tcBorders>
              <w:top w:val="nil"/>
              <w:left w:val="nil"/>
              <w:bottom w:val="single" w:sz="8" w:space="0" w:color="969696"/>
              <w:right w:val="single" w:sz="8" w:space="0" w:color="969696"/>
            </w:tcBorders>
            <w:shd w:val="clear" w:color="auto" w:fill="auto"/>
            <w:noWrap/>
            <w:vAlign w:val="bottom"/>
            <w:hideMark/>
          </w:tcPr>
          <w:p w14:paraId="1068589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3626.57</w:t>
            </w:r>
          </w:p>
        </w:tc>
      </w:tr>
      <w:tr w:rsidR="000532D9" w:rsidRPr="00E15F8F" w14:paraId="751BDF22"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4E22E74D"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Строителство</w:t>
            </w:r>
          </w:p>
        </w:tc>
        <w:tc>
          <w:tcPr>
            <w:tcW w:w="417" w:type="pct"/>
            <w:tcBorders>
              <w:top w:val="nil"/>
              <w:left w:val="nil"/>
              <w:bottom w:val="single" w:sz="8" w:space="0" w:color="969696"/>
              <w:right w:val="single" w:sz="8" w:space="0" w:color="969696"/>
            </w:tcBorders>
            <w:shd w:val="clear" w:color="auto" w:fill="auto"/>
            <w:noWrap/>
            <w:vAlign w:val="bottom"/>
            <w:hideMark/>
          </w:tcPr>
          <w:p w14:paraId="2C1053C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4.74</w:t>
            </w:r>
          </w:p>
        </w:tc>
        <w:tc>
          <w:tcPr>
            <w:tcW w:w="421" w:type="pct"/>
            <w:tcBorders>
              <w:top w:val="nil"/>
              <w:left w:val="nil"/>
              <w:bottom w:val="single" w:sz="8" w:space="0" w:color="969696"/>
              <w:right w:val="single" w:sz="8" w:space="0" w:color="969696"/>
            </w:tcBorders>
            <w:shd w:val="clear" w:color="auto" w:fill="auto"/>
            <w:noWrap/>
            <w:vAlign w:val="bottom"/>
            <w:hideMark/>
          </w:tcPr>
          <w:p w14:paraId="096A0AB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2.69</w:t>
            </w:r>
          </w:p>
        </w:tc>
        <w:tc>
          <w:tcPr>
            <w:tcW w:w="422" w:type="pct"/>
            <w:tcBorders>
              <w:top w:val="nil"/>
              <w:left w:val="nil"/>
              <w:bottom w:val="single" w:sz="8" w:space="0" w:color="969696"/>
              <w:right w:val="single" w:sz="8" w:space="0" w:color="969696"/>
            </w:tcBorders>
            <w:shd w:val="clear" w:color="auto" w:fill="auto"/>
            <w:noWrap/>
            <w:vAlign w:val="bottom"/>
            <w:hideMark/>
          </w:tcPr>
          <w:p w14:paraId="44294AF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2.62</w:t>
            </w:r>
          </w:p>
        </w:tc>
        <w:tc>
          <w:tcPr>
            <w:tcW w:w="422" w:type="pct"/>
            <w:tcBorders>
              <w:top w:val="nil"/>
              <w:left w:val="nil"/>
              <w:bottom w:val="single" w:sz="8" w:space="0" w:color="969696"/>
              <w:right w:val="single" w:sz="8" w:space="0" w:color="969696"/>
            </w:tcBorders>
            <w:shd w:val="clear" w:color="auto" w:fill="auto"/>
            <w:noWrap/>
            <w:vAlign w:val="bottom"/>
            <w:hideMark/>
          </w:tcPr>
          <w:p w14:paraId="7F2DF30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1.47</w:t>
            </w:r>
          </w:p>
        </w:tc>
        <w:tc>
          <w:tcPr>
            <w:tcW w:w="422" w:type="pct"/>
            <w:tcBorders>
              <w:top w:val="nil"/>
              <w:left w:val="nil"/>
              <w:bottom w:val="single" w:sz="8" w:space="0" w:color="969696"/>
              <w:right w:val="single" w:sz="8" w:space="0" w:color="969696"/>
            </w:tcBorders>
            <w:shd w:val="clear" w:color="auto" w:fill="auto"/>
            <w:noWrap/>
            <w:vAlign w:val="bottom"/>
            <w:hideMark/>
          </w:tcPr>
          <w:p w14:paraId="20D1DCDE"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1.88</w:t>
            </w:r>
          </w:p>
        </w:tc>
        <w:tc>
          <w:tcPr>
            <w:tcW w:w="422" w:type="pct"/>
            <w:tcBorders>
              <w:top w:val="nil"/>
              <w:left w:val="nil"/>
              <w:bottom w:val="single" w:sz="8" w:space="0" w:color="969696"/>
              <w:right w:val="single" w:sz="8" w:space="0" w:color="969696"/>
            </w:tcBorders>
            <w:shd w:val="clear" w:color="auto" w:fill="auto"/>
            <w:noWrap/>
            <w:vAlign w:val="bottom"/>
            <w:hideMark/>
          </w:tcPr>
          <w:p w14:paraId="2E12EB7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5.32</w:t>
            </w:r>
          </w:p>
        </w:tc>
        <w:tc>
          <w:tcPr>
            <w:tcW w:w="422" w:type="pct"/>
            <w:tcBorders>
              <w:top w:val="nil"/>
              <w:left w:val="nil"/>
              <w:bottom w:val="single" w:sz="8" w:space="0" w:color="969696"/>
              <w:right w:val="single" w:sz="8" w:space="0" w:color="969696"/>
            </w:tcBorders>
            <w:shd w:val="clear" w:color="auto" w:fill="auto"/>
            <w:noWrap/>
            <w:vAlign w:val="bottom"/>
            <w:hideMark/>
          </w:tcPr>
          <w:p w14:paraId="26E024A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4.41</w:t>
            </w:r>
          </w:p>
        </w:tc>
        <w:tc>
          <w:tcPr>
            <w:tcW w:w="421" w:type="pct"/>
            <w:tcBorders>
              <w:top w:val="nil"/>
              <w:left w:val="nil"/>
              <w:bottom w:val="single" w:sz="8" w:space="0" w:color="969696"/>
              <w:right w:val="single" w:sz="8" w:space="0" w:color="969696"/>
            </w:tcBorders>
            <w:shd w:val="clear" w:color="auto" w:fill="auto"/>
            <w:noWrap/>
            <w:vAlign w:val="bottom"/>
            <w:hideMark/>
          </w:tcPr>
          <w:p w14:paraId="7FE9D34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3.68</w:t>
            </w:r>
          </w:p>
        </w:tc>
        <w:tc>
          <w:tcPr>
            <w:tcW w:w="421" w:type="pct"/>
            <w:tcBorders>
              <w:top w:val="nil"/>
              <w:left w:val="nil"/>
              <w:bottom w:val="single" w:sz="8" w:space="0" w:color="969696"/>
              <w:right w:val="single" w:sz="8" w:space="0" w:color="969696"/>
            </w:tcBorders>
            <w:shd w:val="clear" w:color="auto" w:fill="auto"/>
            <w:noWrap/>
            <w:vAlign w:val="bottom"/>
            <w:hideMark/>
          </w:tcPr>
          <w:p w14:paraId="485B641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4.42</w:t>
            </w:r>
          </w:p>
        </w:tc>
      </w:tr>
      <w:tr w:rsidR="000532D9" w:rsidRPr="00E15F8F" w14:paraId="7B2065EC"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494C0334"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 Други индустриални дейности</w:t>
            </w:r>
          </w:p>
        </w:tc>
        <w:tc>
          <w:tcPr>
            <w:tcW w:w="417" w:type="pct"/>
            <w:tcBorders>
              <w:top w:val="nil"/>
              <w:left w:val="nil"/>
              <w:bottom w:val="single" w:sz="8" w:space="0" w:color="969696"/>
              <w:right w:val="single" w:sz="8" w:space="0" w:color="969696"/>
            </w:tcBorders>
            <w:shd w:val="clear" w:color="auto" w:fill="auto"/>
            <w:noWrap/>
            <w:vAlign w:val="bottom"/>
            <w:hideMark/>
          </w:tcPr>
          <w:p w14:paraId="0423B27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23.66</w:t>
            </w:r>
          </w:p>
        </w:tc>
        <w:tc>
          <w:tcPr>
            <w:tcW w:w="421" w:type="pct"/>
            <w:tcBorders>
              <w:top w:val="nil"/>
              <w:left w:val="nil"/>
              <w:bottom w:val="single" w:sz="8" w:space="0" w:color="969696"/>
              <w:right w:val="single" w:sz="8" w:space="0" w:color="969696"/>
            </w:tcBorders>
            <w:shd w:val="clear" w:color="auto" w:fill="auto"/>
            <w:noWrap/>
            <w:vAlign w:val="bottom"/>
            <w:hideMark/>
          </w:tcPr>
          <w:p w14:paraId="688156A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10.92</w:t>
            </w:r>
          </w:p>
        </w:tc>
        <w:tc>
          <w:tcPr>
            <w:tcW w:w="422" w:type="pct"/>
            <w:tcBorders>
              <w:top w:val="nil"/>
              <w:left w:val="nil"/>
              <w:bottom w:val="single" w:sz="8" w:space="0" w:color="969696"/>
              <w:right w:val="single" w:sz="8" w:space="0" w:color="969696"/>
            </w:tcBorders>
            <w:shd w:val="clear" w:color="auto" w:fill="auto"/>
            <w:noWrap/>
            <w:vAlign w:val="bottom"/>
            <w:hideMark/>
          </w:tcPr>
          <w:p w14:paraId="44E5B74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17.33</w:t>
            </w:r>
          </w:p>
        </w:tc>
        <w:tc>
          <w:tcPr>
            <w:tcW w:w="422" w:type="pct"/>
            <w:tcBorders>
              <w:top w:val="nil"/>
              <w:left w:val="nil"/>
              <w:bottom w:val="single" w:sz="8" w:space="0" w:color="969696"/>
              <w:right w:val="single" w:sz="8" w:space="0" w:color="969696"/>
            </w:tcBorders>
            <w:shd w:val="clear" w:color="auto" w:fill="auto"/>
            <w:noWrap/>
            <w:vAlign w:val="bottom"/>
            <w:hideMark/>
          </w:tcPr>
          <w:p w14:paraId="3BB4251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36.23</w:t>
            </w:r>
          </w:p>
        </w:tc>
        <w:tc>
          <w:tcPr>
            <w:tcW w:w="422" w:type="pct"/>
            <w:tcBorders>
              <w:top w:val="nil"/>
              <w:left w:val="nil"/>
              <w:bottom w:val="single" w:sz="8" w:space="0" w:color="969696"/>
              <w:right w:val="single" w:sz="8" w:space="0" w:color="969696"/>
            </w:tcBorders>
            <w:shd w:val="clear" w:color="auto" w:fill="auto"/>
            <w:noWrap/>
            <w:vAlign w:val="bottom"/>
            <w:hideMark/>
          </w:tcPr>
          <w:p w14:paraId="09007D9D"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29.12</w:t>
            </w:r>
          </w:p>
        </w:tc>
        <w:tc>
          <w:tcPr>
            <w:tcW w:w="422" w:type="pct"/>
            <w:tcBorders>
              <w:top w:val="nil"/>
              <w:left w:val="nil"/>
              <w:bottom w:val="single" w:sz="8" w:space="0" w:color="969696"/>
              <w:right w:val="single" w:sz="8" w:space="0" w:color="969696"/>
            </w:tcBorders>
            <w:shd w:val="clear" w:color="auto" w:fill="auto"/>
            <w:noWrap/>
            <w:vAlign w:val="bottom"/>
            <w:hideMark/>
          </w:tcPr>
          <w:p w14:paraId="72DFACB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41.48</w:t>
            </w:r>
          </w:p>
        </w:tc>
        <w:tc>
          <w:tcPr>
            <w:tcW w:w="422" w:type="pct"/>
            <w:tcBorders>
              <w:top w:val="nil"/>
              <w:left w:val="nil"/>
              <w:bottom w:val="single" w:sz="8" w:space="0" w:color="969696"/>
              <w:right w:val="single" w:sz="8" w:space="0" w:color="969696"/>
            </w:tcBorders>
            <w:shd w:val="clear" w:color="auto" w:fill="auto"/>
            <w:noWrap/>
            <w:vAlign w:val="bottom"/>
            <w:hideMark/>
          </w:tcPr>
          <w:p w14:paraId="09F23A5C"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53.59</w:t>
            </w:r>
          </w:p>
        </w:tc>
        <w:tc>
          <w:tcPr>
            <w:tcW w:w="421" w:type="pct"/>
            <w:tcBorders>
              <w:top w:val="nil"/>
              <w:left w:val="nil"/>
              <w:bottom w:val="single" w:sz="8" w:space="0" w:color="969696"/>
              <w:right w:val="single" w:sz="8" w:space="0" w:color="969696"/>
            </w:tcBorders>
            <w:shd w:val="clear" w:color="auto" w:fill="auto"/>
            <w:noWrap/>
            <w:vAlign w:val="bottom"/>
            <w:hideMark/>
          </w:tcPr>
          <w:p w14:paraId="2CB5865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57.14</w:t>
            </w:r>
          </w:p>
        </w:tc>
        <w:tc>
          <w:tcPr>
            <w:tcW w:w="421" w:type="pct"/>
            <w:tcBorders>
              <w:top w:val="nil"/>
              <w:left w:val="nil"/>
              <w:bottom w:val="single" w:sz="8" w:space="0" w:color="969696"/>
              <w:right w:val="single" w:sz="8" w:space="0" w:color="969696"/>
            </w:tcBorders>
            <w:shd w:val="clear" w:color="auto" w:fill="auto"/>
            <w:noWrap/>
            <w:vAlign w:val="bottom"/>
            <w:hideMark/>
          </w:tcPr>
          <w:p w14:paraId="4AF02DF8"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52.19</w:t>
            </w:r>
          </w:p>
        </w:tc>
      </w:tr>
      <w:tr w:rsidR="000532D9" w:rsidRPr="00E15F8F" w14:paraId="4C345761"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24F2FEFB"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Услуги</w:t>
            </w:r>
          </w:p>
        </w:tc>
        <w:tc>
          <w:tcPr>
            <w:tcW w:w="417" w:type="pct"/>
            <w:tcBorders>
              <w:top w:val="nil"/>
              <w:left w:val="nil"/>
              <w:bottom w:val="single" w:sz="8" w:space="0" w:color="969696"/>
              <w:right w:val="single" w:sz="8" w:space="0" w:color="969696"/>
            </w:tcBorders>
            <w:shd w:val="clear" w:color="auto" w:fill="auto"/>
            <w:noWrap/>
            <w:vAlign w:val="bottom"/>
            <w:hideMark/>
          </w:tcPr>
          <w:p w14:paraId="192C9A8F"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67.62</w:t>
            </w:r>
          </w:p>
        </w:tc>
        <w:tc>
          <w:tcPr>
            <w:tcW w:w="421" w:type="pct"/>
            <w:tcBorders>
              <w:top w:val="nil"/>
              <w:left w:val="nil"/>
              <w:bottom w:val="single" w:sz="8" w:space="0" w:color="969696"/>
              <w:right w:val="single" w:sz="8" w:space="0" w:color="969696"/>
            </w:tcBorders>
            <w:shd w:val="clear" w:color="auto" w:fill="auto"/>
            <w:noWrap/>
            <w:vAlign w:val="bottom"/>
            <w:hideMark/>
          </w:tcPr>
          <w:p w14:paraId="5F321C57"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66.23</w:t>
            </w:r>
          </w:p>
        </w:tc>
        <w:tc>
          <w:tcPr>
            <w:tcW w:w="422" w:type="pct"/>
            <w:tcBorders>
              <w:top w:val="nil"/>
              <w:left w:val="nil"/>
              <w:bottom w:val="single" w:sz="8" w:space="0" w:color="969696"/>
              <w:right w:val="single" w:sz="8" w:space="0" w:color="969696"/>
            </w:tcBorders>
            <w:shd w:val="clear" w:color="auto" w:fill="auto"/>
            <w:noWrap/>
            <w:vAlign w:val="bottom"/>
            <w:hideMark/>
          </w:tcPr>
          <w:p w14:paraId="20761EE2"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65.66</w:t>
            </w:r>
          </w:p>
        </w:tc>
        <w:tc>
          <w:tcPr>
            <w:tcW w:w="422" w:type="pct"/>
            <w:tcBorders>
              <w:top w:val="nil"/>
              <w:left w:val="nil"/>
              <w:bottom w:val="single" w:sz="8" w:space="0" w:color="969696"/>
              <w:right w:val="single" w:sz="8" w:space="0" w:color="969696"/>
            </w:tcBorders>
            <w:shd w:val="clear" w:color="auto" w:fill="auto"/>
            <w:noWrap/>
            <w:vAlign w:val="bottom"/>
            <w:hideMark/>
          </w:tcPr>
          <w:p w14:paraId="6E8B7F71"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79.64</w:t>
            </w:r>
          </w:p>
        </w:tc>
        <w:tc>
          <w:tcPr>
            <w:tcW w:w="422" w:type="pct"/>
            <w:tcBorders>
              <w:top w:val="nil"/>
              <w:left w:val="nil"/>
              <w:bottom w:val="single" w:sz="8" w:space="0" w:color="969696"/>
              <w:right w:val="single" w:sz="8" w:space="0" w:color="969696"/>
            </w:tcBorders>
            <w:shd w:val="clear" w:color="auto" w:fill="auto"/>
            <w:noWrap/>
            <w:vAlign w:val="bottom"/>
            <w:hideMark/>
          </w:tcPr>
          <w:p w14:paraId="78A50CD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78.55</w:t>
            </w:r>
          </w:p>
        </w:tc>
        <w:tc>
          <w:tcPr>
            <w:tcW w:w="422" w:type="pct"/>
            <w:tcBorders>
              <w:top w:val="nil"/>
              <w:left w:val="nil"/>
              <w:bottom w:val="single" w:sz="8" w:space="0" w:color="969696"/>
              <w:right w:val="single" w:sz="8" w:space="0" w:color="969696"/>
            </w:tcBorders>
            <w:shd w:val="clear" w:color="auto" w:fill="auto"/>
            <w:noWrap/>
            <w:vAlign w:val="bottom"/>
            <w:hideMark/>
          </w:tcPr>
          <w:p w14:paraId="6EEB22A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80.61</w:t>
            </w:r>
          </w:p>
        </w:tc>
        <w:tc>
          <w:tcPr>
            <w:tcW w:w="422" w:type="pct"/>
            <w:tcBorders>
              <w:top w:val="nil"/>
              <w:left w:val="nil"/>
              <w:bottom w:val="single" w:sz="8" w:space="0" w:color="969696"/>
              <w:right w:val="single" w:sz="8" w:space="0" w:color="969696"/>
            </w:tcBorders>
            <w:shd w:val="clear" w:color="auto" w:fill="auto"/>
            <w:noWrap/>
            <w:vAlign w:val="bottom"/>
            <w:hideMark/>
          </w:tcPr>
          <w:p w14:paraId="4D9DF6B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67.28</w:t>
            </w:r>
          </w:p>
        </w:tc>
        <w:tc>
          <w:tcPr>
            <w:tcW w:w="421" w:type="pct"/>
            <w:tcBorders>
              <w:top w:val="nil"/>
              <w:left w:val="nil"/>
              <w:bottom w:val="single" w:sz="8" w:space="0" w:color="969696"/>
              <w:right w:val="single" w:sz="8" w:space="0" w:color="969696"/>
            </w:tcBorders>
            <w:shd w:val="clear" w:color="auto" w:fill="auto"/>
            <w:noWrap/>
            <w:vAlign w:val="bottom"/>
            <w:hideMark/>
          </w:tcPr>
          <w:p w14:paraId="400F1A1B"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77.56</w:t>
            </w:r>
          </w:p>
        </w:tc>
        <w:tc>
          <w:tcPr>
            <w:tcW w:w="421" w:type="pct"/>
            <w:tcBorders>
              <w:top w:val="nil"/>
              <w:left w:val="nil"/>
              <w:bottom w:val="single" w:sz="8" w:space="0" w:color="969696"/>
              <w:right w:val="single" w:sz="8" w:space="0" w:color="969696"/>
            </w:tcBorders>
            <w:shd w:val="clear" w:color="auto" w:fill="auto"/>
            <w:noWrap/>
            <w:vAlign w:val="bottom"/>
            <w:hideMark/>
          </w:tcPr>
          <w:p w14:paraId="1E69642A"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86.73</w:t>
            </w:r>
          </w:p>
        </w:tc>
      </w:tr>
      <w:tr w:rsidR="000532D9" w:rsidRPr="00E15F8F" w14:paraId="51822AE1" w14:textId="77777777" w:rsidTr="0047737A">
        <w:trPr>
          <w:trHeight w:val="283"/>
        </w:trPr>
        <w:tc>
          <w:tcPr>
            <w:tcW w:w="1209" w:type="pct"/>
            <w:tcBorders>
              <w:top w:val="nil"/>
              <w:left w:val="single" w:sz="8" w:space="0" w:color="969696"/>
              <w:bottom w:val="single" w:sz="8" w:space="0" w:color="969696"/>
              <w:right w:val="single" w:sz="8" w:space="0" w:color="969696"/>
            </w:tcBorders>
            <w:shd w:val="clear" w:color="auto" w:fill="auto"/>
            <w:noWrap/>
            <w:vAlign w:val="bottom"/>
            <w:hideMark/>
          </w:tcPr>
          <w:p w14:paraId="0F08FFF4" w14:textId="77777777" w:rsidR="000532D9" w:rsidRPr="00E15F8F" w:rsidRDefault="000532D9" w:rsidP="000532D9">
            <w:pPr>
              <w:spacing w:after="0" w:line="240" w:lineRule="auto"/>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Домакинства</w:t>
            </w:r>
          </w:p>
        </w:tc>
        <w:tc>
          <w:tcPr>
            <w:tcW w:w="417" w:type="pct"/>
            <w:tcBorders>
              <w:top w:val="nil"/>
              <w:left w:val="nil"/>
              <w:bottom w:val="single" w:sz="8" w:space="0" w:color="969696"/>
              <w:right w:val="single" w:sz="8" w:space="0" w:color="969696"/>
            </w:tcBorders>
            <w:shd w:val="clear" w:color="auto" w:fill="auto"/>
            <w:noWrap/>
            <w:vAlign w:val="bottom"/>
            <w:hideMark/>
          </w:tcPr>
          <w:p w14:paraId="674FF3B4"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264.35</w:t>
            </w:r>
          </w:p>
        </w:tc>
        <w:tc>
          <w:tcPr>
            <w:tcW w:w="421" w:type="pct"/>
            <w:tcBorders>
              <w:top w:val="nil"/>
              <w:left w:val="nil"/>
              <w:bottom w:val="single" w:sz="8" w:space="0" w:color="969696"/>
              <w:right w:val="single" w:sz="8" w:space="0" w:color="969696"/>
            </w:tcBorders>
            <w:shd w:val="clear" w:color="auto" w:fill="auto"/>
            <w:noWrap/>
            <w:vAlign w:val="bottom"/>
            <w:hideMark/>
          </w:tcPr>
          <w:p w14:paraId="014525D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266.33</w:t>
            </w:r>
          </w:p>
        </w:tc>
        <w:tc>
          <w:tcPr>
            <w:tcW w:w="422" w:type="pct"/>
            <w:tcBorders>
              <w:top w:val="nil"/>
              <w:left w:val="nil"/>
              <w:bottom w:val="single" w:sz="8" w:space="0" w:color="969696"/>
              <w:right w:val="single" w:sz="8" w:space="0" w:color="969696"/>
            </w:tcBorders>
            <w:shd w:val="clear" w:color="auto" w:fill="auto"/>
            <w:noWrap/>
            <w:vAlign w:val="bottom"/>
            <w:hideMark/>
          </w:tcPr>
          <w:p w14:paraId="54C9A70F"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271.01</w:t>
            </w:r>
          </w:p>
        </w:tc>
        <w:tc>
          <w:tcPr>
            <w:tcW w:w="422" w:type="pct"/>
            <w:tcBorders>
              <w:top w:val="nil"/>
              <w:left w:val="nil"/>
              <w:bottom w:val="single" w:sz="8" w:space="0" w:color="969696"/>
              <w:right w:val="single" w:sz="8" w:space="0" w:color="969696"/>
            </w:tcBorders>
            <w:shd w:val="clear" w:color="auto" w:fill="auto"/>
            <w:noWrap/>
            <w:vAlign w:val="bottom"/>
            <w:hideMark/>
          </w:tcPr>
          <w:p w14:paraId="571AD140"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260.73</w:t>
            </w:r>
          </w:p>
        </w:tc>
        <w:tc>
          <w:tcPr>
            <w:tcW w:w="422" w:type="pct"/>
            <w:tcBorders>
              <w:top w:val="nil"/>
              <w:left w:val="nil"/>
              <w:bottom w:val="single" w:sz="8" w:space="0" w:color="969696"/>
              <w:right w:val="single" w:sz="8" w:space="0" w:color="969696"/>
            </w:tcBorders>
            <w:shd w:val="clear" w:color="auto" w:fill="auto"/>
            <w:noWrap/>
            <w:vAlign w:val="bottom"/>
            <w:hideMark/>
          </w:tcPr>
          <w:p w14:paraId="3ADA71A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250.71</w:t>
            </w:r>
          </w:p>
        </w:tc>
        <w:tc>
          <w:tcPr>
            <w:tcW w:w="422" w:type="pct"/>
            <w:tcBorders>
              <w:top w:val="nil"/>
              <w:left w:val="nil"/>
              <w:bottom w:val="single" w:sz="8" w:space="0" w:color="969696"/>
              <w:right w:val="single" w:sz="8" w:space="0" w:color="969696"/>
            </w:tcBorders>
            <w:shd w:val="clear" w:color="auto" w:fill="auto"/>
            <w:noWrap/>
            <w:vAlign w:val="bottom"/>
            <w:hideMark/>
          </w:tcPr>
          <w:p w14:paraId="6946A84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258.64</w:t>
            </w:r>
          </w:p>
        </w:tc>
        <w:tc>
          <w:tcPr>
            <w:tcW w:w="422" w:type="pct"/>
            <w:tcBorders>
              <w:top w:val="nil"/>
              <w:left w:val="nil"/>
              <w:bottom w:val="single" w:sz="8" w:space="0" w:color="969696"/>
              <w:right w:val="single" w:sz="8" w:space="0" w:color="969696"/>
            </w:tcBorders>
            <w:shd w:val="clear" w:color="auto" w:fill="auto"/>
            <w:noWrap/>
            <w:vAlign w:val="bottom"/>
            <w:hideMark/>
          </w:tcPr>
          <w:p w14:paraId="56B25D65"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257.49</w:t>
            </w:r>
          </w:p>
        </w:tc>
        <w:tc>
          <w:tcPr>
            <w:tcW w:w="421" w:type="pct"/>
            <w:tcBorders>
              <w:top w:val="nil"/>
              <w:left w:val="nil"/>
              <w:bottom w:val="single" w:sz="8" w:space="0" w:color="969696"/>
              <w:right w:val="single" w:sz="8" w:space="0" w:color="969696"/>
            </w:tcBorders>
            <w:shd w:val="clear" w:color="auto" w:fill="auto"/>
            <w:noWrap/>
            <w:vAlign w:val="bottom"/>
            <w:hideMark/>
          </w:tcPr>
          <w:p w14:paraId="13B5CEF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257.07</w:t>
            </w:r>
          </w:p>
        </w:tc>
        <w:tc>
          <w:tcPr>
            <w:tcW w:w="421" w:type="pct"/>
            <w:tcBorders>
              <w:top w:val="nil"/>
              <w:left w:val="nil"/>
              <w:bottom w:val="single" w:sz="8" w:space="0" w:color="969696"/>
              <w:right w:val="single" w:sz="8" w:space="0" w:color="969696"/>
            </w:tcBorders>
            <w:shd w:val="clear" w:color="auto" w:fill="auto"/>
            <w:noWrap/>
            <w:vAlign w:val="bottom"/>
            <w:hideMark/>
          </w:tcPr>
          <w:p w14:paraId="40D1F3C9" w14:textId="77777777" w:rsidR="000532D9" w:rsidRPr="00E15F8F" w:rsidRDefault="000532D9" w:rsidP="000532D9">
            <w:pPr>
              <w:spacing w:after="0" w:line="240" w:lineRule="auto"/>
              <w:jc w:val="right"/>
              <w:rPr>
                <w:rFonts w:ascii="Times New Roman" w:eastAsia="Times New Roman" w:hAnsi="Times New Roman" w:cs="Times New Roman"/>
                <w:sz w:val="18"/>
                <w:szCs w:val="18"/>
                <w:lang w:val="bg-BG"/>
              </w:rPr>
            </w:pPr>
            <w:r w:rsidRPr="00E15F8F">
              <w:rPr>
                <w:rFonts w:ascii="Times New Roman" w:eastAsia="Times New Roman" w:hAnsi="Times New Roman" w:cs="Times New Roman"/>
                <w:sz w:val="18"/>
                <w:szCs w:val="18"/>
                <w:lang w:val="bg-BG"/>
              </w:rPr>
              <w:t>253.01</w:t>
            </w:r>
          </w:p>
        </w:tc>
      </w:tr>
    </w:tbl>
    <w:p w14:paraId="09B3D0CF" w14:textId="77777777" w:rsidR="000532D9" w:rsidRPr="00E15F8F" w:rsidRDefault="000532D9" w:rsidP="000532D9">
      <w:pPr>
        <w:autoSpaceDE w:val="0"/>
        <w:autoSpaceDN w:val="0"/>
        <w:adjustRightInd w:val="0"/>
        <w:spacing w:after="0" w:line="240" w:lineRule="auto"/>
        <w:rPr>
          <w:rFonts w:ascii="Times New Roman" w:hAnsi="Times New Roman" w:cs="Times New Roman"/>
          <w:i/>
          <w:iCs/>
          <w:lang w:val="bg-BG"/>
        </w:rPr>
      </w:pPr>
    </w:p>
    <w:p w14:paraId="525E4B39" w14:textId="77777777" w:rsidR="000532D9" w:rsidRPr="00E15F8F" w:rsidRDefault="000532D9" w:rsidP="000532D9">
      <w:pPr>
        <w:autoSpaceDE w:val="0"/>
        <w:autoSpaceDN w:val="0"/>
        <w:adjustRightInd w:val="0"/>
        <w:spacing w:after="0" w:line="240" w:lineRule="auto"/>
        <w:rPr>
          <w:rFonts w:ascii="Times New Roman" w:hAnsi="Times New Roman" w:cs="Times New Roman"/>
          <w:i/>
          <w:iCs/>
          <w:lang w:val="bg-BG"/>
        </w:rPr>
      </w:pPr>
      <w:r w:rsidRPr="00E15F8F">
        <w:rPr>
          <w:rFonts w:ascii="Times New Roman" w:hAnsi="Times New Roman" w:cs="Times New Roman"/>
          <w:i/>
          <w:iCs/>
          <w:lang w:val="bg-BG"/>
        </w:rPr>
        <w:t>Източник: НСИ</w:t>
      </w:r>
    </w:p>
    <w:p w14:paraId="0678A220" w14:textId="77777777" w:rsidR="000532D9" w:rsidRPr="00E15F8F" w:rsidRDefault="000532D9" w:rsidP="000532D9">
      <w:pPr>
        <w:autoSpaceDE w:val="0"/>
        <w:autoSpaceDN w:val="0"/>
        <w:adjustRightInd w:val="0"/>
        <w:spacing w:after="0" w:line="240" w:lineRule="auto"/>
        <w:rPr>
          <w:rFonts w:ascii="Times New Roman" w:hAnsi="Times New Roman" w:cs="Times New Roman"/>
          <w:sz w:val="24"/>
          <w:szCs w:val="24"/>
          <w:lang w:val="bg-BG"/>
        </w:rPr>
      </w:pPr>
    </w:p>
    <w:p w14:paraId="5CF065FD"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На второ място по потребление е сектор Селско стопанство с около 320 млн. куб. м. средно на година, следван от сектор Преработваща промишленост – с малко над 214 млн. куб. м. средно годишно потребление. Консумацията на вода в сектора на услугите през 2018 г. нараства до близо 87 млн. м</w:t>
      </w:r>
      <w:r w:rsidRPr="00E15F8F">
        <w:rPr>
          <w:rFonts w:ascii="Times New Roman" w:hAnsi="Times New Roman" w:cs="Times New Roman"/>
          <w:vertAlign w:val="superscript"/>
          <w:lang w:val="bg-BG"/>
        </w:rPr>
        <w:t>3</w:t>
      </w:r>
      <w:r w:rsidRPr="00E15F8F">
        <w:rPr>
          <w:rFonts w:ascii="Times New Roman" w:hAnsi="Times New Roman" w:cs="Times New Roman"/>
          <w:lang w:val="bg-BG"/>
        </w:rPr>
        <w:t xml:space="preserve"> или с 19% над средногодишното количество за периода 2010 – 2017 г.</w:t>
      </w:r>
    </w:p>
    <w:p w14:paraId="0D8575E0"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По отношение на общата картина на използването на водите в икономическите сектори в Европа, България не е изключение. Все пак следва да се отбележи, че в европейски мащаб, най-голям потребител са селското стопанство и производството на енергия, като на тези сектори се падат съответно 58% и 18% от общото количество използвана вода в Европа.</w:t>
      </w:r>
      <w:r w:rsidRPr="00E15F8F">
        <w:rPr>
          <w:rStyle w:val="FootnoteReference"/>
          <w:rFonts w:ascii="Times New Roman" w:hAnsi="Times New Roman" w:cs="Times New Roman"/>
          <w:lang w:val="bg-BG"/>
        </w:rPr>
        <w:footnoteReference w:id="29"/>
      </w:r>
    </w:p>
    <w:p w14:paraId="4C2F2BFC" w14:textId="52D5F258" w:rsidR="000532D9" w:rsidRPr="00E050A8" w:rsidRDefault="00E050A8" w:rsidP="00E050A8">
      <w:pPr>
        <w:pStyle w:val="Caption"/>
        <w:rPr>
          <w:rFonts w:eastAsiaTheme="minorHAnsi" w:cs="Times New Roman"/>
          <w:b w:val="0"/>
          <w:bCs w:val="0"/>
          <w:i/>
          <w:iCs/>
          <w:sz w:val="22"/>
          <w:szCs w:val="22"/>
          <w:lang w:eastAsia="en-US"/>
        </w:rPr>
      </w:pPr>
      <w:bookmarkStart w:id="42" w:name="_Toc72917663"/>
      <w:r w:rsidRPr="00E050A8">
        <w:rPr>
          <w:rFonts w:eastAsiaTheme="minorHAnsi" w:cs="Times New Roman"/>
          <w:b w:val="0"/>
          <w:bCs w:val="0"/>
          <w:i/>
          <w:iCs/>
          <w:sz w:val="22"/>
          <w:szCs w:val="22"/>
          <w:lang w:eastAsia="en-US"/>
        </w:rPr>
        <w:t xml:space="preserve">Фигура </w:t>
      </w:r>
      <w:r w:rsidRPr="00E050A8">
        <w:rPr>
          <w:rFonts w:eastAsiaTheme="minorHAnsi" w:cs="Times New Roman"/>
          <w:b w:val="0"/>
          <w:bCs w:val="0"/>
          <w:i/>
          <w:iCs/>
          <w:sz w:val="22"/>
          <w:szCs w:val="22"/>
          <w:lang w:eastAsia="en-US"/>
        </w:rPr>
        <w:fldChar w:fldCharType="begin"/>
      </w:r>
      <w:r w:rsidRPr="00E050A8">
        <w:rPr>
          <w:rFonts w:eastAsiaTheme="minorHAnsi" w:cs="Times New Roman"/>
          <w:b w:val="0"/>
          <w:bCs w:val="0"/>
          <w:i/>
          <w:iCs/>
          <w:sz w:val="22"/>
          <w:szCs w:val="22"/>
          <w:lang w:eastAsia="en-US"/>
        </w:rPr>
        <w:instrText xml:space="preserve"> SEQ Фигура \* ARABIC </w:instrText>
      </w:r>
      <w:r w:rsidRPr="00E050A8">
        <w:rPr>
          <w:rFonts w:eastAsiaTheme="minorHAnsi" w:cs="Times New Roman"/>
          <w:b w:val="0"/>
          <w:bCs w:val="0"/>
          <w:i/>
          <w:iCs/>
          <w:sz w:val="22"/>
          <w:szCs w:val="22"/>
          <w:lang w:eastAsia="en-US"/>
        </w:rPr>
        <w:fldChar w:fldCharType="separate"/>
      </w:r>
      <w:r>
        <w:rPr>
          <w:rFonts w:eastAsiaTheme="minorHAnsi" w:cs="Times New Roman"/>
          <w:b w:val="0"/>
          <w:bCs w:val="0"/>
          <w:i/>
          <w:iCs/>
          <w:noProof/>
          <w:sz w:val="22"/>
          <w:szCs w:val="22"/>
          <w:lang w:eastAsia="en-US"/>
        </w:rPr>
        <w:t>11</w:t>
      </w:r>
      <w:r w:rsidRPr="00E050A8">
        <w:rPr>
          <w:rFonts w:eastAsiaTheme="minorHAnsi" w:cs="Times New Roman"/>
          <w:b w:val="0"/>
          <w:bCs w:val="0"/>
          <w:i/>
          <w:iCs/>
          <w:sz w:val="22"/>
          <w:szCs w:val="22"/>
          <w:lang w:eastAsia="en-US"/>
        </w:rPr>
        <w:fldChar w:fldCharType="end"/>
      </w:r>
      <w:r w:rsidRPr="00E050A8">
        <w:rPr>
          <w:rFonts w:eastAsiaTheme="minorHAnsi" w:cs="Times New Roman"/>
          <w:b w:val="0"/>
          <w:bCs w:val="0"/>
          <w:i/>
          <w:iCs/>
          <w:sz w:val="22"/>
          <w:szCs w:val="22"/>
          <w:lang w:eastAsia="en-US"/>
        </w:rPr>
        <w:t xml:space="preserve"> </w:t>
      </w:r>
      <w:r w:rsidR="000532D9" w:rsidRPr="00E050A8">
        <w:rPr>
          <w:rFonts w:eastAsiaTheme="minorHAnsi" w:cs="Times New Roman"/>
          <w:b w:val="0"/>
          <w:bCs w:val="0"/>
          <w:i/>
          <w:iCs/>
          <w:sz w:val="22"/>
          <w:szCs w:val="22"/>
          <w:lang w:eastAsia="en-US"/>
        </w:rPr>
        <w:t>Използвана вода в Европа по икономически сектори, 2017 г.</w:t>
      </w:r>
      <w:bookmarkEnd w:id="42"/>
    </w:p>
    <w:p w14:paraId="48B73664" w14:textId="77777777" w:rsidR="000532D9" w:rsidRPr="00E15F8F" w:rsidRDefault="000532D9" w:rsidP="000532D9">
      <w:pPr>
        <w:autoSpaceDE w:val="0"/>
        <w:autoSpaceDN w:val="0"/>
        <w:adjustRightInd w:val="0"/>
        <w:spacing w:after="0" w:line="240" w:lineRule="auto"/>
        <w:rPr>
          <w:rFonts w:ascii="Times New Roman" w:hAnsi="Times New Roman" w:cs="Times New Roman"/>
          <w:noProof/>
          <w:lang w:val="bg-BG"/>
        </w:rPr>
      </w:pPr>
    </w:p>
    <w:p w14:paraId="37AE7DFC" w14:textId="77777777" w:rsidR="000532D9" w:rsidRPr="00E15F8F" w:rsidRDefault="000532D9" w:rsidP="000532D9">
      <w:pPr>
        <w:autoSpaceDE w:val="0"/>
        <w:autoSpaceDN w:val="0"/>
        <w:adjustRightInd w:val="0"/>
        <w:spacing w:after="0" w:line="240" w:lineRule="auto"/>
        <w:rPr>
          <w:rFonts w:ascii="Times New Roman" w:hAnsi="Times New Roman" w:cs="Times New Roman"/>
          <w:noProof/>
          <w:lang w:val="bg-BG"/>
        </w:rPr>
      </w:pPr>
      <w:r w:rsidRPr="00E15F8F">
        <w:rPr>
          <w:rFonts w:ascii="Times New Roman" w:hAnsi="Times New Roman" w:cs="Times New Roman"/>
          <w:noProof/>
          <w:lang w:val="bg-BG" w:eastAsia="bg-BG"/>
        </w:rPr>
        <w:lastRenderedPageBreak/>
        <w:drawing>
          <wp:inline distT="0" distB="0" distL="0" distR="0" wp14:anchorId="4BB17C9F" wp14:editId="2C65040B">
            <wp:extent cx="5113020" cy="1889760"/>
            <wp:effectExtent l="0" t="0" r="11430" b="15240"/>
            <wp:docPr id="35" name="Chart 35">
              <a:extLst xmlns:a="http://schemas.openxmlformats.org/drawingml/2006/main">
                <a:ext uri="{FF2B5EF4-FFF2-40B4-BE49-F238E27FC236}">
                  <a16:creationId xmlns:a16="http://schemas.microsoft.com/office/drawing/2014/main" id="{1CF11D54-EC76-41ED-83F8-7AF313092B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C23F65A" w14:textId="77777777" w:rsidR="000532D9" w:rsidRPr="00E15F8F" w:rsidRDefault="000532D9" w:rsidP="000532D9">
      <w:pPr>
        <w:autoSpaceDE w:val="0"/>
        <w:autoSpaceDN w:val="0"/>
        <w:adjustRightInd w:val="0"/>
        <w:spacing w:after="0" w:line="240" w:lineRule="auto"/>
        <w:rPr>
          <w:rFonts w:ascii="Times New Roman" w:hAnsi="Times New Roman" w:cs="Times New Roman"/>
          <w:i/>
          <w:iCs/>
          <w:lang w:val="bg-BG"/>
        </w:rPr>
      </w:pPr>
      <w:r w:rsidRPr="00E15F8F">
        <w:rPr>
          <w:rFonts w:ascii="Times New Roman" w:hAnsi="Times New Roman" w:cs="Times New Roman"/>
          <w:i/>
          <w:iCs/>
          <w:lang w:val="bg-BG"/>
        </w:rPr>
        <w:t>Източник: ЕАОС</w:t>
      </w:r>
    </w:p>
    <w:p w14:paraId="4AAEB150" w14:textId="77777777" w:rsidR="000532D9" w:rsidRPr="00E15F8F" w:rsidRDefault="000532D9" w:rsidP="000532D9">
      <w:pPr>
        <w:autoSpaceDE w:val="0"/>
        <w:autoSpaceDN w:val="0"/>
        <w:adjustRightInd w:val="0"/>
        <w:spacing w:after="0" w:line="240" w:lineRule="auto"/>
        <w:rPr>
          <w:rFonts w:ascii="Times New Roman" w:hAnsi="Times New Roman" w:cs="Times New Roman"/>
          <w:sz w:val="24"/>
          <w:szCs w:val="24"/>
          <w:lang w:val="bg-BG"/>
        </w:rPr>
      </w:pPr>
    </w:p>
    <w:p w14:paraId="4DACA824" w14:textId="24D91EE6" w:rsidR="000532D9" w:rsidRPr="00E15F8F" w:rsidRDefault="000532D9" w:rsidP="00E15F8F">
      <w:pPr>
        <w:autoSpaceDE w:val="0"/>
        <w:autoSpaceDN w:val="0"/>
        <w:adjustRightInd w:val="0"/>
        <w:spacing w:after="0" w:line="240" w:lineRule="auto"/>
        <w:jc w:val="both"/>
        <w:rPr>
          <w:rFonts w:ascii="Times New Roman" w:hAnsi="Times New Roman" w:cs="Times New Roman"/>
          <w:lang w:val="bg-BG"/>
        </w:rPr>
      </w:pPr>
      <w:r w:rsidRPr="00E15F8F">
        <w:rPr>
          <w:rFonts w:ascii="Times New Roman" w:hAnsi="Times New Roman" w:cs="Times New Roman"/>
          <w:lang w:val="bg-BG"/>
        </w:rPr>
        <w:t>Потреблението на вода от домакинствата е относително постоянно за периода или приблизително 260 млн. м</w:t>
      </w:r>
      <w:r w:rsidRPr="00E15F8F">
        <w:rPr>
          <w:rFonts w:ascii="Times New Roman" w:hAnsi="Times New Roman" w:cs="Times New Roman"/>
          <w:vertAlign w:val="superscript"/>
          <w:lang w:val="bg-BG"/>
        </w:rPr>
        <w:t>3</w:t>
      </w:r>
      <w:r w:rsidRPr="00E15F8F">
        <w:rPr>
          <w:rFonts w:ascii="Times New Roman" w:hAnsi="Times New Roman" w:cs="Times New Roman"/>
          <w:lang w:val="bg-BG"/>
        </w:rPr>
        <w:t>/ годишно. Тенденцията по показател „Използвана вода на човек от населението“ също е относително стабилна, като през 2018 г. се равнява на 661 м</w:t>
      </w:r>
      <w:r w:rsidRPr="00E15F8F">
        <w:rPr>
          <w:rFonts w:ascii="Times New Roman" w:hAnsi="Times New Roman" w:cs="Times New Roman"/>
          <w:vertAlign w:val="superscript"/>
          <w:lang w:val="bg-BG"/>
        </w:rPr>
        <w:t>3</w:t>
      </w:r>
      <w:r w:rsidRPr="00E15F8F">
        <w:rPr>
          <w:rFonts w:ascii="Times New Roman" w:hAnsi="Times New Roman" w:cs="Times New Roman"/>
          <w:lang w:val="bg-BG"/>
        </w:rPr>
        <w:t xml:space="preserve">/човек/год. </w:t>
      </w:r>
    </w:p>
    <w:p w14:paraId="73BB518E"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 xml:space="preserve">Специално внимание в контекста на анализа на движещите сили за България заслужават секторите на </w:t>
      </w:r>
      <w:r w:rsidRPr="00E15F8F">
        <w:rPr>
          <w:rFonts w:ascii="Times New Roman" w:hAnsi="Times New Roman" w:cs="Times New Roman"/>
          <w:b/>
          <w:bCs/>
          <w:lang w:val="bg-BG"/>
        </w:rPr>
        <w:t>синята икономика</w:t>
      </w:r>
      <w:r w:rsidRPr="00E15F8F">
        <w:rPr>
          <w:rFonts w:ascii="Times New Roman" w:hAnsi="Times New Roman" w:cs="Times New Roman"/>
          <w:lang w:val="bg-BG"/>
        </w:rPr>
        <w:t>, както традиционни, така и възникващи, от гледна точка на потенциал за устойчивото развитие на крайбрежните общности и като предизвикателства пред опазването на природния капитал, съществуващи и възможни конфликти между различните сектори, които оказват влияние върху качеството на морската околна среда.</w:t>
      </w:r>
    </w:p>
    <w:p w14:paraId="7434A4AD" w14:textId="77777777" w:rsidR="000532D9" w:rsidRPr="00E15F8F" w:rsidRDefault="000532D9" w:rsidP="000532D9">
      <w:pPr>
        <w:autoSpaceDE w:val="0"/>
        <w:autoSpaceDN w:val="0"/>
        <w:adjustRightInd w:val="0"/>
        <w:spacing w:after="0" w:line="276" w:lineRule="auto"/>
        <w:jc w:val="both"/>
        <w:rPr>
          <w:rFonts w:ascii="Times New Roman" w:hAnsi="Times New Roman" w:cs="Times New Roman"/>
          <w:lang w:val="bg-BG"/>
        </w:rPr>
      </w:pPr>
      <w:r w:rsidRPr="00E15F8F">
        <w:rPr>
          <w:rFonts w:ascii="Times New Roman" w:hAnsi="Times New Roman" w:cs="Times New Roman"/>
          <w:lang w:val="bg-BG"/>
        </w:rPr>
        <w:t xml:space="preserve">Ключови морски сектори от икономиката на България са крайбрежният и морски туризъм, рибарство и аквакултури, корабоплаване, пристанища, корабостроене и кораборемонтни дейности, които генерират 2% от БДС на всички икономически сектори и предоставят около 3.4% от работните места в страната. </w:t>
      </w:r>
    </w:p>
    <w:p w14:paraId="3442B30F" w14:textId="7FDC8960" w:rsidR="000532D9" w:rsidRPr="00E050A8" w:rsidRDefault="00E050A8" w:rsidP="00E050A8">
      <w:pPr>
        <w:pStyle w:val="Caption"/>
        <w:rPr>
          <w:rFonts w:eastAsiaTheme="minorHAnsi" w:cs="Times New Roman"/>
          <w:b w:val="0"/>
          <w:bCs w:val="0"/>
          <w:i/>
          <w:iCs/>
          <w:sz w:val="22"/>
          <w:szCs w:val="22"/>
          <w:lang w:eastAsia="en-US"/>
        </w:rPr>
      </w:pPr>
      <w:bookmarkStart w:id="43" w:name="_Toc72917597"/>
      <w:r w:rsidRPr="00E050A8">
        <w:rPr>
          <w:rFonts w:eastAsiaTheme="minorHAnsi" w:cs="Times New Roman"/>
          <w:b w:val="0"/>
          <w:bCs w:val="0"/>
          <w:i/>
          <w:iCs/>
          <w:sz w:val="22"/>
          <w:szCs w:val="22"/>
          <w:lang w:eastAsia="en-US"/>
        </w:rPr>
        <w:t xml:space="preserve">Таблица </w:t>
      </w:r>
      <w:r w:rsidRPr="00E050A8">
        <w:rPr>
          <w:rFonts w:eastAsiaTheme="minorHAnsi" w:cs="Times New Roman"/>
          <w:b w:val="0"/>
          <w:bCs w:val="0"/>
          <w:i/>
          <w:iCs/>
          <w:sz w:val="22"/>
          <w:szCs w:val="22"/>
          <w:lang w:eastAsia="en-US"/>
        </w:rPr>
        <w:fldChar w:fldCharType="begin"/>
      </w:r>
      <w:r w:rsidRPr="00E050A8">
        <w:rPr>
          <w:rFonts w:eastAsiaTheme="minorHAnsi" w:cs="Times New Roman"/>
          <w:b w:val="0"/>
          <w:bCs w:val="0"/>
          <w:i/>
          <w:iCs/>
          <w:sz w:val="22"/>
          <w:szCs w:val="22"/>
          <w:lang w:eastAsia="en-US"/>
        </w:rPr>
        <w:instrText xml:space="preserve"> SEQ Таблица \* ARABIC </w:instrText>
      </w:r>
      <w:r w:rsidRPr="00E050A8">
        <w:rPr>
          <w:rFonts w:eastAsiaTheme="minorHAnsi" w:cs="Times New Roman"/>
          <w:b w:val="0"/>
          <w:bCs w:val="0"/>
          <w:i/>
          <w:iCs/>
          <w:sz w:val="22"/>
          <w:szCs w:val="22"/>
          <w:lang w:eastAsia="en-US"/>
        </w:rPr>
        <w:fldChar w:fldCharType="separate"/>
      </w:r>
      <w:r w:rsidRPr="00E050A8">
        <w:rPr>
          <w:rFonts w:eastAsiaTheme="minorHAnsi" w:cs="Times New Roman"/>
          <w:b w:val="0"/>
          <w:bCs w:val="0"/>
          <w:i/>
          <w:iCs/>
          <w:sz w:val="22"/>
          <w:szCs w:val="22"/>
          <w:lang w:eastAsia="en-US"/>
        </w:rPr>
        <w:t>7</w:t>
      </w:r>
      <w:r w:rsidRPr="00E050A8">
        <w:rPr>
          <w:rFonts w:eastAsiaTheme="minorHAnsi" w:cs="Times New Roman"/>
          <w:b w:val="0"/>
          <w:bCs w:val="0"/>
          <w:i/>
          <w:iCs/>
          <w:sz w:val="22"/>
          <w:szCs w:val="22"/>
          <w:lang w:eastAsia="en-US"/>
        </w:rPr>
        <w:fldChar w:fldCharType="end"/>
      </w:r>
      <w:r w:rsidR="000532D9" w:rsidRPr="00E050A8">
        <w:rPr>
          <w:rFonts w:eastAsiaTheme="minorHAnsi" w:cs="Times New Roman"/>
          <w:b w:val="0"/>
          <w:bCs w:val="0"/>
          <w:i/>
          <w:iCs/>
          <w:sz w:val="22"/>
          <w:szCs w:val="22"/>
          <w:lang w:eastAsia="en-US"/>
        </w:rPr>
        <w:t xml:space="preserve"> Морска икономика в България, 2018 г.</w:t>
      </w:r>
      <w:bookmarkEnd w:id="43"/>
    </w:p>
    <w:tbl>
      <w:tblPr>
        <w:tblStyle w:val="TableGrid"/>
        <w:tblW w:w="0" w:type="auto"/>
        <w:tblLook w:val="04A0" w:firstRow="1" w:lastRow="0" w:firstColumn="1" w:lastColumn="0" w:noHBand="0" w:noVBand="1"/>
      </w:tblPr>
      <w:tblGrid>
        <w:gridCol w:w="2757"/>
        <w:gridCol w:w="973"/>
        <w:gridCol w:w="1276"/>
        <w:gridCol w:w="1054"/>
        <w:gridCol w:w="960"/>
        <w:gridCol w:w="1276"/>
        <w:gridCol w:w="1054"/>
      </w:tblGrid>
      <w:tr w:rsidR="000532D9" w:rsidRPr="00E15F8F" w14:paraId="1192AA2E" w14:textId="77777777" w:rsidTr="0052125B">
        <w:tc>
          <w:tcPr>
            <w:tcW w:w="2757" w:type="dxa"/>
            <w:shd w:val="clear" w:color="auto" w:fill="DEEAF6" w:themeFill="accent5" w:themeFillTint="33"/>
          </w:tcPr>
          <w:p w14:paraId="7F8AB72A" w14:textId="77777777" w:rsidR="000532D9" w:rsidRPr="00E15F8F" w:rsidRDefault="000532D9" w:rsidP="000532D9">
            <w:pPr>
              <w:rPr>
                <w:rFonts w:ascii="Times New Roman" w:hAnsi="Times New Roman" w:cs="Times New Roman"/>
                <w:b/>
                <w:bCs/>
                <w:sz w:val="18"/>
                <w:szCs w:val="18"/>
                <w:lang w:val="bg-BG"/>
              </w:rPr>
            </w:pPr>
            <w:r w:rsidRPr="00E15F8F">
              <w:rPr>
                <w:rFonts w:ascii="Times New Roman" w:hAnsi="Times New Roman" w:cs="Times New Roman"/>
                <w:b/>
                <w:bCs/>
                <w:sz w:val="18"/>
                <w:szCs w:val="18"/>
                <w:lang w:val="bg-BG"/>
              </w:rPr>
              <w:t>Утвърдени сектори</w:t>
            </w:r>
          </w:p>
        </w:tc>
        <w:tc>
          <w:tcPr>
            <w:tcW w:w="3303" w:type="dxa"/>
            <w:gridSpan w:val="3"/>
            <w:shd w:val="clear" w:color="auto" w:fill="DEEAF6" w:themeFill="accent5" w:themeFillTint="33"/>
          </w:tcPr>
          <w:p w14:paraId="07A1CB69" w14:textId="77777777" w:rsidR="000532D9" w:rsidRPr="00E15F8F" w:rsidRDefault="000532D9" w:rsidP="000532D9">
            <w:pPr>
              <w:rPr>
                <w:rFonts w:ascii="Times New Roman" w:hAnsi="Times New Roman" w:cs="Times New Roman"/>
                <w:b/>
                <w:bCs/>
                <w:sz w:val="18"/>
                <w:szCs w:val="18"/>
                <w:lang w:val="bg-BG"/>
              </w:rPr>
            </w:pPr>
            <w:r w:rsidRPr="00E15F8F">
              <w:rPr>
                <w:rFonts w:ascii="Times New Roman" w:hAnsi="Times New Roman" w:cs="Times New Roman"/>
                <w:b/>
                <w:bCs/>
                <w:sz w:val="18"/>
                <w:szCs w:val="18"/>
                <w:lang w:val="bg-BG"/>
              </w:rPr>
              <w:t>Заети лица, 2018 г.</w:t>
            </w:r>
          </w:p>
        </w:tc>
        <w:tc>
          <w:tcPr>
            <w:tcW w:w="3290" w:type="dxa"/>
            <w:gridSpan w:val="3"/>
            <w:shd w:val="clear" w:color="auto" w:fill="DEEAF6" w:themeFill="accent5" w:themeFillTint="33"/>
          </w:tcPr>
          <w:p w14:paraId="65052614" w14:textId="77777777" w:rsidR="000532D9" w:rsidRPr="00E15F8F" w:rsidRDefault="000532D9" w:rsidP="000532D9">
            <w:pPr>
              <w:rPr>
                <w:rFonts w:ascii="Times New Roman" w:hAnsi="Times New Roman" w:cs="Times New Roman"/>
                <w:b/>
                <w:bCs/>
                <w:sz w:val="18"/>
                <w:szCs w:val="18"/>
                <w:lang w:val="bg-BG"/>
              </w:rPr>
            </w:pPr>
            <w:r w:rsidRPr="00E15F8F">
              <w:rPr>
                <w:rFonts w:ascii="Times New Roman" w:hAnsi="Times New Roman" w:cs="Times New Roman"/>
                <w:b/>
                <w:bCs/>
                <w:sz w:val="18"/>
                <w:szCs w:val="18"/>
                <w:lang w:val="bg-BG"/>
              </w:rPr>
              <w:t>БДС, 2018 г.</w:t>
            </w:r>
          </w:p>
        </w:tc>
      </w:tr>
      <w:tr w:rsidR="000532D9" w:rsidRPr="00E15F8F" w14:paraId="7FFAEA69" w14:textId="77777777" w:rsidTr="0052125B">
        <w:tc>
          <w:tcPr>
            <w:tcW w:w="2757" w:type="dxa"/>
          </w:tcPr>
          <w:p w14:paraId="4297632E" w14:textId="77777777" w:rsidR="000532D9" w:rsidRPr="00E15F8F" w:rsidRDefault="000532D9" w:rsidP="000532D9">
            <w:pPr>
              <w:rPr>
                <w:rFonts w:ascii="Times New Roman" w:hAnsi="Times New Roman" w:cs="Times New Roman"/>
                <w:sz w:val="18"/>
                <w:szCs w:val="18"/>
                <w:lang w:val="bg-BG"/>
              </w:rPr>
            </w:pPr>
          </w:p>
        </w:tc>
        <w:tc>
          <w:tcPr>
            <w:tcW w:w="973" w:type="dxa"/>
            <w:shd w:val="clear" w:color="auto" w:fill="2E74B5" w:themeFill="accent5" w:themeFillShade="BF"/>
          </w:tcPr>
          <w:p w14:paraId="44C4A597" w14:textId="77777777" w:rsidR="000532D9" w:rsidRPr="00E15F8F" w:rsidRDefault="000532D9" w:rsidP="000532D9">
            <w:pPr>
              <w:rPr>
                <w:rFonts w:ascii="Times New Roman" w:hAnsi="Times New Roman" w:cs="Times New Roman"/>
                <w:color w:val="FFFFFF" w:themeColor="background1"/>
                <w:sz w:val="18"/>
                <w:szCs w:val="18"/>
                <w:lang w:val="bg-BG"/>
              </w:rPr>
            </w:pPr>
            <w:r w:rsidRPr="00E15F8F">
              <w:rPr>
                <w:rFonts w:ascii="Times New Roman" w:hAnsi="Times New Roman" w:cs="Times New Roman"/>
                <w:color w:val="FFFFFF" w:themeColor="background1"/>
                <w:sz w:val="18"/>
                <w:szCs w:val="18"/>
                <w:lang w:val="bg-BG"/>
              </w:rPr>
              <w:t>Хил. (‚000)</w:t>
            </w:r>
          </w:p>
        </w:tc>
        <w:tc>
          <w:tcPr>
            <w:tcW w:w="1276" w:type="dxa"/>
            <w:shd w:val="clear" w:color="auto" w:fill="2E74B5" w:themeFill="accent5" w:themeFillShade="BF"/>
          </w:tcPr>
          <w:p w14:paraId="47116F71" w14:textId="77777777" w:rsidR="000532D9" w:rsidRPr="00E15F8F" w:rsidRDefault="000532D9" w:rsidP="000532D9">
            <w:pPr>
              <w:rPr>
                <w:rFonts w:ascii="Times New Roman" w:hAnsi="Times New Roman" w:cs="Times New Roman"/>
                <w:color w:val="FFFFFF" w:themeColor="background1"/>
                <w:sz w:val="18"/>
                <w:szCs w:val="18"/>
                <w:lang w:val="bg-BG"/>
              </w:rPr>
            </w:pPr>
            <w:r w:rsidRPr="00E15F8F">
              <w:rPr>
                <w:rFonts w:ascii="Times New Roman" w:hAnsi="Times New Roman" w:cs="Times New Roman"/>
                <w:color w:val="FFFFFF" w:themeColor="background1"/>
                <w:sz w:val="18"/>
                <w:szCs w:val="18"/>
                <w:lang w:val="bg-BG"/>
              </w:rPr>
              <w:t>% от националната заетост</w:t>
            </w:r>
          </w:p>
        </w:tc>
        <w:tc>
          <w:tcPr>
            <w:tcW w:w="1054" w:type="dxa"/>
            <w:shd w:val="clear" w:color="auto" w:fill="2E74B5" w:themeFill="accent5" w:themeFillShade="BF"/>
          </w:tcPr>
          <w:p w14:paraId="02ED16E0" w14:textId="77777777" w:rsidR="000532D9" w:rsidRPr="00E15F8F" w:rsidRDefault="000532D9" w:rsidP="000532D9">
            <w:pPr>
              <w:rPr>
                <w:rFonts w:ascii="Times New Roman" w:hAnsi="Times New Roman" w:cs="Times New Roman"/>
                <w:color w:val="FFFFFF" w:themeColor="background1"/>
                <w:sz w:val="18"/>
                <w:szCs w:val="18"/>
                <w:lang w:val="bg-BG"/>
              </w:rPr>
            </w:pPr>
            <w:r w:rsidRPr="00E15F8F">
              <w:rPr>
                <w:rFonts w:ascii="Times New Roman" w:hAnsi="Times New Roman" w:cs="Times New Roman"/>
                <w:color w:val="FFFFFF" w:themeColor="background1"/>
                <w:sz w:val="18"/>
                <w:szCs w:val="18"/>
                <w:lang w:val="bg-BG"/>
              </w:rPr>
              <w:t>% от заетостта в синята икономика</w:t>
            </w:r>
          </w:p>
        </w:tc>
        <w:tc>
          <w:tcPr>
            <w:tcW w:w="960" w:type="dxa"/>
            <w:shd w:val="clear" w:color="auto" w:fill="2E74B5" w:themeFill="accent5" w:themeFillShade="BF"/>
          </w:tcPr>
          <w:p w14:paraId="5C93342A" w14:textId="77777777" w:rsidR="000532D9" w:rsidRPr="00E15F8F" w:rsidRDefault="000532D9" w:rsidP="000532D9">
            <w:pPr>
              <w:rPr>
                <w:rFonts w:ascii="Times New Roman" w:hAnsi="Times New Roman" w:cs="Times New Roman"/>
                <w:color w:val="FFFFFF" w:themeColor="background1"/>
                <w:sz w:val="18"/>
                <w:szCs w:val="18"/>
                <w:lang w:val="bg-BG"/>
              </w:rPr>
            </w:pPr>
            <w:r w:rsidRPr="00E15F8F">
              <w:rPr>
                <w:rFonts w:ascii="Times New Roman" w:hAnsi="Times New Roman" w:cs="Times New Roman"/>
                <w:color w:val="FFFFFF" w:themeColor="background1"/>
                <w:sz w:val="18"/>
                <w:szCs w:val="18"/>
                <w:lang w:val="bg-BG"/>
              </w:rPr>
              <w:t>мил. евро</w:t>
            </w:r>
          </w:p>
        </w:tc>
        <w:tc>
          <w:tcPr>
            <w:tcW w:w="1276" w:type="dxa"/>
            <w:shd w:val="clear" w:color="auto" w:fill="2E74B5" w:themeFill="accent5" w:themeFillShade="BF"/>
          </w:tcPr>
          <w:p w14:paraId="16451038" w14:textId="77777777" w:rsidR="000532D9" w:rsidRPr="00E15F8F" w:rsidRDefault="000532D9" w:rsidP="000532D9">
            <w:pPr>
              <w:rPr>
                <w:rFonts w:ascii="Times New Roman" w:hAnsi="Times New Roman" w:cs="Times New Roman"/>
                <w:color w:val="FFFFFF" w:themeColor="background1"/>
                <w:sz w:val="18"/>
                <w:szCs w:val="18"/>
                <w:lang w:val="bg-BG"/>
              </w:rPr>
            </w:pPr>
            <w:r w:rsidRPr="00E15F8F">
              <w:rPr>
                <w:rFonts w:ascii="Times New Roman" w:hAnsi="Times New Roman" w:cs="Times New Roman"/>
                <w:color w:val="FFFFFF" w:themeColor="background1"/>
                <w:sz w:val="18"/>
                <w:szCs w:val="18"/>
                <w:lang w:val="bg-BG"/>
              </w:rPr>
              <w:t>% от националната БДС</w:t>
            </w:r>
          </w:p>
        </w:tc>
        <w:tc>
          <w:tcPr>
            <w:tcW w:w="1054" w:type="dxa"/>
            <w:shd w:val="clear" w:color="auto" w:fill="2E74B5" w:themeFill="accent5" w:themeFillShade="BF"/>
          </w:tcPr>
          <w:p w14:paraId="728C0078" w14:textId="77777777" w:rsidR="000532D9" w:rsidRPr="00E15F8F" w:rsidRDefault="000532D9" w:rsidP="000532D9">
            <w:pPr>
              <w:rPr>
                <w:rFonts w:ascii="Times New Roman" w:hAnsi="Times New Roman" w:cs="Times New Roman"/>
                <w:color w:val="FFFFFF" w:themeColor="background1"/>
                <w:sz w:val="18"/>
                <w:szCs w:val="18"/>
                <w:lang w:val="bg-BG"/>
              </w:rPr>
            </w:pPr>
            <w:r w:rsidRPr="00E15F8F">
              <w:rPr>
                <w:rFonts w:ascii="Times New Roman" w:hAnsi="Times New Roman" w:cs="Times New Roman"/>
                <w:color w:val="FFFFFF" w:themeColor="background1"/>
                <w:sz w:val="18"/>
                <w:szCs w:val="18"/>
                <w:lang w:val="bg-BG"/>
              </w:rPr>
              <w:t>% от БДС в синята икономика</w:t>
            </w:r>
          </w:p>
        </w:tc>
      </w:tr>
      <w:tr w:rsidR="000532D9" w:rsidRPr="00E15F8F" w14:paraId="2283BBE8" w14:textId="77777777" w:rsidTr="0052125B">
        <w:tc>
          <w:tcPr>
            <w:tcW w:w="2757" w:type="dxa"/>
          </w:tcPr>
          <w:p w14:paraId="57FFB0D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Крайбрежен туризъм</w:t>
            </w:r>
          </w:p>
        </w:tc>
        <w:tc>
          <w:tcPr>
            <w:tcW w:w="973" w:type="dxa"/>
          </w:tcPr>
          <w:p w14:paraId="0730C55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82.5</w:t>
            </w:r>
          </w:p>
        </w:tc>
        <w:tc>
          <w:tcPr>
            <w:tcW w:w="1276" w:type="dxa"/>
          </w:tcPr>
          <w:p w14:paraId="7510214D"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2.6</w:t>
            </w:r>
          </w:p>
        </w:tc>
        <w:tc>
          <w:tcPr>
            <w:tcW w:w="1054" w:type="dxa"/>
          </w:tcPr>
          <w:p w14:paraId="06DA80B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79</w:t>
            </w:r>
          </w:p>
        </w:tc>
        <w:tc>
          <w:tcPr>
            <w:tcW w:w="960" w:type="dxa"/>
          </w:tcPr>
          <w:p w14:paraId="07896638"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692</w:t>
            </w:r>
          </w:p>
        </w:tc>
        <w:tc>
          <w:tcPr>
            <w:tcW w:w="1276" w:type="dxa"/>
          </w:tcPr>
          <w:p w14:paraId="3D23357B"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1.40</w:t>
            </w:r>
          </w:p>
        </w:tc>
        <w:tc>
          <w:tcPr>
            <w:tcW w:w="1054" w:type="dxa"/>
          </w:tcPr>
          <w:p w14:paraId="0AC77FEF"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69.9</w:t>
            </w:r>
          </w:p>
        </w:tc>
      </w:tr>
      <w:tr w:rsidR="000532D9" w:rsidRPr="00E15F8F" w14:paraId="6730A59F" w14:textId="77777777" w:rsidTr="0052125B">
        <w:tc>
          <w:tcPr>
            <w:tcW w:w="2757" w:type="dxa"/>
          </w:tcPr>
          <w:p w14:paraId="32CC8315"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Живи морски ресурси</w:t>
            </w:r>
          </w:p>
        </w:tc>
        <w:tc>
          <w:tcPr>
            <w:tcW w:w="973" w:type="dxa"/>
          </w:tcPr>
          <w:p w14:paraId="6ACD8143"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9.25</w:t>
            </w:r>
          </w:p>
        </w:tc>
        <w:tc>
          <w:tcPr>
            <w:tcW w:w="1276" w:type="dxa"/>
          </w:tcPr>
          <w:p w14:paraId="68E4CFDD"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0.3</w:t>
            </w:r>
          </w:p>
        </w:tc>
        <w:tc>
          <w:tcPr>
            <w:tcW w:w="1054" w:type="dxa"/>
          </w:tcPr>
          <w:p w14:paraId="2D073A1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9</w:t>
            </w:r>
          </w:p>
        </w:tc>
        <w:tc>
          <w:tcPr>
            <w:tcW w:w="960" w:type="dxa"/>
          </w:tcPr>
          <w:p w14:paraId="094D226F"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85</w:t>
            </w:r>
          </w:p>
        </w:tc>
        <w:tc>
          <w:tcPr>
            <w:tcW w:w="1276" w:type="dxa"/>
          </w:tcPr>
          <w:p w14:paraId="6F2EC321"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0.2</w:t>
            </w:r>
          </w:p>
        </w:tc>
        <w:tc>
          <w:tcPr>
            <w:tcW w:w="1054" w:type="dxa"/>
          </w:tcPr>
          <w:p w14:paraId="7000BBC7"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9.0</w:t>
            </w:r>
          </w:p>
        </w:tc>
      </w:tr>
      <w:tr w:rsidR="000532D9" w:rsidRPr="00E15F8F" w14:paraId="07D134F3" w14:textId="77777777" w:rsidTr="0052125B">
        <w:tc>
          <w:tcPr>
            <w:tcW w:w="2757" w:type="dxa"/>
          </w:tcPr>
          <w:p w14:paraId="504EA6FE"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Неживи морски ресурси</w:t>
            </w:r>
          </w:p>
        </w:tc>
        <w:tc>
          <w:tcPr>
            <w:tcW w:w="973" w:type="dxa"/>
          </w:tcPr>
          <w:p w14:paraId="74693D21"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0.09</w:t>
            </w:r>
          </w:p>
        </w:tc>
        <w:tc>
          <w:tcPr>
            <w:tcW w:w="1276" w:type="dxa"/>
          </w:tcPr>
          <w:p w14:paraId="045B198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0.2</w:t>
            </w:r>
          </w:p>
        </w:tc>
        <w:tc>
          <w:tcPr>
            <w:tcW w:w="1054" w:type="dxa"/>
          </w:tcPr>
          <w:p w14:paraId="35EFBB65"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0.9</w:t>
            </w:r>
          </w:p>
        </w:tc>
        <w:tc>
          <w:tcPr>
            <w:tcW w:w="960" w:type="dxa"/>
          </w:tcPr>
          <w:p w14:paraId="48F4D99F"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11</w:t>
            </w:r>
          </w:p>
        </w:tc>
        <w:tc>
          <w:tcPr>
            <w:tcW w:w="1276" w:type="dxa"/>
          </w:tcPr>
          <w:p w14:paraId="744D90F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0.02</w:t>
            </w:r>
          </w:p>
        </w:tc>
        <w:tc>
          <w:tcPr>
            <w:tcW w:w="1054" w:type="dxa"/>
          </w:tcPr>
          <w:p w14:paraId="5EC006C9"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1.1</w:t>
            </w:r>
          </w:p>
        </w:tc>
      </w:tr>
      <w:tr w:rsidR="000532D9" w:rsidRPr="00E15F8F" w14:paraId="12BF4393" w14:textId="77777777" w:rsidTr="0052125B">
        <w:tc>
          <w:tcPr>
            <w:tcW w:w="2757" w:type="dxa"/>
          </w:tcPr>
          <w:p w14:paraId="7FE8FF47"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Пристанищни дейности</w:t>
            </w:r>
          </w:p>
        </w:tc>
        <w:tc>
          <w:tcPr>
            <w:tcW w:w="973" w:type="dxa"/>
          </w:tcPr>
          <w:p w14:paraId="28963F0E"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4.39</w:t>
            </w:r>
          </w:p>
        </w:tc>
        <w:tc>
          <w:tcPr>
            <w:tcW w:w="1276" w:type="dxa"/>
          </w:tcPr>
          <w:p w14:paraId="26FDC418"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0.1</w:t>
            </w:r>
          </w:p>
        </w:tc>
        <w:tc>
          <w:tcPr>
            <w:tcW w:w="1054" w:type="dxa"/>
          </w:tcPr>
          <w:p w14:paraId="7058958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4.3</w:t>
            </w:r>
          </w:p>
        </w:tc>
        <w:tc>
          <w:tcPr>
            <w:tcW w:w="960" w:type="dxa"/>
          </w:tcPr>
          <w:p w14:paraId="116E0AFB"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78</w:t>
            </w:r>
          </w:p>
        </w:tc>
        <w:tc>
          <w:tcPr>
            <w:tcW w:w="1276" w:type="dxa"/>
          </w:tcPr>
          <w:p w14:paraId="45A8010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0.16</w:t>
            </w:r>
          </w:p>
        </w:tc>
        <w:tc>
          <w:tcPr>
            <w:tcW w:w="1054" w:type="dxa"/>
          </w:tcPr>
          <w:p w14:paraId="593CF63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8.0</w:t>
            </w:r>
          </w:p>
        </w:tc>
      </w:tr>
      <w:tr w:rsidR="000532D9" w:rsidRPr="00E15F8F" w14:paraId="23B6FE56" w14:textId="77777777" w:rsidTr="0052125B">
        <w:tc>
          <w:tcPr>
            <w:tcW w:w="2757" w:type="dxa"/>
          </w:tcPr>
          <w:p w14:paraId="4E9027D5"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Корабостроене и ремонт</w:t>
            </w:r>
          </w:p>
        </w:tc>
        <w:tc>
          <w:tcPr>
            <w:tcW w:w="973" w:type="dxa"/>
          </w:tcPr>
          <w:p w14:paraId="0B54F085"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4.95</w:t>
            </w:r>
          </w:p>
        </w:tc>
        <w:tc>
          <w:tcPr>
            <w:tcW w:w="1276" w:type="dxa"/>
          </w:tcPr>
          <w:p w14:paraId="549BE57F"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0.2</w:t>
            </w:r>
          </w:p>
        </w:tc>
        <w:tc>
          <w:tcPr>
            <w:tcW w:w="1054" w:type="dxa"/>
          </w:tcPr>
          <w:p w14:paraId="7BC02867"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4.9</w:t>
            </w:r>
          </w:p>
        </w:tc>
        <w:tc>
          <w:tcPr>
            <w:tcW w:w="960" w:type="dxa"/>
          </w:tcPr>
          <w:p w14:paraId="15DAED82"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91</w:t>
            </w:r>
          </w:p>
        </w:tc>
        <w:tc>
          <w:tcPr>
            <w:tcW w:w="1276" w:type="dxa"/>
          </w:tcPr>
          <w:p w14:paraId="0AD651E5"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0.18</w:t>
            </w:r>
          </w:p>
        </w:tc>
        <w:tc>
          <w:tcPr>
            <w:tcW w:w="1054" w:type="dxa"/>
          </w:tcPr>
          <w:p w14:paraId="5B108479"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9.0</w:t>
            </w:r>
          </w:p>
        </w:tc>
      </w:tr>
      <w:tr w:rsidR="000532D9" w:rsidRPr="00E15F8F" w14:paraId="46C0B85F" w14:textId="77777777" w:rsidTr="0052125B">
        <w:tc>
          <w:tcPr>
            <w:tcW w:w="2757" w:type="dxa"/>
          </w:tcPr>
          <w:p w14:paraId="3E47DDB1"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Морски транспорт</w:t>
            </w:r>
          </w:p>
        </w:tc>
        <w:tc>
          <w:tcPr>
            <w:tcW w:w="973" w:type="dxa"/>
          </w:tcPr>
          <w:p w14:paraId="6610AED5"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1.83</w:t>
            </w:r>
          </w:p>
        </w:tc>
        <w:tc>
          <w:tcPr>
            <w:tcW w:w="1276" w:type="dxa"/>
          </w:tcPr>
          <w:p w14:paraId="291011E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0.05</w:t>
            </w:r>
          </w:p>
        </w:tc>
        <w:tc>
          <w:tcPr>
            <w:tcW w:w="1054" w:type="dxa"/>
          </w:tcPr>
          <w:p w14:paraId="688C5DD4"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1.9</w:t>
            </w:r>
          </w:p>
        </w:tc>
        <w:tc>
          <w:tcPr>
            <w:tcW w:w="960" w:type="dxa"/>
          </w:tcPr>
          <w:p w14:paraId="6BF878B6"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37</w:t>
            </w:r>
          </w:p>
        </w:tc>
        <w:tc>
          <w:tcPr>
            <w:tcW w:w="1276" w:type="dxa"/>
          </w:tcPr>
          <w:p w14:paraId="363BD122"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0.07</w:t>
            </w:r>
          </w:p>
        </w:tc>
        <w:tc>
          <w:tcPr>
            <w:tcW w:w="1054" w:type="dxa"/>
          </w:tcPr>
          <w:p w14:paraId="2FD2D84C"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4.0</w:t>
            </w:r>
          </w:p>
        </w:tc>
      </w:tr>
      <w:tr w:rsidR="000532D9" w:rsidRPr="00E15F8F" w14:paraId="3E77EBDD" w14:textId="77777777" w:rsidTr="0052125B">
        <w:tc>
          <w:tcPr>
            <w:tcW w:w="2757" w:type="dxa"/>
          </w:tcPr>
          <w:p w14:paraId="6A6DE967"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Заетост/БДС в синята икономика</w:t>
            </w:r>
          </w:p>
        </w:tc>
        <w:tc>
          <w:tcPr>
            <w:tcW w:w="973" w:type="dxa"/>
          </w:tcPr>
          <w:p w14:paraId="15A00CE8"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102.96</w:t>
            </w:r>
          </w:p>
        </w:tc>
        <w:tc>
          <w:tcPr>
            <w:tcW w:w="1276" w:type="dxa"/>
          </w:tcPr>
          <w:p w14:paraId="381BD6C1"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3.4</w:t>
            </w:r>
          </w:p>
        </w:tc>
        <w:tc>
          <w:tcPr>
            <w:tcW w:w="1054" w:type="dxa"/>
          </w:tcPr>
          <w:p w14:paraId="1F0A85FA"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100.00</w:t>
            </w:r>
          </w:p>
        </w:tc>
        <w:tc>
          <w:tcPr>
            <w:tcW w:w="960" w:type="dxa"/>
          </w:tcPr>
          <w:p w14:paraId="71C295D1"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995</w:t>
            </w:r>
          </w:p>
        </w:tc>
        <w:tc>
          <w:tcPr>
            <w:tcW w:w="1276" w:type="dxa"/>
          </w:tcPr>
          <w:p w14:paraId="50FA7680"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2.0</w:t>
            </w:r>
          </w:p>
        </w:tc>
        <w:tc>
          <w:tcPr>
            <w:tcW w:w="1054" w:type="dxa"/>
          </w:tcPr>
          <w:p w14:paraId="33A0E4D7"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100.00</w:t>
            </w:r>
          </w:p>
        </w:tc>
      </w:tr>
      <w:tr w:rsidR="000532D9" w:rsidRPr="00E15F8F" w14:paraId="25437BBA" w14:textId="77777777" w:rsidTr="0052125B">
        <w:tc>
          <w:tcPr>
            <w:tcW w:w="2757" w:type="dxa"/>
          </w:tcPr>
          <w:p w14:paraId="19A05C5F"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Национална заетост/БДС</w:t>
            </w:r>
          </w:p>
        </w:tc>
        <w:tc>
          <w:tcPr>
            <w:tcW w:w="973" w:type="dxa"/>
          </w:tcPr>
          <w:p w14:paraId="38046F3F"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3069</w:t>
            </w:r>
          </w:p>
        </w:tc>
        <w:tc>
          <w:tcPr>
            <w:tcW w:w="1276" w:type="dxa"/>
          </w:tcPr>
          <w:p w14:paraId="1D2C8959" w14:textId="77777777" w:rsidR="000532D9" w:rsidRPr="00E15F8F" w:rsidRDefault="000532D9" w:rsidP="000532D9">
            <w:pPr>
              <w:rPr>
                <w:rFonts w:ascii="Times New Roman" w:hAnsi="Times New Roman" w:cs="Times New Roman"/>
                <w:sz w:val="18"/>
                <w:szCs w:val="18"/>
                <w:lang w:val="bg-BG"/>
              </w:rPr>
            </w:pPr>
          </w:p>
        </w:tc>
        <w:tc>
          <w:tcPr>
            <w:tcW w:w="1054" w:type="dxa"/>
          </w:tcPr>
          <w:p w14:paraId="509DDD6B" w14:textId="77777777" w:rsidR="000532D9" w:rsidRPr="00E15F8F" w:rsidRDefault="000532D9" w:rsidP="000532D9">
            <w:pPr>
              <w:rPr>
                <w:rFonts w:ascii="Times New Roman" w:hAnsi="Times New Roman" w:cs="Times New Roman"/>
                <w:sz w:val="18"/>
                <w:szCs w:val="18"/>
                <w:lang w:val="bg-BG"/>
              </w:rPr>
            </w:pPr>
          </w:p>
        </w:tc>
        <w:tc>
          <w:tcPr>
            <w:tcW w:w="960" w:type="dxa"/>
          </w:tcPr>
          <w:p w14:paraId="534433A7" w14:textId="77777777" w:rsidR="000532D9" w:rsidRPr="00E15F8F" w:rsidRDefault="000532D9" w:rsidP="000532D9">
            <w:pPr>
              <w:rPr>
                <w:rFonts w:ascii="Times New Roman" w:hAnsi="Times New Roman" w:cs="Times New Roman"/>
                <w:sz w:val="18"/>
                <w:szCs w:val="18"/>
                <w:lang w:val="bg-BG"/>
              </w:rPr>
            </w:pPr>
            <w:r w:rsidRPr="00E15F8F">
              <w:rPr>
                <w:rFonts w:ascii="Times New Roman" w:hAnsi="Times New Roman" w:cs="Times New Roman"/>
                <w:sz w:val="18"/>
                <w:szCs w:val="18"/>
                <w:lang w:val="bg-BG"/>
              </w:rPr>
              <w:t>48634</w:t>
            </w:r>
          </w:p>
        </w:tc>
        <w:tc>
          <w:tcPr>
            <w:tcW w:w="1276" w:type="dxa"/>
          </w:tcPr>
          <w:p w14:paraId="7A7E6914" w14:textId="77777777" w:rsidR="000532D9" w:rsidRPr="00E15F8F" w:rsidRDefault="000532D9" w:rsidP="000532D9">
            <w:pPr>
              <w:rPr>
                <w:rFonts w:ascii="Times New Roman" w:hAnsi="Times New Roman" w:cs="Times New Roman"/>
                <w:sz w:val="18"/>
                <w:szCs w:val="18"/>
                <w:lang w:val="bg-BG"/>
              </w:rPr>
            </w:pPr>
          </w:p>
        </w:tc>
        <w:tc>
          <w:tcPr>
            <w:tcW w:w="1054" w:type="dxa"/>
          </w:tcPr>
          <w:p w14:paraId="5E92152E" w14:textId="77777777" w:rsidR="000532D9" w:rsidRPr="00E15F8F" w:rsidRDefault="000532D9" w:rsidP="000532D9">
            <w:pPr>
              <w:rPr>
                <w:rFonts w:ascii="Times New Roman" w:hAnsi="Times New Roman" w:cs="Times New Roman"/>
                <w:sz w:val="18"/>
                <w:szCs w:val="18"/>
                <w:lang w:val="bg-BG"/>
              </w:rPr>
            </w:pPr>
          </w:p>
        </w:tc>
      </w:tr>
    </w:tbl>
    <w:p w14:paraId="57E43278" w14:textId="77777777" w:rsidR="000532D9" w:rsidRPr="00E15F8F" w:rsidRDefault="000532D9" w:rsidP="000532D9">
      <w:pPr>
        <w:autoSpaceDE w:val="0"/>
        <w:autoSpaceDN w:val="0"/>
        <w:adjustRightInd w:val="0"/>
        <w:spacing w:after="0" w:line="240" w:lineRule="auto"/>
        <w:rPr>
          <w:rFonts w:ascii="Times New Roman" w:hAnsi="Times New Roman" w:cs="Times New Roman"/>
          <w:i/>
          <w:iCs/>
          <w:lang w:val="bg-BG"/>
        </w:rPr>
      </w:pPr>
      <w:r w:rsidRPr="00E15F8F">
        <w:rPr>
          <w:rFonts w:ascii="Times New Roman" w:hAnsi="Times New Roman" w:cs="Times New Roman"/>
          <w:i/>
          <w:iCs/>
          <w:lang w:val="bg-BG"/>
        </w:rPr>
        <w:t>Източник: Доклад на ЕК за синята икономика, 2020 г.</w:t>
      </w:r>
      <w:r w:rsidRPr="00E15F8F">
        <w:rPr>
          <w:rStyle w:val="FootnoteReference"/>
          <w:rFonts w:ascii="Times New Roman" w:hAnsi="Times New Roman" w:cs="Times New Roman"/>
          <w:i/>
          <w:iCs/>
          <w:lang w:val="bg-BG"/>
        </w:rPr>
        <w:footnoteReference w:id="30"/>
      </w:r>
    </w:p>
    <w:p w14:paraId="54235E8D"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Наскоро изготвен доклад от екип на Световна банка „България към развитие на синята икономика“ определя и няколко нововъзникващи и с потенциал иновативни сектора: синя енергия, синя биоикономика и биотехнологии, брегова защита, екологичен мониторинг и технологии.</w:t>
      </w:r>
      <w:r w:rsidRPr="00456BFA">
        <w:rPr>
          <w:rStyle w:val="FootnoteReference"/>
          <w:rFonts w:ascii="Times New Roman" w:hAnsi="Times New Roman" w:cs="Times New Roman"/>
          <w:lang w:val="bg-BG"/>
        </w:rPr>
        <w:footnoteReference w:id="31"/>
      </w:r>
      <w:r w:rsidRPr="00456BFA">
        <w:rPr>
          <w:rFonts w:ascii="Times New Roman" w:hAnsi="Times New Roman" w:cs="Times New Roman"/>
          <w:lang w:val="bg-BG"/>
        </w:rPr>
        <w:t xml:space="preserve"> </w:t>
      </w:r>
      <w:r w:rsidRPr="00456BFA">
        <w:rPr>
          <w:rFonts w:ascii="Times New Roman" w:hAnsi="Times New Roman" w:cs="Times New Roman"/>
          <w:lang w:val="bg-BG"/>
        </w:rPr>
        <w:lastRenderedPageBreak/>
        <w:t>Крайбрежният и морски туризъм се развива с различна интензивност във всички разновидности: плажен, културен, яхтен, круизен, уелнес, спа и здравен туризъм.</w:t>
      </w:r>
    </w:p>
    <w:p w14:paraId="6BEF3B5C"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Българският сектор рибарство и аквакултури включва стопански риболов, аквакултури и преработка на риба. Най-голям е делът на преработката и дистрибуцията на риба и рибни продукти с принос от 61 млн. евро към икономиката на страната. Българският риболовен флот се състои предимно от малки плавателни съдове с дължина до 12 м. Общият брой на регистрираните риболовни кораби е 1842, като едва 5.5% е делът на корабите над 12 м.</w:t>
      </w:r>
      <w:r w:rsidRPr="00456BFA">
        <w:rPr>
          <w:rStyle w:val="FootnoteReference"/>
          <w:rFonts w:ascii="Times New Roman" w:hAnsi="Times New Roman" w:cs="Times New Roman"/>
          <w:lang w:val="bg-BG"/>
        </w:rPr>
        <w:footnoteReference w:id="32"/>
      </w:r>
      <w:r w:rsidRPr="00456BFA">
        <w:rPr>
          <w:rFonts w:ascii="Times New Roman" w:hAnsi="Times New Roman" w:cs="Times New Roman"/>
          <w:lang w:val="bg-BG"/>
        </w:rPr>
        <w:t xml:space="preserve"> По крайбрежието се разполагат 74 кея за разтоварване/ рибарски пристанища. </w:t>
      </w:r>
    </w:p>
    <w:p w14:paraId="53C52717"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Операции за проучване на залежи на нефт и газ се извършват предимно в северния шелф на Черно море. Потенциалните запаси в блок Шабла се оценяват приблизително на 200 млн. барела. Предварителни проучвания в дълбоки води са предприети и на други места</w:t>
      </w:r>
      <w:r w:rsidRPr="00456BFA">
        <w:rPr>
          <w:rStyle w:val="FootnoteReference"/>
          <w:rFonts w:ascii="Times New Roman" w:hAnsi="Times New Roman" w:cs="Times New Roman"/>
          <w:lang w:val="bg-BG"/>
        </w:rPr>
        <w:footnoteReference w:id="33"/>
      </w:r>
      <w:r w:rsidRPr="00456BFA">
        <w:rPr>
          <w:rFonts w:ascii="Times New Roman" w:hAnsi="Times New Roman" w:cs="Times New Roman"/>
          <w:lang w:val="bg-BG"/>
        </w:rPr>
        <w:t xml:space="preserve">. </w:t>
      </w:r>
    </w:p>
    <w:p w14:paraId="4D798222"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Добивът на сол по традиционен начин в района на езерата Поморийско и Атанасовско предпоставят възможности, свързани с културен, спа и уелнес туризъм, но с внимание към риска от завземане на крайбрежни територии. </w:t>
      </w:r>
    </w:p>
    <w:p w14:paraId="498237F4"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Морският транспорт, пристанищата, корабостроенето и кораборемонта са традиционно утвърдени сектори на българската индустрия, макар и силно повлияни от рецесията от 2009 г. </w:t>
      </w:r>
    </w:p>
    <w:p w14:paraId="23A9712C" w14:textId="62F845BE"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Оценката на нови, възникващи и иновативни сектори в синята икономика извежда като най-голям потенциал за България производството на вятърна енергия от инсталации в морето. Кумулативният капацитет на вятърната енергия в България през 2019 г. се оценява на 698.9 MBm, което покрива 4% от търсенето на електроенергия.</w:t>
      </w:r>
      <w:r w:rsidRPr="00456BFA">
        <w:rPr>
          <w:rStyle w:val="FootnoteReference"/>
          <w:rFonts w:ascii="Times New Roman" w:hAnsi="Times New Roman" w:cs="Times New Roman"/>
          <w:lang w:val="bg-BG"/>
        </w:rPr>
        <w:footnoteReference w:id="34"/>
      </w:r>
      <w:r w:rsidRPr="00456BFA">
        <w:rPr>
          <w:rFonts w:ascii="Times New Roman" w:hAnsi="Times New Roman" w:cs="Times New Roman"/>
          <w:lang w:val="bg-BG"/>
        </w:rPr>
        <w:t xml:space="preserve"> </w:t>
      </w:r>
    </w:p>
    <w:p w14:paraId="0054AE8A" w14:textId="7FCE180D" w:rsidR="00066EFE" w:rsidRPr="00456BFA" w:rsidRDefault="00066EFE" w:rsidP="00456BFA">
      <w:pPr>
        <w:spacing w:before="120" w:after="120" w:line="264" w:lineRule="auto"/>
        <w:jc w:val="both"/>
        <w:rPr>
          <w:rFonts w:ascii="Times New Roman" w:hAnsi="Times New Roman" w:cs="Times New Roman"/>
          <w:b/>
          <w:bCs/>
          <w:lang w:val="bg-BG"/>
        </w:rPr>
      </w:pPr>
      <w:r w:rsidRPr="00456BFA">
        <w:rPr>
          <w:rFonts w:ascii="Times New Roman" w:hAnsi="Times New Roman" w:cs="Times New Roman"/>
          <w:b/>
          <w:bCs/>
          <w:lang w:val="bg-BG"/>
        </w:rPr>
        <w:t>Оценка на видовете натиск</w:t>
      </w:r>
    </w:p>
    <w:p w14:paraId="3D69C7A4" w14:textId="3178BF6E"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Оценката на различните видове натиск за водите на територията на България се основават на резултатите от оценката и актуализацията на Плановете за управление на речните басейни 2016 – 2021 г. (ПУРБ).</w:t>
      </w:r>
      <w:r w:rsidRPr="00456BFA">
        <w:rPr>
          <w:rStyle w:val="FootnoteReference"/>
          <w:rFonts w:ascii="Times New Roman" w:hAnsi="Times New Roman" w:cs="Times New Roman"/>
          <w:lang w:val="bg-BG"/>
        </w:rPr>
        <w:footnoteReference w:id="35"/>
      </w:r>
      <w:r w:rsidRPr="00456BFA">
        <w:rPr>
          <w:rFonts w:ascii="Times New Roman" w:hAnsi="Times New Roman" w:cs="Times New Roman"/>
          <w:lang w:val="bg-BG"/>
        </w:rPr>
        <w:t xml:space="preserve"> За всеки един от районите на басейново управление са разгледани основните категории натиск върху повърхностни, подземни, крайбрежни (Дунавски и Черноморски басейнов райони) води: натиск от точкови и дифузни източници, хидроморфологичен натиск, натиск от инвазивни видове, климатични промени и ерозия. Очертани са и специфични регионални характеристики.</w:t>
      </w:r>
    </w:p>
    <w:p w14:paraId="1E1CA47D" w14:textId="77777777" w:rsidR="000532D9" w:rsidRPr="00456BFA" w:rsidRDefault="000532D9" w:rsidP="00456BFA">
      <w:pPr>
        <w:spacing w:before="120" w:after="120" w:line="264" w:lineRule="auto"/>
        <w:rPr>
          <w:rFonts w:ascii="Times New Roman" w:hAnsi="Times New Roman" w:cs="Times New Roman"/>
          <w:b/>
          <w:bCs/>
          <w:lang w:val="bg-BG"/>
        </w:rPr>
      </w:pPr>
      <w:r w:rsidRPr="00456BFA">
        <w:rPr>
          <w:rFonts w:ascii="Times New Roman" w:hAnsi="Times New Roman" w:cs="Times New Roman"/>
          <w:b/>
          <w:bCs/>
          <w:lang w:val="bg-BG"/>
        </w:rPr>
        <w:t>Дунавски район на басейново управление (ДРБУ)</w:t>
      </w:r>
    </w:p>
    <w:p w14:paraId="4BDF14F1"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В резултат на анализа на данни от мониторинг, вкл. оценката на степента на постигане стандартите за качество, с основно негативно влияние върху състоянието на водите в Дунавски район се посочват следните източници на натиск върху </w:t>
      </w:r>
      <w:r w:rsidRPr="00456BFA">
        <w:rPr>
          <w:rFonts w:ascii="Times New Roman" w:hAnsi="Times New Roman" w:cs="Times New Roman"/>
          <w:b/>
          <w:bCs/>
          <w:lang w:val="bg-BG"/>
        </w:rPr>
        <w:t>повърхностните води</w:t>
      </w:r>
      <w:r w:rsidRPr="00456BFA">
        <w:rPr>
          <w:rFonts w:ascii="Times New Roman" w:hAnsi="Times New Roman" w:cs="Times New Roman"/>
          <w:lang w:val="bg-BG"/>
        </w:rPr>
        <w:t>, които се оценяват като значими на ниво РБУ</w:t>
      </w:r>
      <w:r w:rsidRPr="00456BFA">
        <w:rPr>
          <w:rStyle w:val="FootnoteReference"/>
          <w:rFonts w:ascii="Times New Roman" w:hAnsi="Times New Roman" w:cs="Times New Roman"/>
          <w:lang w:val="bg-BG"/>
        </w:rPr>
        <w:footnoteReference w:id="36"/>
      </w:r>
      <w:r w:rsidRPr="00456BFA">
        <w:rPr>
          <w:rFonts w:ascii="Times New Roman" w:hAnsi="Times New Roman" w:cs="Times New Roman"/>
          <w:lang w:val="bg-BG"/>
        </w:rPr>
        <w:t xml:space="preserve">: </w:t>
      </w:r>
    </w:p>
    <w:p w14:paraId="483350F8"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i/>
          <w:iCs/>
          <w:u w:val="single"/>
          <w:lang w:val="bg-BG"/>
        </w:rPr>
        <w:lastRenderedPageBreak/>
        <w:t>Точкови източници</w:t>
      </w:r>
      <w:r w:rsidRPr="00456BFA">
        <w:rPr>
          <w:rFonts w:ascii="Times New Roman" w:hAnsi="Times New Roman" w:cs="Times New Roman"/>
          <w:lang w:val="bg-BG"/>
        </w:rPr>
        <w:t xml:space="preserve"> (зауствания на отпадъчни води с преобладаващ битов характер и зауствания на промишлени отпадъчни води). </w:t>
      </w:r>
    </w:p>
    <w:p w14:paraId="73B617C0"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Като точкови източници на отпадъчни води са определени и разгледани:</w:t>
      </w:r>
    </w:p>
    <w:p w14:paraId="2BBA22E7" w14:textId="77777777" w:rsidR="000532D9" w:rsidRPr="00456BFA" w:rsidRDefault="000532D9" w:rsidP="00456BFA">
      <w:pPr>
        <w:pStyle w:val="ListParagraph"/>
        <w:numPr>
          <w:ilvl w:val="0"/>
          <w:numId w:val="2"/>
        </w:num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Зауствания на отпадъчни води с преобладаващ битов характер (с разрешителни по ЗВ) от: градски пречиствателни станции за отпадъчни води (ГПСОВ) на агломерации с над 2 000 еквивалент жители (е.ж.),бр.; канализационни мрежи (КМ) на агломерации с над 2 000 е.ж., бр.; локални пречиствателни станции за битови отпадъчни води (ЛПСОВ), бр.; канализационни мрежи (КМ) на агломерации с под 2 000 е.ж. бр. </w:t>
      </w:r>
    </w:p>
    <w:p w14:paraId="1ED9BF07" w14:textId="77777777" w:rsidR="000532D9" w:rsidRPr="00456BFA" w:rsidRDefault="000532D9" w:rsidP="00456BFA">
      <w:pPr>
        <w:pStyle w:val="ListParagraph"/>
        <w:numPr>
          <w:ilvl w:val="0"/>
          <w:numId w:val="2"/>
        </w:num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Зауствания на промишлени отпадъчни води от промишлени предприятия, включително с разрешителни издадени по Закона за водите и разрешителни издадени по Закона за опазване на околната среда.</w:t>
      </w:r>
    </w:p>
    <w:p w14:paraId="2282317B"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С най-голям дял при замърсяването с отпадъчни води от 54% са канализационните мрежи на агломерации над 2000 е.ж, следвани от ЛПСОВ (32%) и ГПСОВ над 2000 е.ж (11%), и канализационните мрежи на агломерации под 2000 е.ж (3%). </w:t>
      </w:r>
    </w:p>
    <w:p w14:paraId="77B10F86"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Заустванията на отпадъчни води от промишлени предприятия са с преобладаващ дял на предприятията от хранително – вкусовата промишленост (38%), предприятията за добив и преработка на полезни изкопаеми (13%), металургия, машиностроителна и металообработваща промишленост (11%). Отбелязва се и сравнително високия процент на производството на строителни материали, строителство и строителни съоръжения (10%).</w:t>
      </w:r>
    </w:p>
    <w:p w14:paraId="5EAD91B2"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i/>
          <w:iCs/>
          <w:u w:val="single"/>
          <w:lang w:val="bg-BG"/>
        </w:rPr>
        <w:t>Дифузни източници</w:t>
      </w:r>
      <w:r w:rsidRPr="00456BFA">
        <w:rPr>
          <w:rFonts w:ascii="Times New Roman" w:hAnsi="Times New Roman" w:cs="Times New Roman"/>
          <w:lang w:val="bg-BG"/>
        </w:rPr>
        <w:t xml:space="preserve"> (натиск от земеделски дейности и хидроморфологичен натиск)</w:t>
      </w:r>
    </w:p>
    <w:p w14:paraId="43BB49FB"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Оценката на въздействието от дифузни източници определя като основен натиска от:</w:t>
      </w:r>
    </w:p>
    <w:p w14:paraId="031206BE"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 населените места над 2000 е.ж. без изградена или частично изградена канализационна мрежа във водосборната площ на поречията, с определяща роля за товара от азот и фосфор постъпващ във водосбора на повърхностното водно тяло (в последствие са отчетени при подземните води); </w:t>
      </w:r>
    </w:p>
    <w:p w14:paraId="6599515B"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 земеделието и съпътстващите го дейности (категории използвана земеделска земя (ИЗП); дял на ИЗП, върху която са приложени торове, вкл. и товар общ азот; дял на ИЗП, върху която са внасяни продукти (препарати) за растителна защита; складове за продукти за растителна защита); </w:t>
      </w:r>
    </w:p>
    <w:p w14:paraId="45D301F4"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 животновъдството (брой и гъстота на отглежданите животни, вкл. и товар азот и фосфор във водосбора на повърхностното водно/поречие/ДРБУ); </w:t>
      </w:r>
    </w:p>
    <w:p w14:paraId="4AFEBBB7"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 добив на подземни богатства във водосборната площ на водното тяло, ерозия и типове почва; </w:t>
      </w:r>
    </w:p>
    <w:p w14:paraId="29743FA9"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 депата за отпадъци, които не отговарят на екологичните изисквания; </w:t>
      </w:r>
    </w:p>
    <w:p w14:paraId="6BBB0A9D"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атмосферното замърсяване и транспорта.</w:t>
      </w:r>
    </w:p>
    <w:p w14:paraId="0193092C" w14:textId="77777777" w:rsidR="000532D9" w:rsidRPr="00456BFA" w:rsidRDefault="000532D9" w:rsidP="00456BFA">
      <w:pPr>
        <w:pStyle w:val="3vff3xh4yd"/>
        <w:spacing w:before="120" w:beforeAutospacing="0" w:after="120" w:afterAutospacing="0" w:line="264" w:lineRule="auto"/>
        <w:rPr>
          <w:i/>
          <w:iCs/>
          <w:sz w:val="22"/>
          <w:szCs w:val="22"/>
          <w:u w:val="single"/>
          <w:lang w:val="bg-BG"/>
        </w:rPr>
      </w:pPr>
      <w:r w:rsidRPr="00456BFA">
        <w:rPr>
          <w:i/>
          <w:iCs/>
          <w:sz w:val="22"/>
          <w:szCs w:val="22"/>
          <w:u w:val="single"/>
          <w:lang w:val="bg-BG"/>
        </w:rPr>
        <w:t>Хидроморфологичен натиск</w:t>
      </w:r>
    </w:p>
    <w:p w14:paraId="00D39243"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Основните дейности, генериращи хидроморфологичен натиск върху водните тела в ДРБУ, са: водовземане (вкл. свързаното с него изграждане на съоръжения); производство на електроенергия чрез Водно-електрическа централа (ВЕЦ); защита от наводнения; изземване на наносни отложения; корабоплаване - за р. Дунав. От общо 206 водни тела в границите на района, 42% (88 водни тела) са засегнати от миграционни бариери, а 36.4% - от корекция на реки.</w:t>
      </w:r>
    </w:p>
    <w:p w14:paraId="4F9ECD70" w14:textId="77777777" w:rsidR="000532D9" w:rsidRPr="00456BFA" w:rsidRDefault="000532D9" w:rsidP="00456BFA">
      <w:pPr>
        <w:pStyle w:val="3vff3xh4yd"/>
        <w:spacing w:before="120" w:beforeAutospacing="0" w:after="120" w:afterAutospacing="0" w:line="264" w:lineRule="auto"/>
        <w:rPr>
          <w:i/>
          <w:iCs/>
          <w:sz w:val="22"/>
          <w:szCs w:val="22"/>
          <w:u w:val="single"/>
          <w:lang w:val="bg-BG"/>
        </w:rPr>
      </w:pPr>
      <w:r w:rsidRPr="00456BFA">
        <w:rPr>
          <w:i/>
          <w:iCs/>
          <w:sz w:val="22"/>
          <w:szCs w:val="22"/>
          <w:u w:val="single"/>
          <w:lang w:val="bg-BG"/>
        </w:rPr>
        <w:lastRenderedPageBreak/>
        <w:t>Натиск от инвазивни видове</w:t>
      </w:r>
    </w:p>
    <w:p w14:paraId="1A3C1066"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Натискът от инвазивни видове има значимо въздействие върху отделни водни тела. Типичен пример за подобна инвазия е мидата-зебра, която през последните 10 г. масово навлиза във водоемите в цялата страна. Като потенциален механизъм на разпространение на мидата се сочи наличието на директна водна връзка с р. Дунав, както и пренасянето на ларви и възрастни индивиди с риболовни уреди, лодки и зарибителен материал от р. Дунав.</w:t>
      </w:r>
    </w:p>
    <w:p w14:paraId="0D4DE7F5" w14:textId="77777777" w:rsidR="000532D9" w:rsidRPr="00456BFA" w:rsidRDefault="000532D9" w:rsidP="00456BFA">
      <w:pPr>
        <w:spacing w:before="120" w:after="120" w:line="264" w:lineRule="auto"/>
        <w:jc w:val="both"/>
        <w:rPr>
          <w:rFonts w:ascii="Times New Roman" w:hAnsi="Times New Roman" w:cs="Times New Roman"/>
          <w:i/>
          <w:iCs/>
          <w:u w:val="single"/>
          <w:lang w:val="bg-BG"/>
        </w:rPr>
      </w:pPr>
      <w:r w:rsidRPr="00456BFA">
        <w:rPr>
          <w:rFonts w:ascii="Times New Roman" w:hAnsi="Times New Roman" w:cs="Times New Roman"/>
          <w:i/>
          <w:iCs/>
          <w:u w:val="single"/>
          <w:lang w:val="bg-BG"/>
        </w:rPr>
        <w:t xml:space="preserve">Натиск от климатични промени </w:t>
      </w:r>
    </w:p>
    <w:p w14:paraId="00C85FC0"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Значимостта на този вид натиск за района се определя от кумулативния ефект, който той оказва върху състоянието на водите в комбинация с другите видове натиск и от очертаните тенденции за засилване на въздействието му. При разработения най-песимистичен сценарий на климатични промени (с плавно нарастване на емисиите на парникови газове), тенденции в изменение на оттока на водните тела се проявяват в дългосрочен план за периода 2071 – 2100 г.  </w:t>
      </w:r>
    </w:p>
    <w:p w14:paraId="220DEFA4"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Водните тела с по-добро състояние се счита, че имат по-голям адаптивен капацитет и следователно са по-малко застрашени от нарушения, свързани с климатични промени. Комбинацията между настоящо състояние и интензитета на очакваните климатични промени дефинира значимостта на въздействието върху даденото повърхностно водно тяло.</w:t>
      </w:r>
    </w:p>
    <w:p w14:paraId="0BAF2479"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Като основни източници на натиск върху състоянието на </w:t>
      </w:r>
      <w:r w:rsidRPr="00456BFA">
        <w:rPr>
          <w:b/>
          <w:bCs/>
          <w:sz w:val="22"/>
          <w:szCs w:val="22"/>
          <w:lang w:val="bg-BG"/>
        </w:rPr>
        <w:t xml:space="preserve">подземните води </w:t>
      </w:r>
      <w:r w:rsidRPr="00456BFA">
        <w:rPr>
          <w:sz w:val="22"/>
          <w:szCs w:val="22"/>
          <w:lang w:val="bg-BG"/>
        </w:rPr>
        <w:t>са дефинирани: промишлени инсталации с издадени комплексни разрешителни; промишлени инсталации без издадени комплексни разрешителни; значими зауствания на битови отпадъчни води; селскостопански обекти - складове за торове и пестициди; депа за битови отпадъци.</w:t>
      </w:r>
    </w:p>
    <w:p w14:paraId="5916F648"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Оценката на натиска от дифузни източници върху подземните водни тела определя като източник на натиск: селското стопанство (обработваема земя, трайни насаждения, пасища, хетерогенни селско стопанства); населените места без изградена канализация; участъци за добив на подземни богатства (мини, газонаходища, кариери); участъци с висока степен на податливост на ерозия. </w:t>
      </w:r>
    </w:p>
    <w:p w14:paraId="60F312D1"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След направен анализ на дифузния натиск върху всяко подземно водно тяло се установява, че 32 бр. подземни водни тела (64% от общия брой за района) са засегнати от дифузни източници. Основната движеща сила, пораждаща дифузно замърсяване е земеделието, поради силно развитата селско стопанска дейност в ДРБУ. Друг значим източник на замърсяване се явяват населените места без изградена канализация. При 9 подземни водни тела (18%) площта, засегната от дифузно замърсяване надвишава 90 % от разкритата площ на водното тяло. Основната движеща сила, причиняваща този значим натиск, също е земеделието.</w:t>
      </w:r>
    </w:p>
    <w:p w14:paraId="6825B83C"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Оценката на натиска от водовземане показва, че от 50 броя подземни водни тела, 9 са подложени на значим натиск. 41 броя ПВТ не са подложени на натиск. В 25 броя ПВТ са определени 61 броя участъци, които са подложени на значим натиск от водовземане.</w:t>
      </w:r>
    </w:p>
    <w:p w14:paraId="0A19CD9C" w14:textId="77777777" w:rsidR="000532D9" w:rsidRPr="00456BFA" w:rsidRDefault="000532D9" w:rsidP="000532D9">
      <w:pPr>
        <w:pStyle w:val="3vff3xh4yd"/>
        <w:rPr>
          <w:b/>
          <w:bCs/>
          <w:sz w:val="22"/>
          <w:szCs w:val="22"/>
          <w:lang w:val="bg-BG"/>
        </w:rPr>
      </w:pPr>
      <w:r w:rsidRPr="00456BFA">
        <w:rPr>
          <w:b/>
          <w:bCs/>
          <w:sz w:val="22"/>
          <w:szCs w:val="22"/>
          <w:lang w:val="bg-BG"/>
        </w:rPr>
        <w:t>Черноморски район за басейново управление (ЧРБУ)</w:t>
      </w:r>
    </w:p>
    <w:p w14:paraId="1AF19E29" w14:textId="77777777" w:rsidR="000532D9" w:rsidRPr="00456BFA" w:rsidRDefault="000532D9" w:rsidP="000532D9">
      <w:pPr>
        <w:pStyle w:val="3vff3xh4yd"/>
        <w:spacing w:before="120" w:beforeAutospacing="0" w:after="120" w:afterAutospacing="0" w:line="264" w:lineRule="auto"/>
        <w:jc w:val="both"/>
        <w:rPr>
          <w:sz w:val="22"/>
          <w:szCs w:val="22"/>
          <w:lang w:val="bg-BG"/>
        </w:rPr>
      </w:pPr>
      <w:r w:rsidRPr="00456BFA">
        <w:rPr>
          <w:sz w:val="22"/>
          <w:szCs w:val="22"/>
          <w:lang w:val="bg-BG"/>
        </w:rPr>
        <w:lastRenderedPageBreak/>
        <w:t xml:space="preserve">Оценката на замърсяването на </w:t>
      </w:r>
      <w:r w:rsidRPr="00456BFA">
        <w:rPr>
          <w:b/>
          <w:bCs/>
          <w:sz w:val="22"/>
          <w:szCs w:val="22"/>
          <w:lang w:val="bg-BG"/>
        </w:rPr>
        <w:t>повърхностните води</w:t>
      </w:r>
      <w:r w:rsidRPr="00456BFA">
        <w:rPr>
          <w:sz w:val="22"/>
          <w:szCs w:val="22"/>
          <w:lang w:val="bg-BG"/>
        </w:rPr>
        <w:t xml:space="preserve"> за района определя като основни следните източници на замърсяване</w:t>
      </w:r>
      <w:r w:rsidRPr="00456BFA">
        <w:rPr>
          <w:rStyle w:val="FootnoteReference"/>
          <w:sz w:val="22"/>
          <w:szCs w:val="22"/>
          <w:lang w:val="bg-BG"/>
        </w:rPr>
        <w:footnoteReference w:id="37"/>
      </w:r>
      <w:r w:rsidRPr="00456BFA">
        <w:rPr>
          <w:sz w:val="22"/>
          <w:szCs w:val="22"/>
          <w:lang w:val="bg-BG"/>
        </w:rPr>
        <w:t>:</w:t>
      </w:r>
    </w:p>
    <w:p w14:paraId="424D3F1F" w14:textId="77777777" w:rsidR="000532D9" w:rsidRPr="00456BFA" w:rsidRDefault="000532D9" w:rsidP="000532D9">
      <w:pPr>
        <w:pStyle w:val="3vff3xh4yd"/>
        <w:spacing w:before="120" w:beforeAutospacing="0" w:after="120" w:afterAutospacing="0" w:line="264" w:lineRule="auto"/>
        <w:jc w:val="both"/>
        <w:rPr>
          <w:sz w:val="22"/>
          <w:szCs w:val="22"/>
          <w:lang w:val="bg-BG"/>
        </w:rPr>
      </w:pPr>
      <w:r w:rsidRPr="00456BFA">
        <w:rPr>
          <w:i/>
          <w:iCs/>
          <w:sz w:val="22"/>
          <w:szCs w:val="22"/>
          <w:u w:val="single"/>
          <w:lang w:val="bg-BG"/>
        </w:rPr>
        <w:t>Точкови източници на замърсяване</w:t>
      </w:r>
      <w:r w:rsidRPr="00456BFA">
        <w:rPr>
          <w:sz w:val="22"/>
          <w:szCs w:val="22"/>
          <w:lang w:val="bg-BG"/>
        </w:rPr>
        <w:t xml:space="preserve"> (обекти, заустващи отпадъчни води в повърхностни води):</w:t>
      </w:r>
    </w:p>
    <w:p w14:paraId="287B52E4" w14:textId="77777777" w:rsidR="000532D9" w:rsidRPr="00456BFA" w:rsidRDefault="000532D9" w:rsidP="000532D9">
      <w:pPr>
        <w:pStyle w:val="3vff3xh4yd"/>
        <w:spacing w:before="120" w:beforeAutospacing="0" w:after="120" w:afterAutospacing="0" w:line="264" w:lineRule="auto"/>
        <w:jc w:val="both"/>
        <w:rPr>
          <w:sz w:val="22"/>
          <w:szCs w:val="22"/>
          <w:lang w:val="bg-BG"/>
        </w:rPr>
      </w:pPr>
      <w:r w:rsidRPr="00456BFA">
        <w:rPr>
          <w:sz w:val="22"/>
          <w:szCs w:val="22"/>
          <w:lang w:val="bg-BG"/>
        </w:rPr>
        <w:t xml:space="preserve">- градски пречиствателни станции за отпадъчни води на населени места (агломерации) с над и под 2000 е.ж.; </w:t>
      </w:r>
    </w:p>
    <w:p w14:paraId="1E27CB5F" w14:textId="77777777" w:rsidR="000532D9" w:rsidRPr="00456BFA" w:rsidRDefault="000532D9" w:rsidP="000532D9">
      <w:pPr>
        <w:pStyle w:val="3vff3xh4yd"/>
        <w:spacing w:before="120" w:beforeAutospacing="0" w:after="120" w:afterAutospacing="0" w:line="264" w:lineRule="auto"/>
        <w:jc w:val="both"/>
        <w:rPr>
          <w:sz w:val="22"/>
          <w:szCs w:val="22"/>
          <w:lang w:val="bg-BG"/>
        </w:rPr>
      </w:pPr>
      <w:r w:rsidRPr="00456BFA">
        <w:rPr>
          <w:sz w:val="22"/>
          <w:szCs w:val="22"/>
          <w:lang w:val="bg-BG"/>
        </w:rPr>
        <w:t>- градски канализационни мрежи на населени места (агломерации) с над и под 2000 е.ж.;</w:t>
      </w:r>
    </w:p>
    <w:p w14:paraId="77B1CD7B" w14:textId="77777777" w:rsidR="000532D9" w:rsidRPr="00456BFA" w:rsidRDefault="000532D9" w:rsidP="000532D9">
      <w:pPr>
        <w:pStyle w:val="3vff3xh4yd"/>
        <w:spacing w:before="120" w:beforeAutospacing="0" w:after="120" w:afterAutospacing="0" w:line="264" w:lineRule="auto"/>
        <w:jc w:val="both"/>
        <w:rPr>
          <w:sz w:val="22"/>
          <w:szCs w:val="22"/>
          <w:lang w:val="bg-BG"/>
        </w:rPr>
      </w:pPr>
      <w:r w:rsidRPr="00456BFA">
        <w:rPr>
          <w:sz w:val="22"/>
          <w:szCs w:val="22"/>
          <w:lang w:val="bg-BG"/>
        </w:rPr>
        <w:t xml:space="preserve">- локални пречиствателни станции за битови отпадъчни води (ЛПСОВ); </w:t>
      </w:r>
    </w:p>
    <w:p w14:paraId="7B24DCF1" w14:textId="77777777" w:rsidR="000532D9" w:rsidRPr="00456BFA" w:rsidRDefault="000532D9" w:rsidP="000532D9">
      <w:pPr>
        <w:pStyle w:val="3vff3xh4yd"/>
        <w:spacing w:before="120" w:beforeAutospacing="0" w:after="120" w:afterAutospacing="0" w:line="264" w:lineRule="auto"/>
        <w:jc w:val="both"/>
        <w:rPr>
          <w:sz w:val="22"/>
          <w:szCs w:val="22"/>
          <w:lang w:val="bg-BG"/>
        </w:rPr>
      </w:pPr>
      <w:r w:rsidRPr="00456BFA">
        <w:rPr>
          <w:sz w:val="22"/>
          <w:szCs w:val="22"/>
          <w:lang w:val="bg-BG"/>
        </w:rPr>
        <w:t xml:space="preserve">- предприятия, формиращи промишлени отпадъчни води с Разрешително по Закона за водите или Комплексно разрешително, съгласно Закона за опазване на околната среда; </w:t>
      </w:r>
    </w:p>
    <w:p w14:paraId="503D1418" w14:textId="77777777" w:rsidR="000532D9" w:rsidRPr="00456BFA" w:rsidRDefault="000532D9" w:rsidP="000532D9">
      <w:pPr>
        <w:pStyle w:val="3vff3xh4yd"/>
        <w:spacing w:before="120" w:beforeAutospacing="0" w:after="120" w:afterAutospacing="0" w:line="264" w:lineRule="auto"/>
        <w:jc w:val="both"/>
        <w:rPr>
          <w:sz w:val="22"/>
          <w:szCs w:val="22"/>
          <w:lang w:val="bg-BG"/>
        </w:rPr>
      </w:pPr>
      <w:r w:rsidRPr="00456BFA">
        <w:rPr>
          <w:sz w:val="22"/>
          <w:szCs w:val="22"/>
          <w:lang w:val="bg-BG"/>
        </w:rPr>
        <w:t>- животновъдни ферми, заустващи отпадъчни води в повърхностен воден обект; рибарници, заустващи отпадъчни води в повърхностен воден обект.</w:t>
      </w:r>
    </w:p>
    <w:p w14:paraId="5238B103" w14:textId="77777777" w:rsidR="000532D9" w:rsidRPr="00456BFA" w:rsidRDefault="000532D9" w:rsidP="000532D9">
      <w:pPr>
        <w:pStyle w:val="3vff3xh4yd"/>
        <w:spacing w:before="120" w:after="120" w:line="264" w:lineRule="auto"/>
        <w:jc w:val="both"/>
        <w:rPr>
          <w:sz w:val="22"/>
          <w:szCs w:val="22"/>
          <w:lang w:val="bg-BG"/>
        </w:rPr>
      </w:pPr>
      <w:r w:rsidRPr="00456BFA">
        <w:rPr>
          <w:sz w:val="22"/>
          <w:szCs w:val="22"/>
          <w:lang w:val="bg-BG"/>
        </w:rPr>
        <w:t>На територията на Черноморски басейнов район съществуват 39 пречиствателни станции за отпадъчни води, като 28 от тях заустват във вътрешни води, а 11 заустват в Черно море (3 от ПСОВ, заустващи в Черно море са с преустановена дейност, поради пренасочване на отпадъчните води към ПСОВ Варна). 6 бр. ПСОВ, заустващи във вътрешни води, отговарят на изискванията на Директива 91/271/ЕС и имат техническа възможност за редуциране на биогенни елементи – азот и фосфор. Това са: ПСОВ Варна, ПСОВ Белослав, ПСОВ Провадия, ПСОВ Бургас, ПСОВ Меден Рудник, ПСОВ Лозница. 5 бр. ПСОВ не са включени в докладването по Директива 91/271/ЕС, тъй като са под 2000 е.ж. Това са: ПСОВ Манолич, ПСОВ Кръстина, ПСОВ Шкорпиловци, ПСОВ с. Равна гора, ПСОВ с. Люляково. Основните проблеми, свързани с експлоатацията на пречиствателните станции на населените места са остарелите съоръжения, липсата на техническа възможност за отделяне на общ азот и фосфор, включване на дъждовни, дренажни и води от басейни в ПСОВ.</w:t>
      </w:r>
    </w:p>
    <w:p w14:paraId="63EBA730" w14:textId="77777777" w:rsidR="000532D9" w:rsidRPr="00456BFA" w:rsidRDefault="000532D9" w:rsidP="000532D9">
      <w:pPr>
        <w:pStyle w:val="3vff3xh4yd"/>
        <w:spacing w:before="120" w:beforeAutospacing="0" w:after="120" w:afterAutospacing="0" w:line="264" w:lineRule="auto"/>
        <w:jc w:val="both"/>
        <w:rPr>
          <w:sz w:val="22"/>
          <w:szCs w:val="22"/>
          <w:lang w:val="bg-BG"/>
        </w:rPr>
      </w:pPr>
      <w:r w:rsidRPr="00456BFA">
        <w:rPr>
          <w:sz w:val="22"/>
          <w:szCs w:val="22"/>
          <w:lang w:val="bg-BG"/>
        </w:rPr>
        <w:t xml:space="preserve">2 населени места в рамките на басейновия район са с директно заустване и 1 населено място с индиректно заустване (чрез дере) в Черно море, и все още нямат действащи ПСОВ - гр. Ахтопол, с. Синеморец и с. Варвара (индиректно). </w:t>
      </w:r>
    </w:p>
    <w:p w14:paraId="6279DA3E" w14:textId="77777777" w:rsidR="000532D9" w:rsidRPr="00456BFA" w:rsidRDefault="000532D9" w:rsidP="000532D9">
      <w:pPr>
        <w:pStyle w:val="3vff3xh4yd"/>
        <w:spacing w:before="0" w:beforeAutospacing="0" w:after="120" w:afterAutospacing="0" w:line="276" w:lineRule="auto"/>
        <w:jc w:val="both"/>
        <w:rPr>
          <w:sz w:val="22"/>
          <w:szCs w:val="22"/>
          <w:lang w:val="bg-BG"/>
        </w:rPr>
      </w:pPr>
      <w:r w:rsidRPr="00456BFA">
        <w:rPr>
          <w:sz w:val="22"/>
          <w:szCs w:val="22"/>
          <w:lang w:val="bg-BG"/>
        </w:rPr>
        <w:t>От функциониращите 105 индустриални обекта в басейновия район, 77 са определени като значими източници на отпадъчни води. Най-мащабните производствени отрасли в Черноморски район за басейново управление са хранителна промишленост, химическа промишленост, добив на нерудни суровини и производство на стъкло и керамика.</w:t>
      </w:r>
    </w:p>
    <w:p w14:paraId="77B65563"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Товарите от всички видове точкови източници (ПСОВ, градски канализации и индустриални източници) са концентрирани в няколко речни участъка и/или езера. Това определя сравнително голям общ натиск на тези водни тела и намалява самопречистващата им способност. В речните басейни Черноморски Добруджански реки, река Провадийска, Севернобургаски реки и Мандренски реки най-голям е приносът на индустриалните точкови източници, поради концентрацията на големите химически производства и функционирането на обекти от хранителната промишленост и добива на рудни и нерудни суровини. Най-голям е делът на заустените непречистени битови </w:t>
      </w:r>
      <w:r w:rsidRPr="00456BFA">
        <w:rPr>
          <w:sz w:val="22"/>
          <w:szCs w:val="22"/>
          <w:lang w:val="bg-BG"/>
        </w:rPr>
        <w:lastRenderedPageBreak/>
        <w:t>отпадъчни води в басейна на река Камчия. В басейновия район преобладава делът на отпадъчните води от ПСОВ и индустриални източници, които осигуряват различна степен на пречистване на отпадъчните води преди заустването им във водните обекти.</w:t>
      </w:r>
    </w:p>
    <w:p w14:paraId="28F6A124"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При </w:t>
      </w:r>
      <w:r w:rsidRPr="00456BFA">
        <w:rPr>
          <w:b/>
          <w:bCs/>
          <w:sz w:val="22"/>
          <w:szCs w:val="22"/>
          <w:lang w:val="bg-BG"/>
        </w:rPr>
        <w:t>крайбрежните морски води</w:t>
      </w:r>
      <w:r w:rsidRPr="00456BFA">
        <w:rPr>
          <w:sz w:val="22"/>
          <w:szCs w:val="22"/>
          <w:lang w:val="bg-BG"/>
        </w:rPr>
        <w:t xml:space="preserve"> най-значителен е натискът от страна на ГПСОВ и ПСОВ на населените места над 10 000 е.ж. и курортните комплекси, за които броят на изградените ПСОВ се увеличава, в резултат от провежданата политика за недопускане на заустване на непречистени отпадъчни води в крайбрежните води. На следващо място е натискът от страна на канализационните мрежи и на трето място - индустриалните води, зауствани от крайбрежни източници, които включват предимно сезонни курортни комплекси, ваканционни селища и хотели с локални ПСОВ (туризъм), хранително – вкусови предприятия (преработка и консервиране), индустриални предприятия, свързани с корабостроителната, кораборемонтната и пристанищната дейност).</w:t>
      </w:r>
    </w:p>
    <w:p w14:paraId="1890A464" w14:textId="77777777" w:rsidR="000532D9" w:rsidRPr="00456BFA" w:rsidRDefault="000532D9" w:rsidP="00456BFA">
      <w:pPr>
        <w:pStyle w:val="3vff3xh4yd"/>
        <w:spacing w:before="120" w:beforeAutospacing="0" w:after="120" w:afterAutospacing="0" w:line="264" w:lineRule="auto"/>
        <w:rPr>
          <w:i/>
          <w:iCs/>
          <w:sz w:val="22"/>
          <w:szCs w:val="22"/>
          <w:u w:val="single"/>
          <w:lang w:val="bg-BG"/>
        </w:rPr>
      </w:pPr>
      <w:r w:rsidRPr="00456BFA">
        <w:rPr>
          <w:i/>
          <w:iCs/>
          <w:sz w:val="22"/>
          <w:szCs w:val="22"/>
          <w:u w:val="single"/>
          <w:lang w:val="bg-BG"/>
        </w:rPr>
        <w:t>Дифузни източници на замърсяване</w:t>
      </w:r>
    </w:p>
    <w:p w14:paraId="7FFF60A6" w14:textId="77777777" w:rsidR="000532D9" w:rsidRPr="00456BFA" w:rsidRDefault="000532D9" w:rsidP="00456BFA">
      <w:pPr>
        <w:pStyle w:val="3vff3xh4yd"/>
        <w:spacing w:before="120" w:beforeAutospacing="0" w:after="120" w:afterAutospacing="0" w:line="264" w:lineRule="auto"/>
        <w:rPr>
          <w:sz w:val="22"/>
          <w:szCs w:val="22"/>
          <w:lang w:val="bg-BG"/>
        </w:rPr>
      </w:pPr>
      <w:r w:rsidRPr="00456BFA">
        <w:rPr>
          <w:sz w:val="22"/>
          <w:szCs w:val="22"/>
          <w:lang w:val="bg-BG"/>
        </w:rPr>
        <w:t>Оценка на замърсяването за басейновия район определя следните източници на</w:t>
      </w:r>
      <w:r w:rsidRPr="00456BFA">
        <w:rPr>
          <w:b/>
          <w:bCs/>
          <w:sz w:val="22"/>
          <w:szCs w:val="22"/>
          <w:lang w:val="bg-BG"/>
        </w:rPr>
        <w:t xml:space="preserve"> </w:t>
      </w:r>
      <w:r w:rsidRPr="00456BFA">
        <w:rPr>
          <w:sz w:val="22"/>
          <w:szCs w:val="22"/>
          <w:lang w:val="bg-BG"/>
        </w:rPr>
        <w:t>дифузно замърсяване:</w:t>
      </w:r>
    </w:p>
    <w:p w14:paraId="032BB5B9" w14:textId="77777777" w:rsidR="000532D9" w:rsidRPr="00456BFA" w:rsidRDefault="000532D9" w:rsidP="00456BFA">
      <w:pPr>
        <w:pStyle w:val="3vff3xh4yd"/>
        <w:numPr>
          <w:ilvl w:val="0"/>
          <w:numId w:val="2"/>
        </w:numPr>
        <w:spacing w:before="120" w:beforeAutospacing="0" w:after="120" w:afterAutospacing="0" w:line="264" w:lineRule="auto"/>
        <w:jc w:val="both"/>
        <w:rPr>
          <w:bCs/>
          <w:sz w:val="22"/>
          <w:szCs w:val="22"/>
          <w:lang w:val="bg-BG"/>
        </w:rPr>
      </w:pPr>
      <w:r w:rsidRPr="00456BFA">
        <w:rPr>
          <w:bCs/>
          <w:sz w:val="22"/>
          <w:szCs w:val="22"/>
          <w:lang w:val="bg-BG"/>
        </w:rPr>
        <w:t>Населени места с над 2 000 е.ж. без изградена или частично изградени канализационна мрежа във водосборната площ на поречията - От агломерациите с над 2000 е.ж., 34 бр. заустват в повърхностни води. За отвеждане и пречистване на битовите отпадъчни води от 12 агломерации са изградени 11 ПСОВ, за останалите 22 агломерации няма изградени пречиствателни съоръжения. Дифузното замърсяване е в следствие и от амортизираната канализационната мрежа. Процентът на изграденост на канализационните системи, заустващи в повърхностни води е нисък, като 12 агломерации са с 0% изграденост на канализационната мрежа.</w:t>
      </w:r>
    </w:p>
    <w:p w14:paraId="3EE71F99" w14:textId="77777777" w:rsidR="000532D9" w:rsidRPr="00456BFA" w:rsidRDefault="000532D9" w:rsidP="00456BFA">
      <w:pPr>
        <w:pStyle w:val="3vff3xh4yd"/>
        <w:numPr>
          <w:ilvl w:val="0"/>
          <w:numId w:val="2"/>
        </w:numPr>
        <w:spacing w:before="120" w:beforeAutospacing="0" w:after="120" w:afterAutospacing="0" w:line="264" w:lineRule="auto"/>
        <w:jc w:val="both"/>
        <w:rPr>
          <w:color w:val="333333"/>
          <w:sz w:val="22"/>
          <w:szCs w:val="22"/>
          <w:lang w:val="bg-BG"/>
        </w:rPr>
      </w:pPr>
      <w:r w:rsidRPr="00456BFA">
        <w:rPr>
          <w:sz w:val="22"/>
          <w:szCs w:val="22"/>
          <w:lang w:val="bg-BG"/>
        </w:rPr>
        <w:t>Земеделие - Селскостопанското земеползване е основен източник на дифузни замърсители на повърхностните и подземни води, а речния отток и дъждовете довеждат замърсителите с различен произход до повърхностните крайбрежни водни тела. Земеделските дейности, включително обработване на земята, торене и защита от вредители се явяват един от най-сериозните дифузни източници на биогенно замърсяване на повърхностните води в ЧРБУ. Основните биогенни замърсители от земеделските дейности са азот, фосфор, нитрати и фосфати. Складовете за пестициди са други потенциални дифузни замърсители, предвид факта, че условията за съхранение са лоши, като голяма част от тях са и неохраняеми</w:t>
      </w:r>
    </w:p>
    <w:p w14:paraId="43B3FC90" w14:textId="77777777" w:rsidR="000532D9" w:rsidRPr="00456BFA" w:rsidRDefault="000532D9" w:rsidP="00456BFA">
      <w:pPr>
        <w:pStyle w:val="3vff3xh4yd"/>
        <w:numPr>
          <w:ilvl w:val="0"/>
          <w:numId w:val="2"/>
        </w:numPr>
        <w:spacing w:before="120" w:beforeAutospacing="0" w:after="120" w:afterAutospacing="0" w:line="264" w:lineRule="auto"/>
        <w:jc w:val="both"/>
        <w:rPr>
          <w:color w:val="333333"/>
          <w:sz w:val="22"/>
          <w:szCs w:val="22"/>
          <w:lang w:val="bg-BG"/>
        </w:rPr>
      </w:pPr>
      <w:r w:rsidRPr="00456BFA">
        <w:rPr>
          <w:sz w:val="22"/>
          <w:szCs w:val="22"/>
          <w:lang w:val="bg-BG"/>
        </w:rPr>
        <w:t xml:space="preserve">Животновъдство - Замърсяването от тази дейност включва биоразградимите органични вещества, влияещи негативно на водите - натоварване с биогенни елементи и БПК5. Въздействието от животновъдството върху повърхностните води се осъществява основно от неправилното съхранение на торовия отпадък от животновъдните ферми. </w:t>
      </w:r>
    </w:p>
    <w:p w14:paraId="6AECF1D5" w14:textId="77777777" w:rsidR="000532D9" w:rsidRPr="00456BFA" w:rsidRDefault="000532D9" w:rsidP="00456BFA">
      <w:pPr>
        <w:pStyle w:val="3vff3xh4yd"/>
        <w:numPr>
          <w:ilvl w:val="0"/>
          <w:numId w:val="2"/>
        </w:numPr>
        <w:spacing w:before="120" w:beforeAutospacing="0" w:after="120" w:afterAutospacing="0" w:line="264" w:lineRule="auto"/>
        <w:jc w:val="both"/>
        <w:rPr>
          <w:color w:val="333333"/>
          <w:sz w:val="22"/>
          <w:szCs w:val="22"/>
          <w:lang w:val="bg-BG"/>
        </w:rPr>
      </w:pPr>
      <w:r w:rsidRPr="00456BFA">
        <w:rPr>
          <w:sz w:val="22"/>
          <w:szCs w:val="22"/>
          <w:lang w:val="bg-BG"/>
        </w:rPr>
        <w:t xml:space="preserve">Депа за битови, строителни и промишлени отпадъци, които не отговарят на нормативно регламентираните екологични изисквания – Като дифузен източник на натиск се разглеждат старите все още действащи или нерекултивираните депа, които не отговарят на екологичните законови изисквания и създават риск от замърсяване на повърхностните води. </w:t>
      </w:r>
    </w:p>
    <w:p w14:paraId="1F066A33" w14:textId="77777777" w:rsidR="000532D9" w:rsidRPr="00456BFA" w:rsidRDefault="000532D9" w:rsidP="00456BFA">
      <w:pPr>
        <w:pStyle w:val="3vff3xh4yd"/>
        <w:numPr>
          <w:ilvl w:val="0"/>
          <w:numId w:val="2"/>
        </w:numPr>
        <w:spacing w:before="120" w:beforeAutospacing="0" w:after="120" w:afterAutospacing="0" w:line="264" w:lineRule="auto"/>
        <w:jc w:val="both"/>
        <w:rPr>
          <w:color w:val="333333"/>
          <w:sz w:val="22"/>
          <w:szCs w:val="22"/>
          <w:lang w:val="bg-BG"/>
        </w:rPr>
      </w:pPr>
      <w:r w:rsidRPr="00456BFA">
        <w:rPr>
          <w:sz w:val="22"/>
          <w:szCs w:val="22"/>
          <w:lang w:val="bg-BG"/>
        </w:rPr>
        <w:t xml:space="preserve">Замърсяване от въздуха - Замърсителите във водите, които произхождат от атмосферните отлагания най-често са: кадмий, олово, живак, азот, сяра, мед, цинк, техните съединения и други токсини. </w:t>
      </w:r>
    </w:p>
    <w:p w14:paraId="5424D6B5" w14:textId="77777777" w:rsidR="000532D9" w:rsidRPr="00456BFA" w:rsidRDefault="000532D9" w:rsidP="00456BFA">
      <w:pPr>
        <w:pStyle w:val="3vff3xh4yd"/>
        <w:numPr>
          <w:ilvl w:val="0"/>
          <w:numId w:val="2"/>
        </w:numPr>
        <w:spacing w:before="120" w:beforeAutospacing="0" w:after="120" w:afterAutospacing="0" w:line="264" w:lineRule="auto"/>
        <w:jc w:val="both"/>
        <w:rPr>
          <w:color w:val="333333"/>
          <w:sz w:val="22"/>
          <w:szCs w:val="22"/>
          <w:lang w:val="bg-BG"/>
        </w:rPr>
      </w:pPr>
      <w:r w:rsidRPr="00456BFA">
        <w:rPr>
          <w:sz w:val="22"/>
          <w:szCs w:val="22"/>
          <w:lang w:val="bg-BG"/>
        </w:rPr>
        <w:lastRenderedPageBreak/>
        <w:t>Замърсяване от транспорт – Дифузното замърсяване с източник транспорт е свързано с износването на автомобилните гуми, спирачките и течовете на масло от двигателите, които отделят емисии от тежки метали и полициклични ароматни въглеводороди (ПАВ), износването на пътната настилка.</w:t>
      </w:r>
    </w:p>
    <w:p w14:paraId="244DAFBA" w14:textId="77777777" w:rsidR="000532D9" w:rsidRPr="00456BFA" w:rsidRDefault="000532D9" w:rsidP="00456BFA">
      <w:pPr>
        <w:pStyle w:val="3vff3xh4yd"/>
        <w:numPr>
          <w:ilvl w:val="0"/>
          <w:numId w:val="2"/>
        </w:numPr>
        <w:spacing w:before="120" w:beforeAutospacing="0" w:after="120" w:afterAutospacing="0" w:line="264" w:lineRule="auto"/>
        <w:jc w:val="both"/>
        <w:rPr>
          <w:b/>
          <w:bCs/>
          <w:sz w:val="22"/>
          <w:szCs w:val="22"/>
          <w:lang w:val="bg-BG"/>
        </w:rPr>
      </w:pPr>
      <w:r w:rsidRPr="00456BFA">
        <w:rPr>
          <w:sz w:val="22"/>
          <w:szCs w:val="22"/>
          <w:lang w:val="bg-BG"/>
        </w:rPr>
        <w:t xml:space="preserve">Ерозия - Пренесените чрез ерозия замърсители оказват влияние най-вече на водните екосистеми. </w:t>
      </w:r>
    </w:p>
    <w:p w14:paraId="535B4178" w14:textId="77777777" w:rsidR="000532D9" w:rsidRPr="00456BFA" w:rsidRDefault="000532D9" w:rsidP="00456BFA">
      <w:pPr>
        <w:pStyle w:val="3vff3xh4yd"/>
        <w:spacing w:before="120" w:beforeAutospacing="0" w:after="120" w:afterAutospacing="0" w:line="264" w:lineRule="auto"/>
        <w:jc w:val="both"/>
        <w:rPr>
          <w:b/>
          <w:bCs/>
          <w:i/>
          <w:iCs/>
          <w:sz w:val="22"/>
          <w:szCs w:val="22"/>
          <w:u w:val="single"/>
          <w:lang w:val="bg-BG"/>
        </w:rPr>
      </w:pPr>
      <w:r w:rsidRPr="00456BFA">
        <w:rPr>
          <w:i/>
          <w:iCs/>
          <w:sz w:val="22"/>
          <w:szCs w:val="22"/>
          <w:u w:val="single"/>
          <w:lang w:val="bg-BG"/>
        </w:rPr>
        <w:t>Хидроморфологичен натиск</w:t>
      </w:r>
    </w:p>
    <w:p w14:paraId="6EEB7CB2"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Основните дейности, които формират хидроморфологичния натиск върху водните тела в Черноморски район за басейново управление са: натиск от водовземане (изменение на оттока); натиск от морфологични изменения; прегради в реките (миграционни бариери); регулиране на оттока; драгиране.</w:t>
      </w:r>
    </w:p>
    <w:p w14:paraId="5B1BAC47"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Основният натиск за водните тела от басейновия район е от водовземания с цел охлаждане, промишлени, технологични и противопожарни нужди, производство на електроенергия и питейно-битово водоснабдяване. От Черно море се водовземат 540 373м 3 /годишно. Като цел на водовземането, с най-голям дял са нуждите на питейно-битовото водоснабдяване (66%) и сектора аквакултури (29%). </w:t>
      </w:r>
    </w:p>
    <w:p w14:paraId="4FAD041F"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Анализът на морфологичните изменения в ПУРБ идентифицира различни типове физични модификации: корекции на речни легла (диги, изправяне на реки); миграционни бариери; укрепване на речните брегове; добив на инертни материали; завирени участъци. На 16% от дължината на главните реки в ЧБ са изградени корекции/ защитни стени, които засягат 30% от водните тела. Дейностите по укрепване на бреговете са незначително малко на брой и не оказват натиск върху водните тела в Черноморски район. Определени са 435,84км завирени участъци, които представляват 15,1% от общата дължина на главните реките в ЧРБУВ.</w:t>
      </w:r>
    </w:p>
    <w:p w14:paraId="3B83FB6B" w14:textId="63983E42" w:rsidR="000532D9" w:rsidRPr="00456BFA" w:rsidRDefault="000532D9" w:rsidP="00456BFA">
      <w:pPr>
        <w:pStyle w:val="3vff3xh4yd"/>
        <w:spacing w:before="120" w:beforeAutospacing="0" w:after="120" w:afterAutospacing="0" w:line="264" w:lineRule="auto"/>
        <w:jc w:val="both"/>
        <w:rPr>
          <w:i/>
          <w:iCs/>
          <w:sz w:val="22"/>
          <w:szCs w:val="22"/>
          <w:u w:val="single"/>
          <w:lang w:val="bg-BG"/>
        </w:rPr>
      </w:pPr>
      <w:r w:rsidRPr="00456BFA">
        <w:rPr>
          <w:i/>
          <w:iCs/>
          <w:sz w:val="22"/>
          <w:szCs w:val="22"/>
          <w:u w:val="single"/>
          <w:lang w:val="bg-BG"/>
        </w:rPr>
        <w:t>Натиск от инвазивни видове</w:t>
      </w:r>
    </w:p>
    <w:p w14:paraId="51510FC3"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Данните за натиска от инвазивни видове е ограничен до идентифициране на случаи с констатирано масово развитие на инвазивен вид: </w:t>
      </w:r>
    </w:p>
    <w:p w14:paraId="2DD68827" w14:textId="77777777" w:rsidR="000532D9" w:rsidRPr="00456BFA" w:rsidRDefault="000532D9" w:rsidP="00456BFA">
      <w:pPr>
        <w:pStyle w:val="3vff3xh4yd"/>
        <w:numPr>
          <w:ilvl w:val="0"/>
          <w:numId w:val="2"/>
        </w:numPr>
        <w:spacing w:before="120" w:beforeAutospacing="0" w:after="120" w:afterAutospacing="0" w:line="264" w:lineRule="auto"/>
        <w:jc w:val="both"/>
        <w:rPr>
          <w:color w:val="333333"/>
          <w:sz w:val="22"/>
          <w:szCs w:val="22"/>
          <w:lang w:val="bg-BG"/>
        </w:rPr>
      </w:pPr>
      <w:r w:rsidRPr="00456BFA">
        <w:rPr>
          <w:sz w:val="22"/>
          <w:szCs w:val="22"/>
          <w:lang w:val="bg-BG"/>
        </w:rPr>
        <w:t>неместен (интродуциран) вид мида – Dreisena polymorpha (Мида – зебра), регистриран в яз. „Тича”, Шабленско езеро, яз. “Ясна поляна” и яз. Камчия”.</w:t>
      </w:r>
    </w:p>
    <w:p w14:paraId="1A32119E" w14:textId="77777777" w:rsidR="000532D9" w:rsidRPr="00456BFA" w:rsidRDefault="000532D9" w:rsidP="00456BFA">
      <w:pPr>
        <w:pStyle w:val="3vff3xh4yd"/>
        <w:numPr>
          <w:ilvl w:val="0"/>
          <w:numId w:val="2"/>
        </w:numPr>
        <w:spacing w:before="120" w:beforeAutospacing="0" w:after="120" w:afterAutospacing="0" w:line="264" w:lineRule="auto"/>
        <w:jc w:val="both"/>
        <w:rPr>
          <w:color w:val="333333"/>
          <w:sz w:val="22"/>
          <w:szCs w:val="22"/>
          <w:lang w:val="bg-BG"/>
        </w:rPr>
      </w:pPr>
      <w:r w:rsidRPr="00456BFA">
        <w:rPr>
          <w:sz w:val="22"/>
          <w:szCs w:val="22"/>
          <w:lang w:val="bg-BG"/>
        </w:rPr>
        <w:t>присъствие на инвазивни и токсични видове фитопланктон в един от язовирите в басейновия район (яз.“ Порой“).</w:t>
      </w:r>
    </w:p>
    <w:p w14:paraId="0DDA9EE3"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Корабоплаването от морско - базираните дейности е смятано за основен източник на замърсяване на </w:t>
      </w:r>
      <w:r w:rsidRPr="00456BFA">
        <w:rPr>
          <w:b/>
          <w:bCs/>
          <w:sz w:val="22"/>
          <w:szCs w:val="22"/>
          <w:lang w:val="bg-BG"/>
        </w:rPr>
        <w:t>морската околна среда</w:t>
      </w:r>
      <w:r w:rsidRPr="00456BFA">
        <w:rPr>
          <w:sz w:val="22"/>
          <w:szCs w:val="22"/>
          <w:lang w:val="bg-BG"/>
        </w:rPr>
        <w:t xml:space="preserve">, освен с отпадъци, незаконни зауствания на отделните категории отпадъчни води от корабите (напр. трюмни води) и атмосферно замърсяване, но и с внасяне на неместни, често инвазивни видове. Въвеждането на чужди (особено инвазивни) видове, нетипични за Черно море, чрез корабни баластни води или прикрепването по плавателните съдове, води до сериозни промени на екосистемата на Черно море и продължава да е една от основните заплахи. </w:t>
      </w:r>
    </w:p>
    <w:p w14:paraId="170E1EB1"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Тралирането на морското дъно с цел улов на рапани (Rapana venosa), бяла и черна мида, както и бентосни (дънни) риби влияе негативно на дънните съобщества като директно разрушава повърхностния слой на седимента, където са концентрирани дънните организми. Над 50 % от </w:t>
      </w:r>
      <w:r w:rsidRPr="00456BFA">
        <w:rPr>
          <w:sz w:val="22"/>
          <w:szCs w:val="22"/>
          <w:lang w:val="bg-BG"/>
        </w:rPr>
        <w:lastRenderedPageBreak/>
        <w:t>площта на морското дъно до 100 м дълбочина, през 2011 г. е подложена на значим натиск от абразия вследствие на активен риболов.</w:t>
      </w:r>
      <w:r w:rsidRPr="00456BFA">
        <w:rPr>
          <w:rStyle w:val="FootnoteReference"/>
          <w:sz w:val="22"/>
          <w:szCs w:val="22"/>
          <w:lang w:val="bg-BG"/>
        </w:rPr>
        <w:footnoteReference w:id="38"/>
      </w:r>
    </w:p>
    <w:p w14:paraId="13BC36EF"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Дейности по драгиране и депониране на седименти в крайбрежните води не се извършват Изключение е крайбрежно водно тяло Варненски залив с код BG2BS000C005, като много малка част от него се драгира (района около Морска гара - Варна) с цел поддържане на необходимата дълбочина на кейовите места. Към 2015 г. в българската част на Черно море има определени две зони за депониране на драгирани наземни маси, които попадат в териториалните води на Р България (12 – милната зона на Черно море) срещу Варненски и Бургаски заливи. Във водни тела канал 1 (стар канал) Черно море - Варненско езеро, канал 2 (нов канал) Черно море - Варненско езеро, Варненско езеро, канал Варненско – Белославско езеро, Белославско езеро се извършва драгиране и по-рядко депониране, на определени места, поради периодична необходимост от поддържане на навигационните пътища към Пристанище Варна – Изток, Морска гара и пристанище Варна - Запад. Удълбочаването на плавателните канали в района на системата Белославско езеро - Варненско езеро - Варненски залив води до ресуспендиране и транспортиране на част от седимента, т.е индиректно замърсяване на езерните и крайбрежните води с азот и фосфор, по специално водно тяло Варненски залив. Възможно е тези дейности да имат силно въздействие върху състоянието и в районите на депониране в 12-милната зона на Черно море, но няма налична информация.</w:t>
      </w:r>
    </w:p>
    <w:p w14:paraId="36941F01"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Изграждането и поддържането на пристанищни и хидротехнически съоръжения за целите на брегоукрепването води до физическа загуба на дънните субстрати (местообитания) и асоциираните биологични видове и съобщества. Основните видове натиск като затрупване и запечатване на морското дъно са дефинирани в извършената Първоначална оценка на състоянието на морската околна среда съгласно чл. 8 от РДМС 2008/56/ЕО като: </w:t>
      </w:r>
    </w:p>
    <w:p w14:paraId="6B763B55" w14:textId="77777777" w:rsidR="000532D9" w:rsidRPr="00456BFA" w:rsidRDefault="000532D9" w:rsidP="00456BFA">
      <w:pPr>
        <w:pStyle w:val="3vff3xh4yd"/>
        <w:numPr>
          <w:ilvl w:val="0"/>
          <w:numId w:val="2"/>
        </w:numPr>
        <w:spacing w:before="120" w:beforeAutospacing="0" w:after="120" w:afterAutospacing="0" w:line="264" w:lineRule="auto"/>
        <w:jc w:val="both"/>
        <w:rPr>
          <w:sz w:val="22"/>
          <w:szCs w:val="22"/>
          <w:lang w:val="bg-BG"/>
        </w:rPr>
      </w:pPr>
      <w:r w:rsidRPr="00456BFA">
        <w:rPr>
          <w:sz w:val="22"/>
          <w:szCs w:val="22"/>
          <w:lang w:val="bg-BG"/>
        </w:rPr>
        <w:t xml:space="preserve">Запечатване (техногенна натовареност) - загуба на медиолиторални и сублиторални местообитания поради покриването им от постоянни антропогенни структури и съоръжения: каменнонасипни дамби, оградни пристанищни съоръжения, кейови платформи изградени от железобетонни конструкции, бетонни кесони, скални блокове и тетраподи, брегозащитни съоръжения, яхтени и рибарски пристани, изградени от бетонни и каменнонасипни блокове и тетраподи. </w:t>
      </w:r>
    </w:p>
    <w:p w14:paraId="31CF2125" w14:textId="77777777" w:rsidR="000532D9" w:rsidRPr="00456BFA" w:rsidRDefault="000532D9" w:rsidP="00456BFA">
      <w:pPr>
        <w:pStyle w:val="3vff3xh4yd"/>
        <w:numPr>
          <w:ilvl w:val="0"/>
          <w:numId w:val="2"/>
        </w:numPr>
        <w:spacing w:before="120" w:beforeAutospacing="0" w:after="120" w:afterAutospacing="0" w:line="264" w:lineRule="auto"/>
        <w:jc w:val="both"/>
        <w:rPr>
          <w:sz w:val="22"/>
          <w:szCs w:val="22"/>
          <w:lang w:val="bg-BG"/>
        </w:rPr>
      </w:pPr>
      <w:r w:rsidRPr="00456BFA">
        <w:rPr>
          <w:sz w:val="22"/>
          <w:szCs w:val="22"/>
          <w:lang w:val="bg-BG"/>
        </w:rPr>
        <w:t>Затрупване (отвоювана акватория) – естествено акумулиране на седиментни материали в района на изградените хидротехнически съоръжения поради промени в хидродинамичния и литодинамичния режим и изкуствено депониране на седименти за разширяване и създаване на нови плажови площи.</w:t>
      </w:r>
    </w:p>
    <w:p w14:paraId="72374641" w14:textId="77777777" w:rsidR="000532D9" w:rsidRPr="00456BFA" w:rsidRDefault="000532D9" w:rsidP="00456BFA">
      <w:pPr>
        <w:pStyle w:val="3vff3xh4yd"/>
        <w:spacing w:before="120" w:beforeAutospacing="0" w:after="120" w:afterAutospacing="0" w:line="264" w:lineRule="auto"/>
        <w:jc w:val="both"/>
        <w:rPr>
          <w:i/>
          <w:iCs/>
          <w:sz w:val="22"/>
          <w:szCs w:val="22"/>
          <w:u w:val="single"/>
          <w:lang w:val="bg-BG"/>
        </w:rPr>
      </w:pPr>
      <w:r w:rsidRPr="00456BFA">
        <w:rPr>
          <w:i/>
          <w:iCs/>
          <w:sz w:val="22"/>
          <w:szCs w:val="22"/>
          <w:u w:val="single"/>
          <w:lang w:val="bg-BG"/>
        </w:rPr>
        <w:t>Натиск от климатични промени</w:t>
      </w:r>
    </w:p>
    <w:p w14:paraId="4D8F2632"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Разработеният за басейновия район най-песимистичен сценарий на климатични промени (плавно нарастващи емисии на парникови газове във времето) прогнозира най-интензивни тенденции за намаляване на оттока за периода 2071 – 2100 г. На север от Стара планина за поречията на Черноморски Добруджански реки, р. Провадийска и р. Камчия е прогнозирано намаляване на пролетния отток до -19%, на летния до -38%, есенния до -9%, а зимния до -17%. В района на Севернобургаски реки пролетният и летният отток намаляват значително. На север от Стара планина за поречията на р. Вая, р. Двойница, р. Панаирдере и р. Фандаклийска прогнозата за </w:t>
      </w:r>
      <w:r w:rsidRPr="00456BFA">
        <w:rPr>
          <w:sz w:val="22"/>
          <w:szCs w:val="22"/>
          <w:lang w:val="bg-BG"/>
        </w:rPr>
        <w:lastRenderedPageBreak/>
        <w:t xml:space="preserve">изменение на оттока е пролетният отток да намалее до -19%, летният до -38%, но също така намаляват есенният отток до -9% и зимният до -17%. </w:t>
      </w:r>
    </w:p>
    <w:p w14:paraId="07B92C4D"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На юг от Стара планина прогнозата е пролетният отток да намалее до -30%, а летният до -35%. Очаква се есенният отток да се увеличи до 9%, а зимният до 48%. В района на Мандренски реки, Южнобургаски реки, р. Велека и р. Резовска прогнозата за изменение на оттока е пролетният отток да намалее до 30%, летният до -35%. Очаква се есенният отток да се увеличи до 9%, а зимният до 48%.</w:t>
      </w:r>
    </w:p>
    <w:p w14:paraId="65E53B2B"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Идентифицираните категории натиск върху </w:t>
      </w:r>
      <w:r w:rsidRPr="00456BFA">
        <w:rPr>
          <w:b/>
          <w:bCs/>
          <w:sz w:val="22"/>
          <w:szCs w:val="22"/>
          <w:lang w:val="bg-BG"/>
        </w:rPr>
        <w:t>подземните води</w:t>
      </w:r>
      <w:r w:rsidRPr="00456BFA">
        <w:rPr>
          <w:sz w:val="22"/>
          <w:szCs w:val="22"/>
          <w:lang w:val="bg-BG"/>
        </w:rPr>
        <w:t xml:space="preserve"> на територията на ЧРБУ включват: </w:t>
      </w:r>
    </w:p>
    <w:p w14:paraId="261BDF7A" w14:textId="77777777" w:rsidR="000532D9" w:rsidRPr="00456BFA" w:rsidRDefault="000532D9" w:rsidP="00456BFA">
      <w:pPr>
        <w:pStyle w:val="3vff3xh4yd"/>
        <w:numPr>
          <w:ilvl w:val="0"/>
          <w:numId w:val="2"/>
        </w:numPr>
        <w:spacing w:before="120" w:beforeAutospacing="0" w:after="120" w:afterAutospacing="0" w:line="264" w:lineRule="auto"/>
        <w:jc w:val="both"/>
        <w:rPr>
          <w:sz w:val="22"/>
          <w:szCs w:val="22"/>
          <w:lang w:val="bg-BG"/>
        </w:rPr>
      </w:pPr>
      <w:r w:rsidRPr="00456BFA">
        <w:rPr>
          <w:sz w:val="22"/>
          <w:szCs w:val="22"/>
          <w:lang w:val="bg-BG"/>
        </w:rPr>
        <w:t xml:space="preserve">Точкови източници на замърсяване </w:t>
      </w:r>
    </w:p>
    <w:p w14:paraId="165912A8" w14:textId="77777777" w:rsidR="000532D9" w:rsidRPr="00456BFA" w:rsidRDefault="000532D9"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Приносът на основните точкови източници на замърсяване на подземните водни тела за ЧРБУ се определя приоритетно от депата за отпадъци (заемащи площ до 250000 м2 ) – 29%, ГПСОВ – 18%; операторите с издадени комплексни разрешителни (КР по ЗООС) – 14%. На следващо място като източници на замърсяване са: операторите без издадени комплексни разрешителни; промишлени оператори без издадени КР (разрешителни по ЗВ); ферми, складове и други селско-стопански обекти; мини, хвостохранилища (заемащи площ до 250000 м2 ); замърсявания от минали дейности (заемащи площ до 250000 м2 ); складове за пестициди (ББ кубове); мини, кариери и хвостохранилища.</w:t>
      </w:r>
    </w:p>
    <w:p w14:paraId="722D6782"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Определено е едно подземно водно тяло, за което съществува риск да не постигне заложените цели за постигане на добро състояние в резултат на натиск от точкови източници на замърсяване - BG2G000000Q008 Порови води в кватернера на р. Айтоска. За останалите подземни водни тела е оценено, че натиска от точкови източници не е значителен и няма опасност от непостигане на целите в резултат от този вид антропогенно въздействие.</w:t>
      </w:r>
    </w:p>
    <w:p w14:paraId="52E8D412" w14:textId="77777777" w:rsidR="000532D9" w:rsidRPr="00456BFA" w:rsidRDefault="000532D9" w:rsidP="00456BFA">
      <w:pPr>
        <w:pStyle w:val="3vff3xh4yd"/>
        <w:numPr>
          <w:ilvl w:val="0"/>
          <w:numId w:val="3"/>
        </w:numPr>
        <w:spacing w:before="120" w:beforeAutospacing="0" w:after="120" w:afterAutospacing="0" w:line="264" w:lineRule="auto"/>
        <w:rPr>
          <w:sz w:val="22"/>
          <w:szCs w:val="22"/>
          <w:lang w:val="bg-BG"/>
        </w:rPr>
      </w:pPr>
      <w:r w:rsidRPr="00456BFA">
        <w:rPr>
          <w:sz w:val="22"/>
          <w:szCs w:val="22"/>
          <w:lang w:val="bg-BG"/>
        </w:rPr>
        <w:t>Дифузни източници на замърсяване</w:t>
      </w:r>
    </w:p>
    <w:p w14:paraId="491C9B78"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Като значими дифузни източници на замърсяване на подземните води се определят селското стопанство (обработваема земя, трайни насаждения, пасища, хетерогенни селски стопанства) с дял от 93%; депа за отпадъци; дренажи от градовете; мини, хвостохранилища; замърсявания от минали дейности. Значителен е натискът върху състоянието на подземните води и на населените места без или частично изградена канализация.</w:t>
      </w:r>
    </w:p>
    <w:p w14:paraId="698517C5" w14:textId="77777777" w:rsidR="000532D9" w:rsidRPr="00456BFA" w:rsidRDefault="000532D9" w:rsidP="00456BFA">
      <w:pPr>
        <w:pStyle w:val="3vff3xh4yd"/>
        <w:numPr>
          <w:ilvl w:val="0"/>
          <w:numId w:val="3"/>
        </w:numPr>
        <w:spacing w:before="120" w:beforeAutospacing="0" w:after="120" w:afterAutospacing="0" w:line="264" w:lineRule="auto"/>
        <w:rPr>
          <w:sz w:val="22"/>
          <w:szCs w:val="22"/>
          <w:lang w:val="bg-BG"/>
        </w:rPr>
      </w:pPr>
      <w:r w:rsidRPr="00456BFA">
        <w:rPr>
          <w:sz w:val="22"/>
          <w:szCs w:val="22"/>
          <w:lang w:val="bg-BG"/>
        </w:rPr>
        <w:t>Водовземане от подземни води</w:t>
      </w:r>
    </w:p>
    <w:p w14:paraId="31EDBDDA"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Целите за които се осъществява водовземането на територията на басейновия район включват: питейно-битови нужди (с най-голям дял от 45%); напояване и животновъдство; индустриални (промишлени); други, в това число – минно дело и електроенергия. Определени шест подземни водни тела със значим натиск от водовземане и експлоатационен индекс  над 40%.</w:t>
      </w:r>
    </w:p>
    <w:p w14:paraId="08993382" w14:textId="77777777" w:rsidR="000532D9" w:rsidRPr="00456BFA" w:rsidRDefault="000532D9" w:rsidP="00456BFA">
      <w:pPr>
        <w:pStyle w:val="3vff3xh4yd"/>
        <w:numPr>
          <w:ilvl w:val="0"/>
          <w:numId w:val="3"/>
        </w:numPr>
        <w:spacing w:before="120" w:beforeAutospacing="0" w:after="120" w:afterAutospacing="0" w:line="264" w:lineRule="auto"/>
        <w:rPr>
          <w:sz w:val="22"/>
          <w:szCs w:val="22"/>
          <w:lang w:val="bg-BG"/>
        </w:rPr>
      </w:pPr>
      <w:r w:rsidRPr="00456BFA">
        <w:rPr>
          <w:sz w:val="22"/>
          <w:szCs w:val="22"/>
          <w:lang w:val="bg-BG"/>
        </w:rPr>
        <w:t>Климатични изменения.</w:t>
      </w:r>
    </w:p>
    <w:p w14:paraId="7859B77F"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През първите два прогнозни периода (2013-2042 и 2021-2050 г.) се очаква известно увеличение на естествените ресурси на подземните води, свързано главно с известно нарастване на валежите. През третия прогнозен период (2071-2100 г.) се очертава намаляване на ресурсите, в резултат на нарастване на евапотранспирацията поради по-високите температури. Намалението е почти повсеместно и се наблюдава и при двата разработени климатични сценария.</w:t>
      </w:r>
    </w:p>
    <w:p w14:paraId="24E188F6" w14:textId="77777777" w:rsidR="000532D9" w:rsidRPr="00456BFA" w:rsidRDefault="000532D9" w:rsidP="00456BFA">
      <w:pPr>
        <w:pStyle w:val="3vff3xh4yd"/>
        <w:spacing w:before="120" w:beforeAutospacing="0" w:after="120" w:afterAutospacing="0" w:line="264" w:lineRule="auto"/>
        <w:rPr>
          <w:b/>
          <w:bCs/>
          <w:sz w:val="22"/>
          <w:szCs w:val="22"/>
          <w:lang w:val="bg-BG"/>
        </w:rPr>
      </w:pPr>
      <w:r w:rsidRPr="00456BFA">
        <w:rPr>
          <w:b/>
          <w:bCs/>
          <w:sz w:val="22"/>
          <w:szCs w:val="22"/>
          <w:lang w:val="bg-BG"/>
        </w:rPr>
        <w:lastRenderedPageBreak/>
        <w:t>Източнобеломорски район за басейново управление (ИБР)</w:t>
      </w:r>
    </w:p>
    <w:p w14:paraId="7B5008B9"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Идентифицираните основни източници на замърсяване на </w:t>
      </w:r>
      <w:r w:rsidRPr="00456BFA">
        <w:rPr>
          <w:b/>
          <w:bCs/>
          <w:sz w:val="22"/>
          <w:szCs w:val="22"/>
          <w:lang w:val="bg-BG"/>
        </w:rPr>
        <w:t>повърхностните води</w:t>
      </w:r>
      <w:r w:rsidRPr="00456BFA">
        <w:rPr>
          <w:sz w:val="22"/>
          <w:szCs w:val="22"/>
          <w:lang w:val="bg-BG"/>
        </w:rPr>
        <w:t xml:space="preserve"> на ниво район за басейново управление включват</w:t>
      </w:r>
      <w:r w:rsidRPr="00456BFA">
        <w:rPr>
          <w:rStyle w:val="FootnoteReference"/>
          <w:sz w:val="22"/>
          <w:szCs w:val="22"/>
          <w:lang w:val="bg-BG"/>
        </w:rPr>
        <w:footnoteReference w:id="39"/>
      </w:r>
      <w:r w:rsidRPr="00456BFA">
        <w:rPr>
          <w:sz w:val="22"/>
          <w:szCs w:val="22"/>
          <w:lang w:val="bg-BG"/>
        </w:rPr>
        <w:t xml:space="preserve">: </w:t>
      </w:r>
    </w:p>
    <w:p w14:paraId="486BACB9"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i/>
          <w:iCs/>
          <w:sz w:val="22"/>
          <w:szCs w:val="22"/>
          <w:u w:val="single"/>
          <w:lang w:val="bg-BG"/>
        </w:rPr>
        <w:t>Точкови източници на замърсяване</w:t>
      </w:r>
      <w:r w:rsidRPr="00456BFA">
        <w:rPr>
          <w:i/>
          <w:iCs/>
          <w:sz w:val="22"/>
          <w:szCs w:val="22"/>
          <w:lang w:val="bg-BG"/>
        </w:rPr>
        <w:t xml:space="preserve"> </w:t>
      </w:r>
      <w:r w:rsidRPr="00456BFA">
        <w:rPr>
          <w:sz w:val="22"/>
          <w:szCs w:val="22"/>
          <w:lang w:val="bg-BG"/>
        </w:rPr>
        <w:t>(канализации и пречиствателни станции за отпадъчни води от населени места (ПСОВ); индустриалните емитери, заустващи отпадъчни води в повърхностни води; животновъдни ферми, заустващи в повърхностни води и рибовъдството)</w:t>
      </w:r>
    </w:p>
    <w:p w14:paraId="65CE1770"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Основният източник на замърсяване на повърхностните водни тела с биогени на територията на ИБР са канализационните системи за отпадъчни води от населени места. Те формират 92-99% от общия товар за азот и фосфор, както и свързаните с тях показатели за органично замърсяване (БПК и ХПК).</w:t>
      </w:r>
    </w:p>
    <w:p w14:paraId="2E66028C"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Индустриалните емитери в района на ИБР като точкови замърсители, заустващи отпадъчни води в повърхностни водни обекти, включват представители на няколко групи сектори: добивна промишленост; преработваща промишленост; производство и разпределение на електрическа и топлинна енергия, газообразни горива и вода; строителство, търговия, ремонт и техническо обслужване на автомобили и мотоциклети; търговия на едро; транспорт; складиране и съобщения; хотели и ресторанти; медико-социални грижи с настаняване; спортни и други дейности, свързани с развлечения и отдих; рибно стопанство; селско стопанство (животновъдство) и депа за отпадъци.</w:t>
      </w:r>
    </w:p>
    <w:p w14:paraId="1A7C8D0D"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Към 2015г. броят на индустриалните емитери с издадени разрешителни по ЗООС и ЗВ за заустване на отпадъчни води в повърхностни водни обекти на територията на ИБР е 415. От тази дейност са засегнати 88 повърхностни водни тела от басейн р. Марица, 21 водни тела от басейн р. Арда и 20 водни тела от басейн р. Тунджа.</w:t>
      </w:r>
    </w:p>
    <w:p w14:paraId="373BFD8C"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При някои от производствата все още е налице неефективно пречистване и допускане на инцидентни залпови изпускания на непречистени промишлени отпадъчни води в резултат на аварии. Някои участъци от реки, в близост до закрити минни дейности, са с определено лошо състояние по химичен статус и екологично състояние. Тези дейности обясняват и обуславят регистрираното наличие на замърсители, въздействащи негативно върху много от общите физикохимични показатели и някои приоритетни вещества и специфични замърсители. Характерни специфични замърсители, които се установяват над определените СКОС са нефтопродукти, желязо (Fe), манган (Mn), мед (Cu), цинк (Zn), арсен (Аs), хром ІІІ (Cr ІІІ), хром VІ (Cr VІ), а приоритетни вещества, които предизвикват лошо химично състояние са кадмий (Cd), олово (Pb) и никел (Ni). Идентифицираното лошо екологично състояние (по специфични замърсители) и лошо химично състояние (приоритетни вещества) на водните тела на територията на ИБР се дължи основно на замърсяване с метали. Основни източници на замърсяване на повърхностните водни тела със специфични замърсители и приоритетни вещества са отпадъчните води от индустриални емитери. Част от тях заустват самостоятелно своите отпадъчни води, а друга част са включени в канализационните системи за отпадъчни води на населените места.</w:t>
      </w:r>
    </w:p>
    <w:p w14:paraId="137AA4D3"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Към 2015 г. на територията на ИБР са издадени 3 комплексни разрешителни по ЗООС и 5 разрешителни по ЗВ за заустване на отпадъчни води от животновъдни ферми в повърхностен воден обект, като от тази дейност са засегнати 5 повърхностни водни тела. </w:t>
      </w:r>
    </w:p>
    <w:p w14:paraId="6311F8A2"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lastRenderedPageBreak/>
        <w:t>Рибовъдството се проявява като точков източник на натиск при интензивното отглеждане на риба в изкуствено създадени проточни басейни (рибарници). При тази форма на рибовъдство се осигурява приток на вода, черпена от близко разположени водни обекти (реки, канали, сондажи, кладенци), която поддържа необходимото ниво на разтворен кислород в рибовъдните басейни. Преминавайки през тях водата се зауства в близко разположен воден обект, обогатена с биогени от жизнената дейност на аквакултурите. Проведените изследвания показват, че тази форма на рибовъдство не оказва значим натиск и въздействие върху водните тела и дори след рибовъдни стопанства с голям капацитет не се установяват негативни промени в екологичното състояние. До момента са издадени 80 бр. разрешителни за водовземане от водни обекти с цел отглеждане на аквакултури в 52 водни тела, като само за 7 от рибовъдните стопанства има издадени разрешителни за заустване на отпадъчни води</w:t>
      </w:r>
    </w:p>
    <w:p w14:paraId="437C51B7"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i/>
          <w:iCs/>
          <w:sz w:val="22"/>
          <w:szCs w:val="22"/>
          <w:u w:val="single"/>
          <w:lang w:val="bg-BG"/>
        </w:rPr>
        <w:t>Дифузни източници на замърсяване</w:t>
      </w:r>
      <w:r w:rsidRPr="00456BFA">
        <w:rPr>
          <w:sz w:val="22"/>
          <w:szCs w:val="22"/>
          <w:lang w:val="bg-BG"/>
        </w:rPr>
        <w:t xml:space="preserve"> (селското стопанство, в частност земеделието; земеползването като цяло; риборазвъждането; замърсяванията от въздуха; замърсяване от транспорт; населени места без изградена канализация и ерозията)</w:t>
      </w:r>
    </w:p>
    <w:p w14:paraId="1357C4C8"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Земеделските земи се третират широко с изкуствени торове и препарати за растителна защита (ПРЗ). Основното въздействие върху водните тела е свързано с биогенните елементи (различни азот- и фосфорсъдържащи вещества) и специфични химични замърсители (приоритетни и опасни вещества). Под въздействие на дифузно замърсяване от земеделски източници са предимно повърхностните водни тела, разположени в равнинните райони.</w:t>
      </w:r>
    </w:p>
    <w:p w14:paraId="2924E454"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Анализът показва, че на територията на ИБР за 14 водни тела са издадени разрешителни за садково рибовъдство, като за две от тях разрешителните са прекратени. Популярна форма на сладководно рибовъдство на територията на ИБР е полуинтензивното отглеждане на риба в малки и средни равнинни язовири, които най-често са общинска и по-рядко – държавна собственост. Те са плитки, създадени за напояване и в тях се наблюдава засилен процес на еутрофикация: висока концентрация на азотни и фосфорни съединения и засилен цъфтеж на планктонни водорасли.</w:t>
      </w:r>
    </w:p>
    <w:p w14:paraId="075842C9"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Източници на дифузно замърсяване от пътния трафик (транспорт) са износването на автомобилните гуми, износването на спирачките и течовете на масло от двигателите, които отделят емисии от тежки метали и полициклични ароматни въглеводороди (ПАВ). </w:t>
      </w:r>
    </w:p>
    <w:p w14:paraId="6006CB72"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В населени места без изградена или частично изградена канализационна мрежа битовите, стопанските и промишлени води се събират в септични ями или попивни изгребни ями. Тези ями най-често не са водоплътни и изолирани и отпадъчните води се просмукват и замърсяват водоизточниците най-често със замърсители от битов и селскостопански произход – органични и биогенни елементи (неразтворени вещества; замърсители влияещи на кислородния режим; различни форми на азот и фосфор). За 14 повърхностни водни тела е изчислен висок товар на основните биогенни елементи, постъпващи в повърхностните води от несвързаните с канализация домакинства.</w:t>
      </w:r>
    </w:p>
    <w:p w14:paraId="7FB7B79E"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Под въздействие от ерозия са предимно повърхностните водни тела разположени в планински и полупланински райони.</w:t>
      </w:r>
    </w:p>
    <w:p w14:paraId="460C151F" w14:textId="77777777" w:rsidR="000532D9" w:rsidRPr="00456BFA" w:rsidRDefault="000532D9" w:rsidP="00456BFA">
      <w:pPr>
        <w:pStyle w:val="3vff3xh4yd"/>
        <w:spacing w:before="120" w:beforeAutospacing="0" w:after="120" w:afterAutospacing="0" w:line="264" w:lineRule="auto"/>
        <w:jc w:val="both"/>
        <w:rPr>
          <w:i/>
          <w:iCs/>
          <w:sz w:val="22"/>
          <w:szCs w:val="22"/>
          <w:u w:val="single"/>
          <w:lang w:val="bg-BG"/>
        </w:rPr>
      </w:pPr>
      <w:r w:rsidRPr="00456BFA">
        <w:rPr>
          <w:i/>
          <w:iCs/>
          <w:sz w:val="22"/>
          <w:szCs w:val="22"/>
          <w:u w:val="single"/>
          <w:lang w:val="bg-BG"/>
        </w:rPr>
        <w:t>Хидроморфологичен натиск</w:t>
      </w:r>
    </w:p>
    <w:p w14:paraId="58930F51"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По отношение на натиска върху повърхностите тела от водовземане, най-голямо количество вода се използва от каскадите Баташки водносилов път (БВП), каскада “Доспат – Въча” и каскада </w:t>
      </w:r>
      <w:r w:rsidRPr="00456BFA">
        <w:rPr>
          <w:sz w:val="22"/>
          <w:szCs w:val="22"/>
          <w:lang w:val="bg-BG"/>
        </w:rPr>
        <w:lastRenderedPageBreak/>
        <w:t>“Белмекен-Сестримо”, каскада “Арда”. За първите 3 се прехвърлят води и от басейните на реките Струма и Места. Значително влияние върху водния отток в реките оказват изградените деривационни МВЕЦ, при които се намалява значително естественото водно количество (до минимално допустимия отток – 10% от средномногогодишното водно количество) в участъка между водовземането и заустването на отнетите водни количества. Повърхностните водни тела в ИБР, повлияни от водовземания са 190 на брой, което представлява 61% от всички ВТ.</w:t>
      </w:r>
    </w:p>
    <w:p w14:paraId="1CBF7417"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На територията на ИБР са идентифицирани 345 коригирани участъци с обща дължина от 1158,668 км, които представляват 10.9 % от общата дължина на реките в ИБР. Общият брой на засегнатите водни тела по този показател е 120 бр., което представлява 38.4 % общия брой водни тела в басейновия район.</w:t>
      </w:r>
    </w:p>
    <w:p w14:paraId="77D54BC7"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157 е броят на засегнатите от добив на инертни материали речни участъци с обща дължина от 141.912 км, които представляват 1.34 % от общата дължина на реките в ИБР. Засегнатите от добив водни тела са 50, което представлява 16 % общия брой водни тела. За повърхностни водни тела от категория „река” са определени 368 броя завирени участъци с обща дължина от 210,138 км., които представляват 1,98% от общата дължина на водните тела. Засегнатите водни тела са 107 или 34,29% от общия брой на водните тела. Дейностите по укрепване на бреговете са незначително малко на брой и не оказват натиск върху водните тела в Източнобеломорски район.</w:t>
      </w:r>
    </w:p>
    <w:p w14:paraId="4CC8FEB0"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За 117 повърхностни водни тела е идентифициран натиск от корекции (диги), за 83 -натиск от корекции (урбанизация). 50 повърхностни ВТ са засегнати от добив на инертни материали, 109 – от завирени участъци, а 113 от миграционни бариери. </w:t>
      </w:r>
    </w:p>
    <w:p w14:paraId="55DF8745"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Значим проблем в ИБР е наличието на прегради в реките/миграционни бариери, които нарушават непрекъснатостта на реката. Засегнати са 113 водни тела от категория „реки”, от които 28 повърхностни водни тела са със значим натиск, 53 – с умерен натиск и 26 – с незначителен натиск. За 6 водни тела липсват данни.</w:t>
      </w:r>
    </w:p>
    <w:p w14:paraId="7B553A07"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Специфика в управлението на водите в ИБР представлява прехвърлянето на води от един речен басейн в ИБР в друг, както и междубасейново прехвърляне – т. нар. «регулиране на оттока», който също е оценен като натиск. В ИБР са изградени следните деривационни съоръжения за прехвърляне на води: Баташки водносилов път, ВС „Доспат – Въча“, Деривация „Яз. Жребчево – р. Марица“, Каскада „Долна Арда“, Каскада „Белмекен – Сестримо – Чаира“, СД „Грънчар“, Хидровъзел „Яз. Копринка“ и Хидросъоръжение при яз. „Овчарица“.</w:t>
      </w:r>
    </w:p>
    <w:p w14:paraId="0FA02831" w14:textId="77777777" w:rsidR="000532D9" w:rsidRPr="00456BFA" w:rsidRDefault="000532D9" w:rsidP="00456BFA">
      <w:pPr>
        <w:pStyle w:val="3vff3xh4yd"/>
        <w:spacing w:before="120" w:beforeAutospacing="0" w:after="120" w:afterAutospacing="0" w:line="264" w:lineRule="auto"/>
        <w:rPr>
          <w:i/>
          <w:iCs/>
          <w:sz w:val="22"/>
          <w:szCs w:val="22"/>
          <w:u w:val="single"/>
          <w:lang w:val="bg-BG"/>
        </w:rPr>
      </w:pPr>
      <w:r w:rsidRPr="00456BFA">
        <w:rPr>
          <w:i/>
          <w:iCs/>
          <w:sz w:val="22"/>
          <w:szCs w:val="22"/>
          <w:u w:val="single"/>
          <w:lang w:val="bg-BG"/>
        </w:rPr>
        <w:t>Натиск от инвазивни видове</w:t>
      </w:r>
    </w:p>
    <w:p w14:paraId="0E3286D7" w14:textId="77777777" w:rsidR="000532D9" w:rsidRPr="00456BFA" w:rsidRDefault="000532D9" w:rsidP="00456BFA">
      <w:pPr>
        <w:pStyle w:val="3vff3xh4yd"/>
        <w:spacing w:before="120" w:beforeAutospacing="0" w:after="120" w:afterAutospacing="0" w:line="264" w:lineRule="auto"/>
        <w:rPr>
          <w:sz w:val="22"/>
          <w:szCs w:val="22"/>
          <w:lang w:val="bg-BG"/>
        </w:rPr>
      </w:pPr>
      <w:r w:rsidRPr="00456BFA">
        <w:rPr>
          <w:sz w:val="22"/>
          <w:szCs w:val="22"/>
          <w:lang w:val="bg-BG"/>
        </w:rPr>
        <w:t>При оценката на натиска от инвазивни видове са идентифицирани следните видове:</w:t>
      </w:r>
    </w:p>
    <w:p w14:paraId="436BB1EF"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 xml:space="preserve">Pseudorasbora parva (лъчеперка) с основно негативно влияние е върху рибовъдната дейност и любителския риболов. </w:t>
      </w:r>
    </w:p>
    <w:p w14:paraId="1595F0C6"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 xml:space="preserve">Lepomis gibbosus (слънчева рибка) - основното негативно влияние на вида е върху любителския риболов. </w:t>
      </w:r>
    </w:p>
    <w:p w14:paraId="34429254"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 xml:space="preserve">Мида зебра (Dreissena polymorpha) – от икономическа гледна точка, нейната инвазия представлява най-голяма заплаха в ИБР. Влияние оказва върху секторите на индустрията, питейно-битовото водоснабдяване и рибовъдна дейност (в частност може да засегне отглеждане на аквакултури в мрежени клетки). </w:t>
      </w:r>
    </w:p>
    <w:p w14:paraId="78F47568"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lastRenderedPageBreak/>
        <w:t>Corbicula fluminea (сладководна мида) - установен в ИБР (в яз. Овчарица) през 2013.</w:t>
      </w:r>
    </w:p>
    <w:p w14:paraId="55490F44" w14:textId="77777777" w:rsidR="000532D9" w:rsidRPr="00456BFA" w:rsidRDefault="000532D9" w:rsidP="00456BFA">
      <w:pPr>
        <w:pStyle w:val="3vff3xh4yd"/>
        <w:spacing w:before="120" w:beforeAutospacing="0" w:after="120" w:afterAutospacing="0" w:line="264" w:lineRule="auto"/>
        <w:jc w:val="both"/>
        <w:rPr>
          <w:i/>
          <w:iCs/>
          <w:sz w:val="22"/>
          <w:szCs w:val="22"/>
          <w:u w:val="single"/>
          <w:lang w:val="bg-BG"/>
        </w:rPr>
      </w:pPr>
      <w:r w:rsidRPr="00456BFA">
        <w:rPr>
          <w:i/>
          <w:iCs/>
          <w:sz w:val="22"/>
          <w:szCs w:val="22"/>
          <w:u w:val="single"/>
          <w:lang w:val="bg-BG"/>
        </w:rPr>
        <w:t>Натиск от климатични промени</w:t>
      </w:r>
    </w:p>
    <w:p w14:paraId="6EDB8089"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Подобно на останалите райони за басейново управление, тенденциите за изменение на оттока на водните тела в резултат от климатичните промени се оценят като значими в дългосрочен план за периода 2071 – 2100 г.</w:t>
      </w:r>
    </w:p>
    <w:p w14:paraId="75DF09FE" w14:textId="77777777" w:rsidR="000532D9" w:rsidRPr="00456BFA" w:rsidRDefault="000532D9" w:rsidP="00456BFA">
      <w:pPr>
        <w:pStyle w:val="3vff3xh4yd"/>
        <w:spacing w:before="120" w:beforeAutospacing="0" w:after="120" w:afterAutospacing="0" w:line="264" w:lineRule="auto"/>
        <w:jc w:val="both"/>
        <w:rPr>
          <w:rFonts w:eastAsiaTheme="minorHAnsi"/>
          <w:color w:val="000000"/>
          <w:sz w:val="22"/>
          <w:szCs w:val="22"/>
          <w:lang w:val="bg-BG"/>
        </w:rPr>
      </w:pPr>
      <w:r w:rsidRPr="00456BFA">
        <w:rPr>
          <w:rFonts w:eastAsiaTheme="minorHAnsi"/>
          <w:color w:val="000000"/>
          <w:sz w:val="22"/>
          <w:szCs w:val="22"/>
          <w:lang w:val="bg-BG"/>
        </w:rPr>
        <w:t>В поречието на р. Марица от извора до Харманли е установена прогноза за слаба интензивност на климатичните промени. От Харманли до границата в главното поречие на р. Марица и някои от притоците й интензивността е средна, а в останалите притоци е висока.</w:t>
      </w:r>
    </w:p>
    <w:p w14:paraId="088F49CA"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В горното поречие на р. Тунджа е установена прогноза за слаба интензивност на климатичните промени, а в средното и долно течение – висока. </w:t>
      </w:r>
    </w:p>
    <w:p w14:paraId="7C0E8F3D"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За най-горното поречие на р. Арда и горните й притоци е установена прогноза за средна интензивност на климатичните промени, а в средното и долно течение, и средни и долни притоци – слаба.</w:t>
      </w:r>
    </w:p>
    <w:p w14:paraId="559A1497" w14:textId="77777777" w:rsidR="000532D9" w:rsidRPr="00456BFA" w:rsidRDefault="000532D9" w:rsidP="00456BFA">
      <w:pPr>
        <w:autoSpaceDE w:val="0"/>
        <w:autoSpaceDN w:val="0"/>
        <w:adjustRightInd w:val="0"/>
        <w:spacing w:before="120" w:after="120" w:line="264" w:lineRule="auto"/>
        <w:jc w:val="both"/>
        <w:rPr>
          <w:rFonts w:ascii="Times New Roman" w:hAnsi="Times New Roman" w:cs="Times New Roman"/>
          <w:color w:val="000000"/>
          <w:lang w:val="bg-BG"/>
        </w:rPr>
      </w:pPr>
      <w:r w:rsidRPr="00456BFA">
        <w:rPr>
          <w:rFonts w:ascii="Times New Roman" w:hAnsi="Times New Roman" w:cs="Times New Roman"/>
          <w:color w:val="000000"/>
          <w:lang w:val="bg-BG"/>
        </w:rPr>
        <w:t xml:space="preserve">В поречието на р. Бяла е установена прогноза за слаба интензивност на климатичните промени. </w:t>
      </w:r>
    </w:p>
    <w:p w14:paraId="1314C165"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rFonts w:eastAsiaTheme="minorHAnsi"/>
          <w:color w:val="000000"/>
          <w:sz w:val="22"/>
          <w:szCs w:val="22"/>
          <w:lang w:val="bg-BG"/>
        </w:rPr>
        <w:t>За 11 водни тела в басейна на р. Тунджа е прогнозирано изменение на средния годишен отток по-голямо от 20% за периода 2071 – 2100 г.</w:t>
      </w:r>
    </w:p>
    <w:p w14:paraId="1E4BFFAF"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За </w:t>
      </w:r>
      <w:r w:rsidRPr="00456BFA">
        <w:rPr>
          <w:b/>
          <w:bCs/>
          <w:sz w:val="22"/>
          <w:szCs w:val="22"/>
          <w:lang w:val="bg-BG"/>
        </w:rPr>
        <w:t>подземните водни тела</w:t>
      </w:r>
      <w:r w:rsidRPr="00456BFA">
        <w:rPr>
          <w:sz w:val="22"/>
          <w:szCs w:val="22"/>
          <w:lang w:val="bg-BG"/>
        </w:rPr>
        <w:t xml:space="preserve"> в обхвата на ИБР са идентифицирани:</w:t>
      </w:r>
    </w:p>
    <w:p w14:paraId="649C94B2"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Точкови източници на замърсяване: инсталации с комплексни разрешителни (КР по ЗООС); промишлени предприятия без издадени комплексни разрешителни (с разрешителни по реда на Закона за водите); ферми, складове, ББ-кубове и други селскостопански обекти; депа за битови, строителни и промишлени отпадъци; мини и хвостохранилища с площ до 0,25 км</w:t>
      </w:r>
      <w:r w:rsidRPr="00456BFA">
        <w:rPr>
          <w:sz w:val="22"/>
          <w:szCs w:val="22"/>
          <w:vertAlign w:val="superscript"/>
          <w:lang w:val="bg-BG"/>
        </w:rPr>
        <w:t>2</w:t>
      </w:r>
      <w:r w:rsidRPr="00456BFA">
        <w:rPr>
          <w:sz w:val="22"/>
          <w:szCs w:val="22"/>
          <w:lang w:val="bg-BG"/>
        </w:rPr>
        <w:t>; концесии на находища на индустриални минерали, скално-облицовъчни материали, строителни материали, твърди горива (въглища) с площ до 0,25 км</w:t>
      </w:r>
      <w:r w:rsidRPr="00456BFA">
        <w:rPr>
          <w:sz w:val="22"/>
          <w:szCs w:val="22"/>
          <w:vertAlign w:val="superscript"/>
          <w:lang w:val="bg-BG"/>
        </w:rPr>
        <w:t>2</w:t>
      </w:r>
      <w:r w:rsidRPr="00456BFA">
        <w:rPr>
          <w:sz w:val="22"/>
          <w:szCs w:val="22"/>
          <w:lang w:val="bg-BG"/>
        </w:rPr>
        <w:t xml:space="preserve">; градски пречиствателни станции за отпадъчни води (ГПСОВ); населените места с частично изградена канализация. Последните са най-голям дял от общия натиск върху водните тела (28%), следван от промишлените предприятия. </w:t>
      </w:r>
    </w:p>
    <w:p w14:paraId="66014C60"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Дифузни източници на замърсяване на подземните водни тела: селското стопанство с дял от 47% и населените места без изградена канализация – 45%. Други източници на дифузно замърсяване са: ГПСОВ, депата за отпадъци, мини/хвостохранилища, промишлеността, населените места с частично изградена канализация; концесии на находища на индустриални минерали, скално-облицовъчни материали, строителни материали, твърди горива с площ над 0,25 км</w:t>
      </w:r>
      <w:r w:rsidRPr="00456BFA">
        <w:rPr>
          <w:sz w:val="22"/>
          <w:szCs w:val="22"/>
          <w:vertAlign w:val="superscript"/>
          <w:lang w:val="bg-BG"/>
        </w:rPr>
        <w:t>2</w:t>
      </w:r>
      <w:r w:rsidRPr="00456BFA">
        <w:rPr>
          <w:sz w:val="22"/>
          <w:szCs w:val="22"/>
          <w:lang w:val="bg-BG"/>
        </w:rPr>
        <w:t xml:space="preserve">.  </w:t>
      </w:r>
    </w:p>
    <w:p w14:paraId="5ADBE54D"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12 от общо 41 подземни водни тела в териториалния обхват на ИБР са определени със значителен натиск от дифузни източници на замърсяване. За останалите подземни водни тела е оценено, че натискът от дифузни източници не е значителен и няма опасност от непостигане на целите от този вид антропогенно въздействие.</w:t>
      </w:r>
    </w:p>
    <w:p w14:paraId="40F8A06D"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bCs/>
          <w:sz w:val="22"/>
          <w:szCs w:val="22"/>
          <w:lang w:val="bg-BG"/>
        </w:rPr>
        <w:t>Водовземания от подземни води - Като значим натиск за подземните води е определено всяко черпене или група черпения</w:t>
      </w:r>
      <w:r w:rsidRPr="00456BFA">
        <w:rPr>
          <w:sz w:val="22"/>
          <w:szCs w:val="22"/>
          <w:lang w:val="bg-BG"/>
        </w:rPr>
        <w:t xml:space="preserve"> в определен район, при които експлоатационният индекс (съотношение между общото черпене от подземното водно тяло или част от подземното </w:t>
      </w:r>
      <w:r w:rsidRPr="00456BFA">
        <w:rPr>
          <w:sz w:val="22"/>
          <w:szCs w:val="22"/>
          <w:lang w:val="bg-BG"/>
        </w:rPr>
        <w:lastRenderedPageBreak/>
        <w:t>водно тяло и разполагаемите ресурси) е над 40 %. За 3 от общо 41-те подземни водни тела в ИБР екслплоатационният индекс надвишава 40 %, т.е те са подложени на значим натиск. За 4 броя ПВТ е определен експлоатационен индекс от 20% до 40% (т.е. тела във воден стрес), на територията на които има райони със значим натиск.</w:t>
      </w:r>
    </w:p>
    <w:p w14:paraId="1D2F4D31"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Натиск</w:t>
      </w:r>
      <w:r w:rsidRPr="00456BFA">
        <w:rPr>
          <w:b/>
          <w:sz w:val="22"/>
          <w:szCs w:val="22"/>
          <w:lang w:val="bg-BG"/>
        </w:rPr>
        <w:t xml:space="preserve"> </w:t>
      </w:r>
      <w:r w:rsidRPr="00456BFA">
        <w:rPr>
          <w:bCs/>
          <w:sz w:val="22"/>
          <w:szCs w:val="22"/>
          <w:lang w:val="bg-BG"/>
        </w:rPr>
        <w:t>от климатични изменения – Въздействието от климатичните промени върху</w:t>
      </w:r>
      <w:r w:rsidRPr="00456BFA">
        <w:rPr>
          <w:sz w:val="22"/>
          <w:szCs w:val="22"/>
          <w:lang w:val="bg-BG"/>
        </w:rPr>
        <w:t xml:space="preserve"> количественото и качественото състояние на подземните води в района е оценено като умерено. Пргнозите определят увеличаване на ресурсите на подземните водни тела до 2050 година и намаляване до 2100 година. И в двете посоки измененията са в интервал на не повече от 10–15 % спрямо актуалните (настоящи) ресурси. Не се очакват критични нива и изменения на качеството (състава) на подземните водни тела.</w:t>
      </w:r>
    </w:p>
    <w:p w14:paraId="3AB1113D" w14:textId="77777777" w:rsidR="000532D9" w:rsidRPr="00456BFA" w:rsidRDefault="000532D9" w:rsidP="00456BFA">
      <w:pPr>
        <w:pStyle w:val="3vff3xh4yd"/>
        <w:spacing w:before="120" w:beforeAutospacing="0" w:after="120" w:afterAutospacing="0" w:line="264" w:lineRule="auto"/>
        <w:rPr>
          <w:b/>
          <w:bCs/>
          <w:sz w:val="22"/>
          <w:szCs w:val="22"/>
          <w:lang w:val="bg-BG"/>
        </w:rPr>
      </w:pPr>
      <w:r w:rsidRPr="00456BFA">
        <w:rPr>
          <w:b/>
          <w:bCs/>
          <w:sz w:val="22"/>
          <w:szCs w:val="22"/>
          <w:lang w:val="bg-BG"/>
        </w:rPr>
        <w:t>Западнобеломорски район за басейново управление (ЗБР)</w:t>
      </w:r>
    </w:p>
    <w:p w14:paraId="35EF3318"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По отношение на натиска върху </w:t>
      </w:r>
      <w:r w:rsidRPr="00456BFA">
        <w:rPr>
          <w:b/>
          <w:bCs/>
          <w:sz w:val="22"/>
          <w:szCs w:val="22"/>
          <w:lang w:val="bg-BG"/>
        </w:rPr>
        <w:t>повърхностните водни тела</w:t>
      </w:r>
      <w:r w:rsidRPr="00456BFA">
        <w:rPr>
          <w:sz w:val="22"/>
          <w:szCs w:val="22"/>
          <w:lang w:val="bg-BG"/>
        </w:rPr>
        <w:t xml:space="preserve"> от значение за района са следните източници на замърсяване</w:t>
      </w:r>
      <w:r w:rsidRPr="00456BFA">
        <w:rPr>
          <w:rStyle w:val="FootnoteReference"/>
          <w:sz w:val="22"/>
          <w:szCs w:val="22"/>
          <w:lang w:val="bg-BG"/>
        </w:rPr>
        <w:footnoteReference w:id="40"/>
      </w:r>
      <w:r w:rsidRPr="00456BFA">
        <w:rPr>
          <w:sz w:val="22"/>
          <w:szCs w:val="22"/>
          <w:lang w:val="bg-BG"/>
        </w:rPr>
        <w:t>:</w:t>
      </w:r>
    </w:p>
    <w:p w14:paraId="3487E2B5" w14:textId="77777777" w:rsidR="000532D9" w:rsidRPr="00456BFA" w:rsidRDefault="000532D9" w:rsidP="00456BFA">
      <w:pPr>
        <w:pStyle w:val="3vff3xh4yd"/>
        <w:spacing w:before="120" w:beforeAutospacing="0" w:after="120" w:afterAutospacing="0" w:line="264" w:lineRule="auto"/>
        <w:jc w:val="both"/>
        <w:rPr>
          <w:i/>
          <w:iCs/>
          <w:sz w:val="22"/>
          <w:szCs w:val="22"/>
          <w:u w:val="single"/>
          <w:lang w:val="bg-BG"/>
        </w:rPr>
      </w:pPr>
      <w:r w:rsidRPr="00456BFA">
        <w:rPr>
          <w:i/>
          <w:iCs/>
          <w:sz w:val="22"/>
          <w:szCs w:val="22"/>
          <w:u w:val="single"/>
          <w:lang w:val="bg-BG"/>
        </w:rPr>
        <w:t>Точкови източници на натиск:</w:t>
      </w:r>
    </w:p>
    <w:p w14:paraId="5C10FC10" w14:textId="77777777" w:rsidR="000532D9" w:rsidRPr="00456BFA" w:rsidRDefault="000532D9" w:rsidP="00456BFA">
      <w:pPr>
        <w:pStyle w:val="3vff3xh4yd"/>
        <w:spacing w:before="120" w:beforeAutospacing="0" w:after="120" w:afterAutospacing="0" w:line="264" w:lineRule="auto"/>
        <w:rPr>
          <w:sz w:val="22"/>
          <w:szCs w:val="22"/>
          <w:lang w:val="bg-BG"/>
        </w:rPr>
      </w:pPr>
      <w:r w:rsidRPr="00456BFA">
        <w:rPr>
          <w:sz w:val="22"/>
          <w:szCs w:val="22"/>
          <w:lang w:val="bg-BG"/>
        </w:rPr>
        <w:t>- заустванията на битови отпадъчни води - за 64 бр. водни тела</w:t>
      </w:r>
    </w:p>
    <w:p w14:paraId="12A2E881"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В териториалния обхват на ЗБР попадат 38 бр. агломерации с над 2000 е.ж. За 31 от тях не е осигурено пречистване, а при 5 пречистването не е в съответствие с изискванията на Наредба № 6 от 9 ноември 2000 г.. Заустванията на ГПСОВ над 10000 е.ж. са едни от най-значителните точкови източници на замърсяване. При 5 повърхностни водни тела са констатирани превишения на праговите стойности за този вид натиск по някои или всички показатели разтворен О2, общ азот, общ фосфор.</w:t>
      </w:r>
    </w:p>
    <w:p w14:paraId="0EBE458D"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Заустванията от непречистени градски отпадъчни води на населени места над 2000 е.ж. са източник, оказващ значим натиск за 32 бр. повърхностни водни тела. За тези тела е установено „влошено състояние”. Като резултат от този натиск се наблюдава повишаване на концентрацията на биогенните вещества в повърхностните води - общ азот, амоняк, нитрати, нитрити, общ фосфор, фосфати и влошаване на биологичните елементи за качество. </w:t>
      </w:r>
    </w:p>
    <w:p w14:paraId="347EFDE7"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Заустванията от непречистени градски отпадъчни води на населени места под 2000 е.ж. за ЗБР също са идентифицирани като водещи. Причина за това е големият брой слабо населени места под 2000 е.ж., които са с частично изградена или с неизградена канализационна мрежа. Общото им натрупване, като няколко на брой зауствания в съответното водно тяло, оказва кумулативен ефект. Идентифицирани като подложени на значим натиск са 22 броя водни тела, по критерия „влошено състояние”.</w:t>
      </w:r>
    </w:p>
    <w:p w14:paraId="06DF4BEE" w14:textId="77777777" w:rsidR="000532D9" w:rsidRPr="00456BFA" w:rsidRDefault="000532D9" w:rsidP="00456BFA">
      <w:pPr>
        <w:pStyle w:val="3vff3xh4yd"/>
        <w:spacing w:before="120" w:beforeAutospacing="0" w:after="120" w:afterAutospacing="0" w:line="264" w:lineRule="auto"/>
        <w:rPr>
          <w:sz w:val="22"/>
          <w:szCs w:val="22"/>
          <w:lang w:val="bg-BG"/>
        </w:rPr>
      </w:pPr>
      <w:r w:rsidRPr="00456BFA">
        <w:rPr>
          <w:sz w:val="22"/>
          <w:szCs w:val="22"/>
          <w:lang w:val="bg-BG"/>
        </w:rPr>
        <w:t>- зауствания на промишлени отпадъчни води за 9 бр. водни тела.</w:t>
      </w:r>
    </w:p>
    <w:p w14:paraId="3F70A81A"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Разпределението на емитерите на промишлени отпадъчни води в Западнобеломорски район показва висок дял от 30% на сектор Добив и преработка на нерудни минерални суровини, следван от депата за неопасни отпадъци (12%). Като значими индустриални източници са идентифицирани и отраслите: производство на строителни материали, хранително-вкусова промишленост и текстилна </w:t>
      </w:r>
      <w:r w:rsidRPr="00456BFA">
        <w:rPr>
          <w:sz w:val="22"/>
          <w:szCs w:val="22"/>
          <w:lang w:val="bg-BG"/>
        </w:rPr>
        <w:lastRenderedPageBreak/>
        <w:t>промишленост. Заустванията от животновъдство и риборазвъждане не се явяват значими точкови източници на замърсяване в териториалния обхват на ЗБР.</w:t>
      </w:r>
    </w:p>
    <w:p w14:paraId="5FEDC197" w14:textId="77777777" w:rsidR="000532D9" w:rsidRPr="00456BFA" w:rsidRDefault="000532D9" w:rsidP="00456BFA">
      <w:pPr>
        <w:pStyle w:val="3vff3xh4yd"/>
        <w:spacing w:before="120" w:beforeAutospacing="0" w:after="120" w:afterAutospacing="0" w:line="264" w:lineRule="auto"/>
        <w:jc w:val="both"/>
        <w:rPr>
          <w:i/>
          <w:iCs/>
          <w:sz w:val="22"/>
          <w:szCs w:val="22"/>
          <w:u w:val="single"/>
          <w:lang w:val="bg-BG"/>
        </w:rPr>
      </w:pPr>
      <w:r w:rsidRPr="00456BFA">
        <w:rPr>
          <w:i/>
          <w:iCs/>
          <w:sz w:val="22"/>
          <w:szCs w:val="22"/>
          <w:u w:val="single"/>
          <w:lang w:val="bg-BG"/>
        </w:rPr>
        <w:t>Дифузни източници на натиск</w:t>
      </w:r>
    </w:p>
    <w:p w14:paraId="3F289705"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Със значим натиск от дифузни източници на замърсяване в ЗБР са оценени общо 23 водни тела. Основни източни на натиск от дифузно замърсяване са: депа за отпадъци; земеделие и животновъдство; добив на подземни богатства във водосборната площ на повърхностното водно тяло/поречие; ерозия и типове почва, риборазвъждане – зарибяване на язовири, отглеждане на сквакултури; туризъм и рекреация; замърсявания от минали дейности; атмосферни отлагания; транспорт.</w:t>
      </w:r>
    </w:p>
    <w:p w14:paraId="13367A81"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За 11 броя повърхностни водни тела е установено  натоварване с азот от земеделие, за 6 броя повърхностни тела се наблюдава едновременно натоварване и по азот и по фосфор.  от животновъдство, 3 са с влошено състояние в резултат от натиск на депа за отпадъци, 2 броя повърхностни водни тела са засегнатиот ерозия и 1 повърхностно водно тяло е с установен натиск в резултат дейности по аквакултури. Телата със значим натиск от дифузно замърсяване представляват 13% от общия брой повърхностни водни тела на територията на района.</w:t>
      </w:r>
    </w:p>
    <w:p w14:paraId="2C06589E" w14:textId="56CA1B75" w:rsidR="000532D9" w:rsidRPr="00456BFA" w:rsidRDefault="000532D9" w:rsidP="00456BFA">
      <w:pPr>
        <w:pStyle w:val="3vff3xh4yd"/>
        <w:spacing w:before="120" w:beforeAutospacing="0" w:after="120" w:afterAutospacing="0" w:line="264" w:lineRule="auto"/>
        <w:jc w:val="both"/>
        <w:rPr>
          <w:i/>
          <w:iCs/>
          <w:sz w:val="22"/>
          <w:szCs w:val="22"/>
          <w:u w:val="single"/>
          <w:lang w:val="bg-BG"/>
        </w:rPr>
      </w:pPr>
      <w:r w:rsidRPr="00456BFA">
        <w:rPr>
          <w:i/>
          <w:iCs/>
          <w:sz w:val="22"/>
          <w:szCs w:val="22"/>
          <w:u w:val="single"/>
          <w:lang w:val="bg-BG"/>
        </w:rPr>
        <w:t>Хидроморфологичен натиск</w:t>
      </w:r>
    </w:p>
    <w:p w14:paraId="0A827041"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Хидроморфологичен натиск е отчетен върху 47 повърхностни водни тела. Източници на натиск са: деривационни МВЕЦ, миграционни бариери, корекции и диги. </w:t>
      </w:r>
    </w:p>
    <w:p w14:paraId="491932B2"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Общо 37 броя повърхностни водни тела или 20 % от всички повърхностни водни тела в Западнобеломорски район са засегнати от дейности, свързани с изграждане на корекции на реки. Общата дължина на изградените корекции е приблизително 46 км, представляваща 1,8 % от общата дължина на главните реки на ЗБР, която е 2425 км. Дължината на участъците с изградени корекции, отнесена към дължината на водните тела, засегнати от този вид натиск е 5.7 % . Най –засегнат от дейностите по изграждане на корекции е басейна на р. Струма, в който са реализирани около 63 % от дейностите по извършване на корекции в ЗБР, следван от басейна на р. Места – 31 %. Най-малко засегнат е басейна на р. Доспат, в който корекционните дейности представляват едва 6 %. За 35 броя повърхностни водни тела натискът по този показател е оценен като „слаб натиск“ и „умерен натиск“ само за 2 броя водни тела. </w:t>
      </w:r>
    </w:p>
    <w:p w14:paraId="66BAC2A2"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За 25 повърхностни водни тела е определен натиск от дейности по изграждане на диги в ЗБР. За 17 броя от тях, след прилагане на критерия за значимост, стойностите са в диапазона до 70 %, обозначен като „слаб до умерен натиск”. За 8 броя водни тела натискът е в порядъка над 70 %, което ги идентифицира като подложени на значим натиск с източник дейности по укрепване на речните брегове.</w:t>
      </w:r>
    </w:p>
    <w:p w14:paraId="25C9B73D"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За 33 броя повърхностни водни тела в ЗБР е идентифициран натиск от изграждане на миграционни бариери. За 11 броя повърхностни водни тела, натискът от миграционни бариери е значим, като 2 броя ВТ са в басейна на р. Места и 9 броя са в басейна на р. Струма. </w:t>
      </w:r>
    </w:p>
    <w:p w14:paraId="468778B3"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Натискът от дейности, свързани с изземване на наносни отложения и от дейности, свързани с водочерпене от повърхностни води не се явява значим за повърхностните водни тела в ЗБР. </w:t>
      </w:r>
    </w:p>
    <w:p w14:paraId="562E4730"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В териториалния обхват на Западнобеломорски район са изградени и функционират 82 деривационни МВЕЦ. Общият брой на засегнатите от тях водни тела е 44, което представлява 24 % </w:t>
      </w:r>
      <w:r w:rsidRPr="00456BFA">
        <w:rPr>
          <w:sz w:val="22"/>
          <w:szCs w:val="22"/>
          <w:lang w:val="bg-BG"/>
        </w:rPr>
        <w:lastRenderedPageBreak/>
        <w:t>от общия брой повърхностни ВТ. От общо 93 броя повърхностни водни тела, при които е идентифициран натиск от деривационни МВЕЦ, за 28 броя този натиск се явява значим. От тях 17 броя са повлияните от значим натиск, вследствие на изградени и функциониращи МВЕЦ, а останалите 11 броя тела са потенциално засегнатите от осушени участъци, където предстои израждането им, но влиянието по този критерий следва да бъде отчетено. 248 km е дължината на осушените участъци, оказващи значим натиск, което представлява 10 % от общата дължина на реките в ЗБР.</w:t>
      </w:r>
    </w:p>
    <w:p w14:paraId="486DE650" w14:textId="6DCA92DF" w:rsidR="000532D9" w:rsidRPr="00456BFA" w:rsidRDefault="000532D9" w:rsidP="00456BFA">
      <w:pPr>
        <w:pStyle w:val="3vff3xh4yd"/>
        <w:spacing w:before="120" w:beforeAutospacing="0" w:after="120" w:afterAutospacing="0" w:line="264" w:lineRule="auto"/>
        <w:jc w:val="both"/>
        <w:rPr>
          <w:i/>
          <w:iCs/>
          <w:sz w:val="22"/>
          <w:szCs w:val="22"/>
          <w:u w:val="single"/>
          <w:lang w:val="bg-BG"/>
        </w:rPr>
      </w:pPr>
      <w:r w:rsidRPr="00456BFA">
        <w:rPr>
          <w:i/>
          <w:iCs/>
          <w:sz w:val="22"/>
          <w:szCs w:val="22"/>
          <w:u w:val="single"/>
          <w:lang w:val="bg-BG"/>
        </w:rPr>
        <w:t>Натиск от инвазивни видове</w:t>
      </w:r>
    </w:p>
    <w:p w14:paraId="3B2957CA"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Повърхностните водни тела категория „река” в териториалния обхват на Западнобеломорския район са с нисък риск от навлизане на опасни инвазивни видове. Отделни инвазивни видове са установени при пробонабирания на мониторингови пунктове: Lepomis gibbosus (слънчева рибка), Salvelinus fontinalis (сивен), Oncorhynchus mykiss (дъгова пъстърва), Dreissena polymorpha (мида зебра). От инвазивните растителни видове е установен вида Elodea canadensis и Elodea nuttallii (водна чума) в яз. Доспат.</w:t>
      </w:r>
    </w:p>
    <w:p w14:paraId="3C19BA39" w14:textId="77777777" w:rsidR="000532D9" w:rsidRPr="001B1B03" w:rsidRDefault="000532D9" w:rsidP="00456BFA">
      <w:pPr>
        <w:pStyle w:val="3vff3xh4yd"/>
        <w:spacing w:before="120" w:beforeAutospacing="0" w:after="120" w:afterAutospacing="0" w:line="264" w:lineRule="auto"/>
        <w:jc w:val="both"/>
        <w:rPr>
          <w:i/>
          <w:iCs/>
          <w:sz w:val="22"/>
          <w:szCs w:val="22"/>
          <w:u w:val="single"/>
          <w:lang w:val="bg-BG"/>
        </w:rPr>
      </w:pPr>
      <w:r w:rsidRPr="001B1B03">
        <w:rPr>
          <w:i/>
          <w:iCs/>
          <w:sz w:val="22"/>
          <w:szCs w:val="22"/>
          <w:u w:val="single"/>
          <w:lang w:val="bg-BG"/>
        </w:rPr>
        <w:t>Натиск от климатични промени</w:t>
      </w:r>
    </w:p>
    <w:p w14:paraId="4209EE61"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При негативен сценарий на климатични промени с плавно нарастващи емисии на парникови газове във времето (най-песимистичен сценарий) „прогнозираните тенденции за изменението за оттока по сезони” са най-силно проявени в дългосрочен план за периода 2071-2100 г. Потенциалното въздействие на климатичните промени върху състоянието на качеството на водните ресурси се прогнозира да бъде най-силно в басейна на река Струма.</w:t>
      </w:r>
    </w:p>
    <w:p w14:paraId="120AD8A2"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Оценката на натиска в резултат на човешка дейност върху </w:t>
      </w:r>
      <w:r w:rsidRPr="00456BFA">
        <w:rPr>
          <w:b/>
          <w:bCs/>
          <w:sz w:val="22"/>
          <w:szCs w:val="22"/>
          <w:lang w:val="bg-BG"/>
        </w:rPr>
        <w:t>подземните води</w:t>
      </w:r>
      <w:r w:rsidRPr="00456BFA">
        <w:rPr>
          <w:sz w:val="22"/>
          <w:szCs w:val="22"/>
          <w:lang w:val="bg-BG"/>
        </w:rPr>
        <w:t xml:space="preserve"> на територията на ЗБР показва следните резултати по категории натиск:</w:t>
      </w:r>
    </w:p>
    <w:p w14:paraId="452566B7"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 xml:space="preserve">Натиск от точкови източници: </w:t>
      </w:r>
    </w:p>
    <w:p w14:paraId="46E2463C"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Като значими точкови източници на замърсяване на подземните водни тела са определени: градски пречиствателни станции за отпадъчни води (ГПСОВ); инсталации с комплексни разрешителни (КР по ЗООС); промишлени предприятия без издадени КР (Разрешителни по ЗВ); ферми, складове, ББ-кубове и други селскостопански обекти; депа за битови, строителни и промишлени отпадъци (с площ до 0,25 km2 ); мини, кариери и хвостохранилища (с площ до 0,25 km2) и замърсявания от минали дейности (с площ до 0,25 km</w:t>
      </w:r>
      <w:r w:rsidRPr="00456BFA">
        <w:rPr>
          <w:sz w:val="22"/>
          <w:szCs w:val="22"/>
          <w:vertAlign w:val="superscript"/>
          <w:lang w:val="bg-BG"/>
        </w:rPr>
        <w:t>2</w:t>
      </w:r>
      <w:r w:rsidRPr="00456BFA">
        <w:rPr>
          <w:sz w:val="22"/>
          <w:szCs w:val="22"/>
          <w:lang w:val="bg-BG"/>
        </w:rPr>
        <w:t xml:space="preserve">). В басейновия район не са идентифицирани подземни води със значим натиск от точкови източници на замърсяване. </w:t>
      </w:r>
    </w:p>
    <w:p w14:paraId="71AD37C5"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 xml:space="preserve">Натиск от дифузни източници: </w:t>
      </w:r>
    </w:p>
    <w:p w14:paraId="1D4187D0"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t xml:space="preserve">Идентифицираните значими източници на дифузен натиск включват селското стопанство (обработваема земя, трайни насаждения, пасища, хетерогенни селскостопански площи), депа за отпадъци/сметища (с площ над 0,25 km2 ), мини, хвостохранилища (с площ над 0,25 km2 ), замърсявания от минали дейности (с площ над 0,25 km2 ), населени места без или частично изградена канализация. Най-висок процент от видовете дифузни източници на замърсяване на ПВТ в териториалния обхват на ЗБР е зает от селското стопанство. За 9 от общо 38 подземни водни тела, натискът от дифузни източници на замърсяване е определен като значим. </w:t>
      </w:r>
    </w:p>
    <w:p w14:paraId="76040B27"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 xml:space="preserve">Водовземания от подземни води: </w:t>
      </w:r>
    </w:p>
    <w:p w14:paraId="142CDA25" w14:textId="77777777" w:rsidR="000532D9" w:rsidRPr="00456BFA" w:rsidRDefault="000532D9" w:rsidP="00456BFA">
      <w:pPr>
        <w:pStyle w:val="3vff3xh4yd"/>
        <w:spacing w:before="120" w:beforeAutospacing="0" w:after="120" w:afterAutospacing="0" w:line="264" w:lineRule="auto"/>
        <w:jc w:val="both"/>
        <w:rPr>
          <w:sz w:val="22"/>
          <w:szCs w:val="22"/>
          <w:lang w:val="bg-BG"/>
        </w:rPr>
      </w:pPr>
      <w:r w:rsidRPr="00456BFA">
        <w:rPr>
          <w:sz w:val="22"/>
          <w:szCs w:val="22"/>
          <w:lang w:val="bg-BG"/>
        </w:rPr>
        <w:lastRenderedPageBreak/>
        <w:t>Най-висок процент от черпенията на подземни води заема водовземането за питейно-битовото водоснабдяване на населените места. За нито едно ПВТ експлоатационния индекс не надвишава 100 % (не са превишени разполагаемите ресурси), но за 8 бр. ПВТ експлоатационния индекс превишава 40 %. В 5 от тези 8 бр. ПВТ, експлоатационния индекс за определена цел (движеща сила) е над 40 %, респективно натискът от съответна цел се определя като значителен за ПВТ.</w:t>
      </w:r>
    </w:p>
    <w:p w14:paraId="17B98467" w14:textId="77777777" w:rsidR="000532D9" w:rsidRPr="00456BFA" w:rsidRDefault="000532D9" w:rsidP="00456BFA">
      <w:pPr>
        <w:pStyle w:val="3vff3xh4yd"/>
        <w:numPr>
          <w:ilvl w:val="0"/>
          <w:numId w:val="3"/>
        </w:numPr>
        <w:spacing w:before="120" w:beforeAutospacing="0" w:after="120" w:afterAutospacing="0" w:line="264" w:lineRule="auto"/>
        <w:jc w:val="both"/>
        <w:rPr>
          <w:sz w:val="22"/>
          <w:szCs w:val="22"/>
          <w:lang w:val="bg-BG"/>
        </w:rPr>
      </w:pPr>
      <w:r w:rsidRPr="00456BFA">
        <w:rPr>
          <w:sz w:val="22"/>
          <w:szCs w:val="22"/>
          <w:lang w:val="bg-BG"/>
        </w:rPr>
        <w:t xml:space="preserve">Натиск от климатични изменения: </w:t>
      </w:r>
    </w:p>
    <w:p w14:paraId="4319176B" w14:textId="77777777" w:rsidR="000532D9" w:rsidRPr="00456BFA" w:rsidRDefault="000532D9" w:rsidP="00456BFA">
      <w:pPr>
        <w:pStyle w:val="3vff3xh4yd"/>
        <w:spacing w:before="120" w:beforeAutospacing="0" w:after="120" w:afterAutospacing="0" w:line="264" w:lineRule="auto"/>
        <w:jc w:val="both"/>
        <w:rPr>
          <w:b/>
          <w:bCs/>
          <w:sz w:val="22"/>
          <w:szCs w:val="22"/>
          <w:lang w:val="bg-BG"/>
        </w:rPr>
      </w:pPr>
      <w:r w:rsidRPr="00456BFA">
        <w:rPr>
          <w:sz w:val="22"/>
          <w:szCs w:val="22"/>
          <w:lang w:val="bg-BG"/>
        </w:rPr>
        <w:t xml:space="preserve">Прогнозите за периода 2021 – 2050 г. са свързани с известно увеличение на естествените ресурси на подземните води в резултат от нарастване на валежите. За преобладаващата част от подземните водни тела нарастването на ресурсите е най-често между 2 и 8 % спрямо „настоящите”. През периода 2071-2100 г. се очертава намаление на ресурсите, свързано не толкова с намаляване на валежите, колкото с нарастване на евапотранспирацията (поради по-високите температури). </w:t>
      </w:r>
      <w:r w:rsidRPr="00456BFA">
        <w:rPr>
          <w:b/>
          <w:bCs/>
          <w:sz w:val="22"/>
          <w:szCs w:val="22"/>
          <w:lang w:val="bg-BG"/>
        </w:rPr>
        <w:t xml:space="preserve"> </w:t>
      </w:r>
    </w:p>
    <w:p w14:paraId="6161F031" w14:textId="77777777" w:rsidR="001B1B03" w:rsidRDefault="001B1B03" w:rsidP="00456BFA">
      <w:pPr>
        <w:spacing w:before="120" w:after="120" w:line="264" w:lineRule="auto"/>
        <w:jc w:val="both"/>
        <w:rPr>
          <w:rFonts w:ascii="Times New Roman" w:hAnsi="Times New Roman" w:cs="Times New Roman"/>
          <w:b/>
          <w:bCs/>
          <w:lang w:val="bg-BG"/>
        </w:rPr>
      </w:pPr>
    </w:p>
    <w:p w14:paraId="38E44425" w14:textId="3F3B4F67" w:rsidR="0047737A" w:rsidRPr="00456BFA" w:rsidRDefault="0047737A" w:rsidP="00456BFA">
      <w:pPr>
        <w:spacing w:before="120" w:after="120" w:line="264" w:lineRule="auto"/>
        <w:jc w:val="both"/>
        <w:rPr>
          <w:rFonts w:ascii="Times New Roman" w:hAnsi="Times New Roman" w:cs="Times New Roman"/>
          <w:b/>
          <w:bCs/>
          <w:lang w:val="bg-BG"/>
        </w:rPr>
      </w:pPr>
      <w:r w:rsidRPr="00456BFA">
        <w:rPr>
          <w:rFonts w:ascii="Times New Roman" w:hAnsi="Times New Roman" w:cs="Times New Roman"/>
          <w:b/>
          <w:bCs/>
          <w:lang w:val="bg-BG"/>
        </w:rPr>
        <w:t>Оценка на въздействието на източниците на натиск</w:t>
      </w:r>
    </w:p>
    <w:p w14:paraId="281723EC" w14:textId="77777777" w:rsidR="0047737A" w:rsidRPr="00456BFA" w:rsidRDefault="0047737A"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За оценка на въздействието на различните видове натиск върху водните тела на територията на страната е използвана информация от Националния доклад за състоянието и опазването на околната среда на ИАОС</w:t>
      </w:r>
      <w:r w:rsidRPr="00456BFA">
        <w:rPr>
          <w:rStyle w:val="FootnoteReference"/>
          <w:rFonts w:ascii="Times New Roman" w:hAnsi="Times New Roman" w:cs="Times New Roman"/>
          <w:lang w:val="bg-BG"/>
        </w:rPr>
        <w:footnoteReference w:id="41"/>
      </w:r>
      <w:r w:rsidRPr="00456BFA">
        <w:rPr>
          <w:rFonts w:ascii="Times New Roman" w:hAnsi="Times New Roman" w:cs="Times New Roman"/>
          <w:lang w:val="bg-BG"/>
        </w:rPr>
        <w:t xml:space="preserve"> и от Доклада на ЕК за България: Преглед на изпълнението на политиките на ЕС в областта на околната среда от 2019 г.</w:t>
      </w:r>
      <w:r w:rsidRPr="00456BFA">
        <w:rPr>
          <w:rStyle w:val="FootnoteReference"/>
          <w:rFonts w:ascii="Times New Roman" w:hAnsi="Times New Roman" w:cs="Times New Roman"/>
          <w:lang w:val="bg-BG"/>
        </w:rPr>
        <w:footnoteReference w:id="42"/>
      </w:r>
    </w:p>
    <w:p w14:paraId="1AC9DE77" w14:textId="5822EA90" w:rsidR="0047737A" w:rsidRPr="00456BFA" w:rsidRDefault="0047737A" w:rsidP="00456BFA">
      <w:pPr>
        <w:spacing w:before="120" w:after="120" w:line="264" w:lineRule="auto"/>
        <w:jc w:val="both"/>
        <w:rPr>
          <w:rFonts w:ascii="Times New Roman" w:hAnsi="Times New Roman" w:cs="Times New Roman"/>
          <w:b/>
          <w:bCs/>
          <w:lang w:val="bg-BG"/>
        </w:rPr>
      </w:pPr>
      <w:r w:rsidRPr="00456BFA">
        <w:rPr>
          <w:rFonts w:ascii="Times New Roman" w:hAnsi="Times New Roman" w:cs="Times New Roman"/>
          <w:b/>
          <w:bCs/>
          <w:lang w:val="bg-BG"/>
        </w:rPr>
        <w:t>Качество на повърхностните води</w:t>
      </w:r>
    </w:p>
    <w:p w14:paraId="4D684AE1" w14:textId="77777777" w:rsidR="0047737A" w:rsidRPr="00456BFA" w:rsidRDefault="0047737A" w:rsidP="00456BFA">
      <w:pPr>
        <w:autoSpaceDE w:val="0"/>
        <w:autoSpaceDN w:val="0"/>
        <w:adjustRightInd w:val="0"/>
        <w:spacing w:before="120" w:after="120" w:line="264" w:lineRule="auto"/>
        <w:jc w:val="both"/>
        <w:rPr>
          <w:rFonts w:ascii="Times New Roman" w:eastAsia="Times New Roman,Bold" w:hAnsi="Times New Roman" w:cs="Times New Roman"/>
          <w:lang w:val="bg-BG"/>
        </w:rPr>
      </w:pPr>
      <w:r w:rsidRPr="00456BFA">
        <w:rPr>
          <w:rFonts w:ascii="Times New Roman" w:eastAsia="Times New Roman,Bold" w:hAnsi="Times New Roman" w:cs="Times New Roman"/>
          <w:lang w:val="bg-BG"/>
        </w:rPr>
        <w:t xml:space="preserve">През последния двадесетгодишен период се запазва тенденцията на подобряване на основните физико – химични показатели на повърхностните водни тела. Концентрациите на O2 (разтворен кислород), NH4-N (Амониев азот), N-NO3 (Нитратен азот), БПК5 (Биохимична потребност от кислород) и PO4-P (Ортофосфати) отчитат тенденция на намаляване на нивата с изключение на 2017 г. Повишаване се наблюдава единствено по показателя ХПК (химична потребност от кислород) през периода 2011 - 2013г. </w:t>
      </w:r>
      <w:r w:rsidRPr="00456BFA">
        <w:rPr>
          <w:rStyle w:val="FootnoteReference"/>
          <w:rFonts w:ascii="Times New Roman" w:eastAsia="Times New Roman,Bold" w:hAnsi="Times New Roman" w:cs="Times New Roman"/>
          <w:lang w:val="bg-BG"/>
        </w:rPr>
        <w:footnoteReference w:id="43"/>
      </w:r>
    </w:p>
    <w:p w14:paraId="350D76CD" w14:textId="77777777" w:rsidR="0047737A" w:rsidRPr="00456BFA" w:rsidRDefault="0047737A" w:rsidP="00456BFA">
      <w:pPr>
        <w:autoSpaceDE w:val="0"/>
        <w:autoSpaceDN w:val="0"/>
        <w:adjustRightInd w:val="0"/>
        <w:spacing w:before="120" w:after="120" w:line="264" w:lineRule="auto"/>
        <w:jc w:val="both"/>
        <w:rPr>
          <w:rFonts w:ascii="Times New Roman" w:eastAsia="Times New Roman,Bold" w:hAnsi="Times New Roman" w:cs="Times New Roman"/>
          <w:lang w:val="bg-BG"/>
        </w:rPr>
      </w:pPr>
      <w:r w:rsidRPr="00456BFA">
        <w:rPr>
          <w:rFonts w:ascii="Times New Roman" w:hAnsi="Times New Roman" w:cs="Times New Roman"/>
          <w:color w:val="000000"/>
          <w:lang w:val="bg-BG"/>
        </w:rPr>
        <w:t>По отношение на концентрацията на нитрати в повърхностните води ситуацията е сравнително стабилна, като се отчита известно подобрение при намаляването на еутрофикацията на повърхностните води.</w:t>
      </w:r>
    </w:p>
    <w:p w14:paraId="609360E0" w14:textId="77777777" w:rsidR="0047737A" w:rsidRPr="00456BFA" w:rsidRDefault="0047737A" w:rsidP="00456BFA">
      <w:pPr>
        <w:autoSpaceDE w:val="0"/>
        <w:autoSpaceDN w:val="0"/>
        <w:adjustRightInd w:val="0"/>
        <w:spacing w:before="120" w:after="120" w:line="264" w:lineRule="auto"/>
        <w:jc w:val="both"/>
        <w:rPr>
          <w:rFonts w:ascii="Times New Roman" w:eastAsia="Times New Roman,Bold" w:hAnsi="Times New Roman" w:cs="Times New Roman"/>
          <w:lang w:val="bg-BG"/>
        </w:rPr>
      </w:pPr>
      <w:r w:rsidRPr="00456BFA">
        <w:rPr>
          <w:rFonts w:ascii="Times New Roman" w:eastAsia="Times New Roman,Bold" w:hAnsi="Times New Roman" w:cs="Times New Roman"/>
          <w:lang w:val="bg-BG"/>
        </w:rPr>
        <w:t xml:space="preserve">По отношение на биологичните индикатори за повърхностни води, не се постигат целите за добро състояние при 51% от наблюдаваните пунктове от категория „реки” и 53% за категория „езеро“. </w:t>
      </w:r>
    </w:p>
    <w:p w14:paraId="10F85961"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Екологичното състояние (екологичният потенциал) е добър или много добър в 46 % от всички класифицирани речни водни тела. Това означава, че постигането на целите за добро състояние (добър потенциал), определени в Рамковата директива за водите, за по-голямата част от водните тела е перспектива в дългосрочен план, която изисква целенасочени усилия.</w:t>
      </w:r>
    </w:p>
    <w:p w14:paraId="22899636"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highlight w:val="yellow"/>
          <w:lang w:val="bg-BG"/>
        </w:rPr>
      </w:pPr>
      <w:r w:rsidRPr="00456BFA">
        <w:rPr>
          <w:rFonts w:ascii="Times New Roman" w:hAnsi="Times New Roman" w:cs="Times New Roman"/>
          <w:lang w:val="bg-BG"/>
        </w:rPr>
        <w:t>В доклада на ЕК се отбелязва, че основното въздействие върху повърхностните водни обекти е свързано със замърсяване с хранителни вещества (40 %) и органично замърсяване (25 %).</w:t>
      </w:r>
      <w:r w:rsidRPr="00456BFA">
        <w:rPr>
          <w:rStyle w:val="FootnoteReference"/>
          <w:rFonts w:ascii="Times New Roman" w:hAnsi="Times New Roman" w:cs="Times New Roman"/>
          <w:lang w:val="bg-BG"/>
        </w:rPr>
        <w:footnoteReference w:id="44"/>
      </w:r>
      <w:r w:rsidRPr="00456BFA">
        <w:rPr>
          <w:rFonts w:ascii="Times New Roman" w:hAnsi="Times New Roman" w:cs="Times New Roman"/>
          <w:lang w:val="bg-BG"/>
        </w:rPr>
        <w:t xml:space="preserve"> </w:t>
      </w:r>
    </w:p>
    <w:p w14:paraId="2775E200" w14:textId="425223E6" w:rsidR="0047737A" w:rsidRPr="00456BFA" w:rsidRDefault="0047737A" w:rsidP="00456BFA">
      <w:pPr>
        <w:spacing w:before="120" w:after="120" w:line="264" w:lineRule="auto"/>
        <w:jc w:val="both"/>
        <w:rPr>
          <w:rFonts w:ascii="Times New Roman" w:hAnsi="Times New Roman" w:cs="Times New Roman"/>
          <w:b/>
          <w:bCs/>
          <w:lang w:val="bg-BG"/>
        </w:rPr>
      </w:pPr>
      <w:r w:rsidRPr="00456BFA">
        <w:rPr>
          <w:rFonts w:ascii="Times New Roman" w:hAnsi="Times New Roman" w:cs="Times New Roman"/>
          <w:b/>
          <w:bCs/>
          <w:lang w:val="bg-BG"/>
        </w:rPr>
        <w:lastRenderedPageBreak/>
        <w:t>Качество на подземните води</w:t>
      </w:r>
    </w:p>
    <w:p w14:paraId="706BD856"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Основното въздействие върху качеството на подземните води в България е свързано със замърсяване с хранителни вещества (27 %) и химическо замърсяване (11 %). </w:t>
      </w:r>
      <w:r w:rsidRPr="00456BFA">
        <w:rPr>
          <w:rStyle w:val="FootnoteReference"/>
          <w:rFonts w:ascii="Times New Roman" w:hAnsi="Times New Roman" w:cs="Times New Roman"/>
          <w:lang w:val="bg-BG"/>
        </w:rPr>
        <w:footnoteReference w:id="45"/>
      </w:r>
    </w:p>
    <w:p w14:paraId="7457603D" w14:textId="77777777" w:rsidR="0047737A" w:rsidRPr="00456BFA" w:rsidRDefault="0047737A" w:rsidP="00456BFA">
      <w:pPr>
        <w:autoSpaceDE w:val="0"/>
        <w:autoSpaceDN w:val="0"/>
        <w:adjustRightInd w:val="0"/>
        <w:spacing w:before="120" w:after="120" w:line="264" w:lineRule="auto"/>
        <w:jc w:val="both"/>
        <w:rPr>
          <w:rFonts w:ascii="Times New Roman" w:eastAsia="Times New Roman,Bold" w:hAnsi="Times New Roman" w:cs="Times New Roman"/>
          <w:lang w:val="bg-BG"/>
        </w:rPr>
      </w:pPr>
      <w:r w:rsidRPr="00456BFA">
        <w:rPr>
          <w:rFonts w:ascii="Times New Roman" w:eastAsia="Times New Roman,Bold" w:hAnsi="Times New Roman" w:cs="Times New Roman"/>
          <w:lang w:val="bg-BG"/>
        </w:rPr>
        <w:t xml:space="preserve">За периода 1999 – 2018г. се наблюдава постепенно подобряване на качеството на подземните води за по-голяма част от показателите, с изключение на нитратите. За показателите манган, общо желязо, амониеви йони, нитритни йони, перманганатна окисляемост, фосфати и електропроводимост се наблюдават по-значителни тенденции към понижаване на процента наблюдавани пунктове с превишения на стандартите за качество. При </w:t>
      </w:r>
      <w:r w:rsidRPr="00456BFA">
        <w:rPr>
          <w:rFonts w:ascii="Times New Roman" w:hAnsi="Times New Roman" w:cs="Times New Roman"/>
          <w:lang w:val="bg-BG"/>
        </w:rPr>
        <w:t xml:space="preserve">показателите калций, електропроводимост, рН и хлориди </w:t>
      </w:r>
      <w:r w:rsidRPr="00456BFA">
        <w:rPr>
          <w:rFonts w:ascii="Times New Roman" w:eastAsia="Times New Roman,Bold" w:hAnsi="Times New Roman" w:cs="Times New Roman"/>
          <w:lang w:val="bg-BG"/>
        </w:rPr>
        <w:t>не се наблюдава ясно изразена тенденция.</w:t>
      </w:r>
    </w:p>
    <w:p w14:paraId="5713EDE2"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Нитратите са основен замърсител на подземните води в страната. Установените превишения засягат 41 подземни водни тела от общо 169 на територията на страната.</w:t>
      </w:r>
    </w:p>
    <w:p w14:paraId="3299DC55" w14:textId="77777777" w:rsidR="0047737A" w:rsidRPr="00456BFA" w:rsidRDefault="0047737A" w:rsidP="00456BFA">
      <w:pPr>
        <w:autoSpaceDE w:val="0"/>
        <w:autoSpaceDN w:val="0"/>
        <w:adjustRightInd w:val="0"/>
        <w:spacing w:before="120" w:after="120" w:line="264" w:lineRule="auto"/>
        <w:jc w:val="both"/>
        <w:rPr>
          <w:rFonts w:ascii="Times New Roman" w:eastAsia="Times New Roman,Bold" w:hAnsi="Times New Roman" w:cs="Times New Roman"/>
          <w:lang w:val="bg-BG"/>
        </w:rPr>
      </w:pPr>
      <w:r w:rsidRPr="00456BFA">
        <w:rPr>
          <w:rFonts w:ascii="Times New Roman" w:eastAsia="Times New Roman,Bold" w:hAnsi="Times New Roman" w:cs="Times New Roman"/>
          <w:lang w:val="bg-BG"/>
        </w:rPr>
        <w:t>Изменението на нитратното съдържание в подземните води за двата четиригодишни периода 2011 – 2014 г. и 2015 – 2018 г., показват различно съотношение на тенденциите при мониторинговите пунктове в различните типове разкрити подземни води според дълбочината на водното ниво. При най-плитките разкрити подземни води преобладава процентът на пунктовете с тренд на незначителни изменения на концентрациите на нитрати (41.67 %), следван от процентът на пунктовете със силно увеличение на концентрациите (28.33 %). При подземни води с ниво 5-15 м. се наблюдава много слабо доминиране на пунктовете със силно нарастване (25 %). При водите с ниво 15-30 m не се забелязва значимо преобладаване на някоя от тенденциите. При най- дълбоко залягащите разкрити подземни води (под 30 m), най-висок е процентът на мониторинговите пунктове със слабо увеличение на нитратите от 1 до 5 mg/l (в 41.67%), следван от процента на пунктовете с незначителни изменения на концентрациите (33.3 %). При закритите подземни води от Тип 2 се наблюдава слабо доминиране на пунктовете с незначителни изменения на концентрациите на нитрати (38.46 %). За карстовите извори най-висок е делът на пунктовете с незначителни изменения на концентрациите на нитрати (43.08%).</w:t>
      </w:r>
      <w:r w:rsidRPr="00456BFA">
        <w:rPr>
          <w:rStyle w:val="FootnoteReference"/>
          <w:rFonts w:ascii="Times New Roman" w:eastAsia="Times New Roman,Bold" w:hAnsi="Times New Roman" w:cs="Times New Roman"/>
          <w:lang w:val="bg-BG"/>
        </w:rPr>
        <w:footnoteReference w:id="46"/>
      </w:r>
    </w:p>
    <w:p w14:paraId="53A66B90" w14:textId="77777777" w:rsidR="0047737A" w:rsidRPr="00456BFA" w:rsidRDefault="0047737A" w:rsidP="00456BFA">
      <w:pPr>
        <w:autoSpaceDE w:val="0"/>
        <w:autoSpaceDN w:val="0"/>
        <w:adjustRightInd w:val="0"/>
        <w:spacing w:before="120" w:after="120" w:line="264" w:lineRule="auto"/>
        <w:jc w:val="both"/>
        <w:rPr>
          <w:rFonts w:ascii="Times New Roman" w:eastAsia="Times New Roman,Bold" w:hAnsi="Times New Roman" w:cs="Times New Roman"/>
          <w:color w:val="000000"/>
          <w:lang w:val="bg-BG"/>
        </w:rPr>
      </w:pPr>
      <w:r w:rsidRPr="00456BFA">
        <w:rPr>
          <w:rFonts w:ascii="Times New Roman" w:eastAsia="Times New Roman,Bold" w:hAnsi="Times New Roman" w:cs="Times New Roman"/>
          <w:color w:val="000000"/>
          <w:lang w:val="bg-BG"/>
        </w:rPr>
        <w:t>Направеният анализ на съдържанието на тежки метали за 20 годишен период (1999– 2018 г.) показва наличие на единични превишения или превишения, които в повечето случаи не са постоянни във времето.</w:t>
      </w:r>
    </w:p>
    <w:p w14:paraId="3279667A"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В Доклада на ЕК за България се отбелязва, че броят на подземните водни обекти с недобро химично състояние се е увеличил спрямо първите планове за управление на речните басейни — от 54 (31 %) на 58 (34 %). Отчита се възможността това несъответствие да е резултат от различна класификация на подземните водни обекти според химичното състояние, в резултат от прилагането на обща национална методика за оценка на химичното състояние и наличието на повече данни за анализ.</w:t>
      </w:r>
      <w:r w:rsidRPr="00456BFA">
        <w:rPr>
          <w:rStyle w:val="FootnoteReference"/>
          <w:rFonts w:ascii="Times New Roman" w:hAnsi="Times New Roman" w:cs="Times New Roman"/>
          <w:lang w:val="bg-BG"/>
        </w:rPr>
        <w:footnoteReference w:id="47"/>
      </w:r>
      <w:r w:rsidRPr="00456BFA">
        <w:rPr>
          <w:rFonts w:ascii="Times New Roman" w:hAnsi="Times New Roman" w:cs="Times New Roman"/>
          <w:lang w:val="bg-BG"/>
        </w:rPr>
        <w:t xml:space="preserve"> </w:t>
      </w:r>
    </w:p>
    <w:p w14:paraId="765D3720" w14:textId="782AB542" w:rsidR="0047737A" w:rsidRPr="00456BFA" w:rsidRDefault="0047737A" w:rsidP="00456BFA">
      <w:pPr>
        <w:spacing w:before="120" w:after="120" w:line="264" w:lineRule="auto"/>
        <w:jc w:val="both"/>
        <w:rPr>
          <w:rFonts w:ascii="Times New Roman" w:hAnsi="Times New Roman" w:cs="Times New Roman"/>
          <w:b/>
          <w:bCs/>
          <w:lang w:val="bg-BG"/>
        </w:rPr>
      </w:pPr>
      <w:r w:rsidRPr="00456BFA">
        <w:rPr>
          <w:rFonts w:ascii="Times New Roman" w:hAnsi="Times New Roman" w:cs="Times New Roman"/>
          <w:b/>
          <w:bCs/>
          <w:lang w:val="bg-BG"/>
        </w:rPr>
        <w:t>Количество на подземните води</w:t>
      </w:r>
    </w:p>
    <w:p w14:paraId="7118BA89"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eastAsia="Times New Roman,Bold" w:hAnsi="Times New Roman" w:cs="Times New Roman"/>
          <w:lang w:val="bg-BG"/>
        </w:rPr>
        <w:t xml:space="preserve">Данните за периода 2009 г. – 2018 г. за измерени водни нива в кладенци и дебит на извори показват, че преобладават добре изразени положителни тенденции на покачване, както в дебита на изворите (54%), така и в нивата на кладенците (48%) от всички наблюдавани пунктове. Отрицателни </w:t>
      </w:r>
      <w:r w:rsidRPr="00456BFA">
        <w:rPr>
          <w:rFonts w:ascii="Times New Roman" w:eastAsia="Times New Roman,Bold" w:hAnsi="Times New Roman" w:cs="Times New Roman"/>
          <w:lang w:val="bg-BG"/>
        </w:rPr>
        <w:lastRenderedPageBreak/>
        <w:t>тенденциите на спадане на дебита на изворите и спадане на нивата на кладенците са установени в 37% от изворите и в 38 % от кладенците. Без добре изразени тенденции на изменение (в състояние на относителна устойчивост) е бил дебитът на изворите в около 9% от наблюдаваните извори и нивата на подземните води в 14% от наблюдаваните кладенци.</w:t>
      </w:r>
    </w:p>
    <w:p w14:paraId="5CB919F8" w14:textId="229441DD" w:rsidR="0047737A" w:rsidRPr="00456BFA" w:rsidRDefault="0047737A" w:rsidP="00456BFA">
      <w:pPr>
        <w:autoSpaceDE w:val="0"/>
        <w:autoSpaceDN w:val="0"/>
        <w:adjustRightInd w:val="0"/>
        <w:spacing w:before="120" w:after="120" w:line="264" w:lineRule="auto"/>
        <w:jc w:val="both"/>
        <w:rPr>
          <w:rFonts w:ascii="Times New Roman" w:hAnsi="Times New Roman" w:cs="Times New Roman"/>
          <w:b/>
          <w:bCs/>
          <w:lang w:val="bg-BG"/>
        </w:rPr>
      </w:pPr>
      <w:r w:rsidRPr="00456BFA">
        <w:rPr>
          <w:rFonts w:ascii="Times New Roman" w:hAnsi="Times New Roman" w:cs="Times New Roman"/>
          <w:b/>
          <w:bCs/>
          <w:lang w:val="bg-BG"/>
        </w:rPr>
        <w:t>Качество на питейните води</w:t>
      </w:r>
    </w:p>
    <w:p w14:paraId="44263734"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Като цяло за страната съответствието по </w:t>
      </w:r>
      <w:r w:rsidRPr="00456BFA">
        <w:rPr>
          <w:rFonts w:ascii="Times New Roman" w:hAnsi="Times New Roman" w:cs="Times New Roman"/>
          <w:i/>
          <w:iCs/>
          <w:lang w:val="bg-BG"/>
        </w:rPr>
        <w:t xml:space="preserve">микробиологични </w:t>
      </w:r>
      <w:r w:rsidRPr="00456BFA">
        <w:rPr>
          <w:rFonts w:ascii="Times New Roman" w:hAnsi="Times New Roman" w:cs="Times New Roman"/>
          <w:lang w:val="bg-BG"/>
        </w:rPr>
        <w:t>показатели, вкл. ешерихия коли и ентерококи, имащи по-голяма тежест при оценката на безопасността на питейната вода, е добро над 98-99% в големите зони на водоснабдяване и около 95-98% в малките зони на водоснабдяване.</w:t>
      </w:r>
    </w:p>
    <w:p w14:paraId="0920A641" w14:textId="77777777" w:rsidR="0047737A" w:rsidRPr="00456BFA" w:rsidRDefault="0047737A"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Ясно изразени остават и някои регионални проблеми, които не са нови за водния сектор и съществуват от много години. В редица области на страната продължават да се регистрират отклонения по някои </w:t>
      </w:r>
      <w:r w:rsidRPr="00456BFA">
        <w:rPr>
          <w:rFonts w:ascii="Times New Roman" w:hAnsi="Times New Roman" w:cs="Times New Roman"/>
          <w:i/>
          <w:iCs/>
          <w:lang w:val="bg-BG"/>
        </w:rPr>
        <w:t xml:space="preserve">химични </w:t>
      </w:r>
      <w:r w:rsidRPr="00456BFA">
        <w:rPr>
          <w:rFonts w:ascii="Times New Roman" w:hAnsi="Times New Roman" w:cs="Times New Roman"/>
          <w:lang w:val="bg-BG"/>
        </w:rPr>
        <w:t>показатели със здравно значение, което налага разработването, периодичното актуализиране и предписване от страна на здравните институции на съответни препоръки за ограничаване на здравния риск – нитрати, хром, желязо, манган.</w:t>
      </w:r>
    </w:p>
    <w:p w14:paraId="4496AF5B" w14:textId="5B74BE79" w:rsidR="0047737A" w:rsidRPr="00456BFA" w:rsidRDefault="0047737A" w:rsidP="00456BFA">
      <w:pPr>
        <w:spacing w:before="120" w:after="120" w:line="264" w:lineRule="auto"/>
        <w:jc w:val="both"/>
        <w:rPr>
          <w:rFonts w:ascii="Times New Roman" w:hAnsi="Times New Roman" w:cs="Times New Roman"/>
          <w:b/>
          <w:bCs/>
          <w:lang w:val="bg-BG"/>
        </w:rPr>
      </w:pPr>
      <w:r w:rsidRPr="00456BFA">
        <w:rPr>
          <w:rFonts w:ascii="Times New Roman" w:hAnsi="Times New Roman" w:cs="Times New Roman"/>
          <w:b/>
          <w:bCs/>
          <w:lang w:val="bg-BG"/>
        </w:rPr>
        <w:t>Води за къпане</w:t>
      </w:r>
    </w:p>
    <w:p w14:paraId="63D2022F" w14:textId="77777777" w:rsidR="0047737A" w:rsidRPr="00456BFA" w:rsidRDefault="0047737A"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color w:val="000000"/>
          <w:lang w:val="bg-BG"/>
        </w:rPr>
        <w:t>През 2017 г. от 95-те български обекта с води за къпане 44,2 % са били с отлично качество, 47,4 % — с добро качество и 6,3 % - със задоволително качество.</w:t>
      </w:r>
      <w:r w:rsidRPr="00456BFA">
        <w:rPr>
          <w:rStyle w:val="FootnoteReference"/>
          <w:rFonts w:ascii="Times New Roman" w:hAnsi="Times New Roman" w:cs="Times New Roman"/>
          <w:color w:val="000000"/>
          <w:lang w:val="bg-BG"/>
        </w:rPr>
        <w:footnoteReference w:id="48"/>
      </w:r>
      <w:r w:rsidRPr="00456BFA">
        <w:rPr>
          <w:rFonts w:ascii="Times New Roman" w:hAnsi="Times New Roman" w:cs="Times New Roman"/>
          <w:color w:val="000000"/>
          <w:lang w:val="bg-BG"/>
        </w:rPr>
        <w:t xml:space="preserve"> П</w:t>
      </w:r>
      <w:r w:rsidRPr="00456BFA">
        <w:rPr>
          <w:rFonts w:ascii="Times New Roman" w:hAnsi="Times New Roman" w:cs="Times New Roman"/>
          <w:lang w:val="bg-BG"/>
        </w:rPr>
        <w:t>рез сезон 2018г се наблюдава увеличение с 8 броя на зоните с отлично качество, за сметка на зоните с добро качество.</w:t>
      </w:r>
      <w:r w:rsidRPr="00456BFA">
        <w:rPr>
          <w:rStyle w:val="FootnoteReference"/>
          <w:rFonts w:ascii="Times New Roman" w:hAnsi="Times New Roman" w:cs="Times New Roman"/>
          <w:lang w:val="bg-BG"/>
        </w:rPr>
        <w:footnoteReference w:id="49"/>
      </w:r>
      <w:r w:rsidRPr="00456BFA">
        <w:rPr>
          <w:rFonts w:ascii="Times New Roman" w:hAnsi="Times New Roman" w:cs="Times New Roman"/>
          <w:lang w:val="bg-BG"/>
        </w:rPr>
        <w:t xml:space="preserve"> Все още обаче процентът на зоните с отлично качество е сравнително нисък, а на зоните с добро качество сравнително висок в сравнение със средните за ЕС, където 85,1% от водите за къпане са с „отлично“ качество, а 8,0% са с „добро“ качество. </w:t>
      </w:r>
    </w:p>
    <w:p w14:paraId="1AFEE246" w14:textId="77777777" w:rsidR="001B1B03" w:rsidRDefault="001B1B03" w:rsidP="00456BFA">
      <w:pPr>
        <w:autoSpaceDE w:val="0"/>
        <w:autoSpaceDN w:val="0"/>
        <w:adjustRightInd w:val="0"/>
        <w:spacing w:before="120" w:after="120" w:line="264" w:lineRule="auto"/>
        <w:jc w:val="both"/>
        <w:rPr>
          <w:rFonts w:ascii="Times New Roman" w:hAnsi="Times New Roman" w:cs="Times New Roman"/>
          <w:b/>
          <w:bCs/>
          <w:lang w:val="bg-BG"/>
        </w:rPr>
      </w:pPr>
    </w:p>
    <w:p w14:paraId="5BE491EA" w14:textId="77777777" w:rsidR="009F40E9" w:rsidRDefault="009F40E9" w:rsidP="00456BFA">
      <w:pPr>
        <w:autoSpaceDE w:val="0"/>
        <w:autoSpaceDN w:val="0"/>
        <w:adjustRightInd w:val="0"/>
        <w:spacing w:before="120" w:after="120" w:line="264" w:lineRule="auto"/>
        <w:jc w:val="both"/>
        <w:rPr>
          <w:rFonts w:ascii="Times New Roman" w:hAnsi="Times New Roman" w:cs="Times New Roman"/>
          <w:b/>
          <w:bCs/>
          <w:lang w:val="bg-BG"/>
        </w:rPr>
      </w:pPr>
    </w:p>
    <w:p w14:paraId="2D164E88" w14:textId="77777777" w:rsidR="009F40E9" w:rsidRDefault="009F40E9" w:rsidP="00456BFA">
      <w:pPr>
        <w:autoSpaceDE w:val="0"/>
        <w:autoSpaceDN w:val="0"/>
        <w:adjustRightInd w:val="0"/>
        <w:spacing w:before="120" w:after="120" w:line="264" w:lineRule="auto"/>
        <w:jc w:val="both"/>
        <w:rPr>
          <w:rFonts w:ascii="Times New Roman" w:hAnsi="Times New Roman" w:cs="Times New Roman"/>
          <w:b/>
          <w:bCs/>
          <w:lang w:val="bg-BG"/>
        </w:rPr>
      </w:pPr>
    </w:p>
    <w:p w14:paraId="6CB7E5FC" w14:textId="6ABE9991" w:rsidR="0047737A" w:rsidRPr="00456BFA" w:rsidRDefault="0047737A" w:rsidP="00456BFA">
      <w:pPr>
        <w:autoSpaceDE w:val="0"/>
        <w:autoSpaceDN w:val="0"/>
        <w:adjustRightInd w:val="0"/>
        <w:spacing w:before="120" w:after="120" w:line="264" w:lineRule="auto"/>
        <w:jc w:val="both"/>
        <w:rPr>
          <w:rFonts w:ascii="Times New Roman" w:hAnsi="Times New Roman" w:cs="Times New Roman"/>
          <w:b/>
          <w:bCs/>
          <w:lang w:val="bg-BG"/>
        </w:rPr>
      </w:pPr>
      <w:r w:rsidRPr="00456BFA">
        <w:rPr>
          <w:rFonts w:ascii="Times New Roman" w:hAnsi="Times New Roman" w:cs="Times New Roman"/>
          <w:b/>
          <w:bCs/>
          <w:lang w:val="bg-BG"/>
        </w:rPr>
        <w:t>Инвазивни видове</w:t>
      </w:r>
    </w:p>
    <w:p w14:paraId="65FEDEF1"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В Доклада за базово разпределение на инвазивните чужди видове, които засягат ЕС</w:t>
      </w:r>
      <w:r w:rsidRPr="00456BFA">
        <w:rPr>
          <w:rStyle w:val="FootnoteReference"/>
          <w:rFonts w:ascii="Times New Roman" w:hAnsi="Times New Roman" w:cs="Times New Roman"/>
          <w:lang w:val="bg-BG"/>
        </w:rPr>
        <w:footnoteReference w:id="50"/>
      </w:r>
      <w:r w:rsidRPr="00456BFA">
        <w:rPr>
          <w:rFonts w:ascii="Times New Roman" w:hAnsi="Times New Roman" w:cs="Times New Roman"/>
          <w:lang w:val="bg-BG"/>
        </w:rPr>
        <w:t xml:space="preserve"> са определени 37 инвазивни вида, от които само 4 са обект на наблюдение в България.</w:t>
      </w:r>
    </w:p>
    <w:p w14:paraId="7DBBC10D"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Всички те са водни видове с ограничено разпространение: нутрия (</w:t>
      </w:r>
      <w:r w:rsidRPr="00456BFA">
        <w:rPr>
          <w:rFonts w:ascii="Times New Roman" w:hAnsi="Times New Roman" w:cs="Times New Roman"/>
          <w:i/>
          <w:iCs/>
          <w:lang w:val="bg-BG"/>
        </w:rPr>
        <w:t>Myocastor coypus</w:t>
      </w:r>
      <w:r w:rsidRPr="00456BFA">
        <w:rPr>
          <w:rFonts w:ascii="Times New Roman" w:hAnsi="Times New Roman" w:cs="Times New Roman"/>
          <w:lang w:val="bg-BG"/>
        </w:rPr>
        <w:t>), американски шипобузест рак (</w:t>
      </w:r>
      <w:r w:rsidRPr="00456BFA">
        <w:rPr>
          <w:rFonts w:ascii="Times New Roman" w:hAnsi="Times New Roman" w:cs="Times New Roman"/>
          <w:i/>
          <w:iCs/>
          <w:lang w:val="bg-BG"/>
        </w:rPr>
        <w:t>Orconectes limosus</w:t>
      </w:r>
      <w:r w:rsidRPr="00456BFA">
        <w:rPr>
          <w:rFonts w:ascii="Times New Roman" w:hAnsi="Times New Roman" w:cs="Times New Roman"/>
          <w:lang w:val="bg-BG"/>
        </w:rPr>
        <w:t>), ротан (</w:t>
      </w:r>
      <w:r w:rsidRPr="00456BFA">
        <w:rPr>
          <w:rFonts w:ascii="Times New Roman" w:hAnsi="Times New Roman" w:cs="Times New Roman"/>
          <w:i/>
          <w:iCs/>
          <w:lang w:val="bg-BG"/>
        </w:rPr>
        <w:t>Perccottus glenii</w:t>
      </w:r>
      <w:r w:rsidRPr="00456BFA">
        <w:rPr>
          <w:rFonts w:ascii="Times New Roman" w:hAnsi="Times New Roman" w:cs="Times New Roman"/>
          <w:lang w:val="bg-BG"/>
        </w:rPr>
        <w:t>) и червеноуха плъзгаща се сладководна костенурка (</w:t>
      </w:r>
      <w:r w:rsidRPr="00456BFA">
        <w:rPr>
          <w:rFonts w:ascii="Times New Roman" w:hAnsi="Times New Roman" w:cs="Times New Roman"/>
          <w:i/>
          <w:iCs/>
          <w:lang w:val="bg-BG"/>
        </w:rPr>
        <w:t>Trachemys scripta</w:t>
      </w:r>
      <w:r w:rsidRPr="00456BFA">
        <w:rPr>
          <w:rFonts w:ascii="Times New Roman" w:hAnsi="Times New Roman" w:cs="Times New Roman"/>
          <w:lang w:val="bg-BG"/>
        </w:rPr>
        <w:t xml:space="preserve">). Предполага се, че България е по-малко засегната в сравнение със съседните държави, но това може да се дължи на липсата на данни от системен мониторинг. </w:t>
      </w:r>
    </w:p>
    <w:p w14:paraId="26EA1971" w14:textId="77777777" w:rsidR="0047737A" w:rsidRPr="00456BFA" w:rsidRDefault="0047737A"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Оценката на въздействието на чуждите видове в морската среда, извършена във връзка с разработването на Морската стратегия на Република България</w:t>
      </w:r>
      <w:r w:rsidRPr="00456BFA">
        <w:rPr>
          <w:rStyle w:val="FootnoteReference"/>
          <w:rFonts w:ascii="Times New Roman" w:hAnsi="Times New Roman" w:cs="Times New Roman"/>
          <w:lang w:val="bg-BG"/>
        </w:rPr>
        <w:footnoteReference w:id="51"/>
      </w:r>
      <w:r w:rsidRPr="00456BFA">
        <w:rPr>
          <w:rFonts w:ascii="Times New Roman" w:hAnsi="Times New Roman" w:cs="Times New Roman"/>
          <w:lang w:val="bg-BG"/>
        </w:rPr>
        <w:t xml:space="preserve">, показва, че за изследвания период 2006-2011 г. са регистрирани общо 20 нови неместни вида в морска среда, сред които 14 </w:t>
      </w:r>
      <w:r w:rsidRPr="00456BFA">
        <w:rPr>
          <w:rFonts w:ascii="Times New Roman" w:hAnsi="Times New Roman" w:cs="Times New Roman"/>
          <w:lang w:val="bg-BG"/>
        </w:rPr>
        <w:lastRenderedPageBreak/>
        <w:t xml:space="preserve">фитопланктонни, 2 зоопланктонни, един зообентосен, 3 вида риби и 1 вид макрофити. Рискът от инвазии се оценява като висок, с основна движеща сила корабоплаването. </w:t>
      </w:r>
    </w:p>
    <w:p w14:paraId="7DDED87E" w14:textId="77777777" w:rsidR="0047737A" w:rsidRPr="00456BFA" w:rsidRDefault="0047737A"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Най-голям натиск върху бентосните съобщества оказва хищният охлюв Rapana venosa, а върху пелагичните - ктенофората Mnemiopsis leidyi. Въпреки това липсата на достатъчно данни и нерегулярните изследвания не позволяват обективно дефиниране и оценка на състоянието на морската околна среда по отношение на неместните видове.</w:t>
      </w:r>
    </w:p>
    <w:p w14:paraId="69244ECF" w14:textId="77777777" w:rsidR="0047737A" w:rsidRPr="00456BFA" w:rsidRDefault="0047737A"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В сладководните басейни, съгласно информацията от Плановете за управление на речните басейни се идентифицира натиск от развитие на неместен (интродуциран) вид мида – Dreisena polymorpha (Мида – зебра).</w:t>
      </w:r>
    </w:p>
    <w:p w14:paraId="30F050EA" w14:textId="2AD574BF" w:rsidR="0047737A" w:rsidRPr="00456BFA" w:rsidRDefault="0047737A" w:rsidP="00456BFA">
      <w:pPr>
        <w:spacing w:before="120" w:after="120" w:line="264" w:lineRule="auto"/>
        <w:jc w:val="both"/>
        <w:rPr>
          <w:rFonts w:ascii="Times New Roman" w:hAnsi="Times New Roman" w:cs="Times New Roman"/>
          <w:b/>
          <w:bCs/>
          <w:lang w:val="bg-BG"/>
        </w:rPr>
      </w:pPr>
      <w:r w:rsidRPr="00456BFA">
        <w:rPr>
          <w:rFonts w:ascii="Times New Roman" w:hAnsi="Times New Roman" w:cs="Times New Roman"/>
          <w:b/>
          <w:bCs/>
          <w:lang w:val="bg-BG"/>
        </w:rPr>
        <w:t>Риск от наводнения</w:t>
      </w:r>
    </w:p>
    <w:p w14:paraId="0E5CE233"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eastAsia="Times New Roman" w:hAnsi="Times New Roman" w:cs="Times New Roman"/>
          <w:lang w:val="bg-BG"/>
        </w:rPr>
        <w:t xml:space="preserve">Рискът от наводнения за почти всички райони на басейново управление се свързва с дъждовен източник. </w:t>
      </w:r>
      <w:r w:rsidRPr="00456BFA">
        <w:rPr>
          <w:rFonts w:ascii="Times New Roman" w:hAnsi="Times New Roman" w:cs="Times New Roman"/>
          <w:lang w:val="bg-BG"/>
        </w:rPr>
        <w:t>Речните наводнения са на второ място по относителен дял, а най-малък дял имат инфраструктурните наводнения и тези причинени от подземни води. Изключение е Западнообеломорски район на басейново управление, където се наблюдава баланс между броя на речните и дъждовните наводнения с лек превес на речните.</w:t>
      </w:r>
    </w:p>
    <w:p w14:paraId="1C5E730E"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Според механизма на възникване преобладават наводненията резултат от подприщване или намаляване на проводимостта, в резултат от хидроморфологичен натиск. </w:t>
      </w:r>
    </w:p>
    <w:p w14:paraId="6E70A039"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color w:val="000000"/>
          <w:lang w:val="bg-BG"/>
        </w:rPr>
      </w:pPr>
      <w:r w:rsidRPr="00456BFA">
        <w:rPr>
          <w:rFonts w:ascii="Times New Roman" w:hAnsi="Times New Roman" w:cs="Times New Roman"/>
          <w:color w:val="000000"/>
          <w:lang w:val="bg-BG"/>
        </w:rPr>
        <w:t>В оценката на Комисията се подчертават положените значителни и ефикасни усилия при определянето на цели и разработването на мерки за превенция, защита и готовност за управление на риска от наводнения. Също така се отбелязва, че, подобно на други държави членки, плановете за управление на риска от наводнения в България все още не включват възможно най-пълна прогноза на разходите за мерки с набелязване на конкретни източници на финансиране. Препоръчва се разширяване на използването на анализа на разходите и ползите за приоритизиране на подходящите за тази цел мерки.</w:t>
      </w:r>
      <w:r w:rsidRPr="00456BFA">
        <w:rPr>
          <w:rStyle w:val="FootnoteReference"/>
          <w:rFonts w:ascii="Times New Roman" w:hAnsi="Times New Roman" w:cs="Times New Roman"/>
          <w:color w:val="000000"/>
          <w:lang w:val="bg-BG"/>
        </w:rPr>
        <w:footnoteReference w:id="52"/>
      </w:r>
    </w:p>
    <w:p w14:paraId="71BF9720"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Общият напредък на България по отношение на устойчивото управление на водните ресурси се оценява като скромен по отношение на Цел за устойчиво развитие 6: Чиста вода и санитарно – хигиенни условия, със значително подобрение по показателите за отвеждане и пречистване на отпадъчните води, водоснабдителни услуги и водовземане.</w:t>
      </w:r>
    </w:p>
    <w:p w14:paraId="5E15A088"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По цел 14: Живот под водата, страната е с негативна оценка, предимно поради влошеното състояние на водите за къпане.</w:t>
      </w:r>
      <w:r w:rsidRPr="00456BFA">
        <w:rPr>
          <w:rStyle w:val="FootnoteReference"/>
          <w:rFonts w:ascii="Times New Roman" w:hAnsi="Times New Roman" w:cs="Times New Roman"/>
          <w:lang w:val="bg-BG"/>
        </w:rPr>
        <w:footnoteReference w:id="53"/>
      </w:r>
    </w:p>
    <w:p w14:paraId="7EBC6F9F" w14:textId="5EB55C9A" w:rsidR="0047737A" w:rsidRPr="00456BFA" w:rsidRDefault="0047737A" w:rsidP="00456BFA">
      <w:pPr>
        <w:spacing w:before="120" w:after="120" w:line="264" w:lineRule="auto"/>
        <w:rPr>
          <w:rFonts w:ascii="Times New Roman" w:hAnsi="Times New Roman" w:cs="Times New Roman"/>
          <w:b/>
          <w:bCs/>
          <w:lang w:val="bg-BG"/>
        </w:rPr>
      </w:pPr>
      <w:r w:rsidRPr="00456BFA">
        <w:rPr>
          <w:rFonts w:ascii="Times New Roman" w:hAnsi="Times New Roman" w:cs="Times New Roman"/>
          <w:b/>
          <w:bCs/>
          <w:lang w:val="bg-BG"/>
        </w:rPr>
        <w:t>Водни екосистеми и екосистемни услуги</w:t>
      </w:r>
    </w:p>
    <w:p w14:paraId="1E132E62" w14:textId="77777777" w:rsidR="0047737A" w:rsidRPr="00456BFA" w:rsidRDefault="0047737A"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В контекста на европейските политики за околна среда, като повърхностни водни екосистеми се определят реките, езерата, преходните и крайбрежните води. В качеството на значими екосистеми се разглеждат и влажните зони, включително заливни долини, торфища, блата, които зависят от наличието на води, за да осигурят благоприятни условия за съществуването на природни местообитания. Тези екосистеми осигуряват базисни и регулиращи услуги от огромно значение не само за наличието на чиста вода, но и с принос за постигане на целите по опазване и подобряване </w:t>
      </w:r>
      <w:r w:rsidRPr="00456BFA">
        <w:rPr>
          <w:rFonts w:ascii="Times New Roman" w:hAnsi="Times New Roman" w:cs="Times New Roman"/>
          <w:lang w:val="bg-BG"/>
        </w:rPr>
        <w:lastRenderedPageBreak/>
        <w:t xml:space="preserve">на природозащитното състояние на най-застрашените в Европа видове и местообитания в съответствие с Директивата за видовете и Директивата за местообитанията. </w:t>
      </w:r>
    </w:p>
    <w:p w14:paraId="60E736BF" w14:textId="77777777" w:rsidR="0047737A" w:rsidRPr="00456BFA" w:rsidRDefault="0047737A"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Картиране и оценка на състоянието на сладководните и морски екосистеми в България е извършено в рамките на проект </w:t>
      </w:r>
      <w:r w:rsidRPr="00456BFA">
        <w:rPr>
          <w:rFonts w:ascii="Times New Roman" w:hAnsi="Times New Roman" w:cs="Times New Roman"/>
          <w:i/>
          <w:iCs/>
          <w:lang w:val="bg-BG"/>
        </w:rPr>
        <w:t>“Оценка и картиране на състоянието на сладководните екосистеми и техните услуги в България (FEMA)</w:t>
      </w:r>
      <w:r w:rsidRPr="00456BFA">
        <w:rPr>
          <w:rFonts w:ascii="Times New Roman" w:hAnsi="Times New Roman" w:cs="Times New Roman"/>
          <w:lang w:val="bg-BG"/>
        </w:rPr>
        <w:t>” финансиран  по под-програмата BG03 “Биоразнообразие и екосистеми“ в рамките на Финансовия механизъм на Европейското икономическо пространство (ФП/ЕИП) 2009-2014 г. Идентифицирани са:</w:t>
      </w:r>
    </w:p>
    <w:p w14:paraId="212C32BA" w14:textId="77777777" w:rsidR="0047737A" w:rsidRPr="00456BFA" w:rsidRDefault="0047737A" w:rsidP="00456BFA">
      <w:pPr>
        <w:pStyle w:val="ListParagraph"/>
        <w:numPr>
          <w:ilvl w:val="0"/>
          <w:numId w:val="4"/>
        </w:num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4 подтипа речни екосистеми, като към тях са прибавени сладководните речни естуари и крайбрежни лагуни (категория “преходни води “по РДВ). Картирани са и някои подтипове изкуствени водни тела;</w:t>
      </w:r>
    </w:p>
    <w:p w14:paraId="37A2CE48" w14:textId="77777777" w:rsidR="0047737A" w:rsidRPr="00456BFA" w:rsidRDefault="0047737A" w:rsidP="00456BFA">
      <w:pPr>
        <w:pStyle w:val="ListParagraph"/>
        <w:numPr>
          <w:ilvl w:val="0"/>
          <w:numId w:val="4"/>
        </w:num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5 подтипа езерни екосистеми и някои подтипове изкуствени течения (открити водоеми, рибарници, резервоари), които са извън градските и индустриалните зони.</w:t>
      </w:r>
    </w:p>
    <w:p w14:paraId="7BD06948" w14:textId="77777777" w:rsidR="0047737A" w:rsidRPr="00456BFA" w:rsidRDefault="0047737A" w:rsidP="00456BFA">
      <w:pPr>
        <w:pStyle w:val="ListParagraph"/>
        <w:numPr>
          <w:ilvl w:val="0"/>
          <w:numId w:val="4"/>
        </w:num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8 подтипа морски екосистеми - литорални скали и друг твърд субстрат, литорален седимент, инфралиторални скали и друг твърд субстрат, циркалиторални скали и друг твърд субстрат, сублиторален седимент, дълбоко морско дъно, скални образувания, тераси и брегове, вкл. Супралиторал.</w:t>
      </w:r>
    </w:p>
    <w:p w14:paraId="0563FA27" w14:textId="77777777" w:rsidR="0047737A" w:rsidRPr="00456BFA" w:rsidRDefault="0047737A" w:rsidP="0047737A">
      <w:pPr>
        <w:autoSpaceDE w:val="0"/>
        <w:autoSpaceDN w:val="0"/>
        <w:adjustRightInd w:val="0"/>
        <w:spacing w:after="120" w:line="276" w:lineRule="auto"/>
        <w:rPr>
          <w:rFonts w:ascii="Times New Roman" w:hAnsi="Times New Roman" w:cs="Times New Roman"/>
          <w:lang w:val="bg-BG"/>
        </w:rPr>
      </w:pPr>
      <w:r w:rsidRPr="00456BFA">
        <w:rPr>
          <w:rFonts w:ascii="Times New Roman" w:hAnsi="Times New Roman" w:cs="Times New Roman"/>
          <w:lang w:val="bg-BG"/>
        </w:rPr>
        <w:t>Оценката на общото състояние на екосистемите в България е показана по-долу</w:t>
      </w:r>
      <w:r w:rsidRPr="00456BFA">
        <w:rPr>
          <w:rStyle w:val="FootnoteReference"/>
          <w:rFonts w:ascii="Times New Roman" w:hAnsi="Times New Roman" w:cs="Times New Roman"/>
          <w:lang w:val="bg-BG"/>
        </w:rPr>
        <w:footnoteReference w:id="54"/>
      </w:r>
      <w:r w:rsidRPr="00456BFA">
        <w:rPr>
          <w:rFonts w:ascii="Times New Roman" w:hAnsi="Times New Roman" w:cs="Times New Roman"/>
          <w:lang w:val="bg-BG"/>
        </w:rPr>
        <w:t>:</w:t>
      </w:r>
    </w:p>
    <w:p w14:paraId="3BEA5C2C" w14:textId="0324AAD0" w:rsidR="001B1B03" w:rsidRDefault="001B1B03" w:rsidP="00E050A8">
      <w:pPr>
        <w:pStyle w:val="Caption"/>
        <w:rPr>
          <w:rFonts w:eastAsiaTheme="minorHAnsi" w:cs="Times New Roman"/>
          <w:b w:val="0"/>
          <w:bCs w:val="0"/>
          <w:i/>
          <w:sz w:val="22"/>
          <w:szCs w:val="22"/>
          <w:lang w:eastAsia="en-US"/>
        </w:rPr>
      </w:pPr>
      <w:bookmarkStart w:id="44" w:name="_Toc72917664"/>
    </w:p>
    <w:p w14:paraId="30B9AA41" w14:textId="77777777" w:rsidR="001B1B03" w:rsidRPr="001B1B03" w:rsidRDefault="001B1B03" w:rsidP="001B1B03">
      <w:pPr>
        <w:rPr>
          <w:lang w:val="bg-BG"/>
        </w:rPr>
      </w:pPr>
    </w:p>
    <w:p w14:paraId="3807947C" w14:textId="77777777" w:rsidR="001B1B03" w:rsidRDefault="001B1B03" w:rsidP="00E050A8">
      <w:pPr>
        <w:pStyle w:val="Caption"/>
        <w:rPr>
          <w:rFonts w:eastAsiaTheme="minorHAnsi" w:cs="Times New Roman"/>
          <w:b w:val="0"/>
          <w:bCs w:val="0"/>
          <w:i/>
          <w:sz w:val="22"/>
          <w:szCs w:val="22"/>
          <w:lang w:eastAsia="en-US"/>
        </w:rPr>
      </w:pPr>
    </w:p>
    <w:p w14:paraId="1E2B6DEC" w14:textId="1BF83209" w:rsidR="001B1B03" w:rsidRDefault="001B1B03" w:rsidP="00E050A8">
      <w:pPr>
        <w:pStyle w:val="Caption"/>
        <w:rPr>
          <w:rFonts w:eastAsiaTheme="minorHAnsi" w:cs="Times New Roman"/>
          <w:b w:val="0"/>
          <w:bCs w:val="0"/>
          <w:i/>
          <w:sz w:val="22"/>
          <w:szCs w:val="22"/>
          <w:lang w:eastAsia="en-US"/>
        </w:rPr>
      </w:pPr>
    </w:p>
    <w:p w14:paraId="1BA444D6" w14:textId="77777777" w:rsidR="001B1B03" w:rsidRPr="001B1B03" w:rsidRDefault="001B1B03" w:rsidP="001B1B03">
      <w:pPr>
        <w:rPr>
          <w:lang w:val="bg-BG"/>
        </w:rPr>
      </w:pPr>
    </w:p>
    <w:p w14:paraId="67805B8B" w14:textId="5DC55E66" w:rsidR="0047737A" w:rsidRDefault="00E050A8" w:rsidP="00E050A8">
      <w:pPr>
        <w:pStyle w:val="Caption"/>
        <w:rPr>
          <w:rFonts w:eastAsiaTheme="minorHAnsi" w:cs="Times New Roman"/>
          <w:b w:val="0"/>
          <w:bCs w:val="0"/>
          <w:i/>
          <w:sz w:val="22"/>
          <w:szCs w:val="22"/>
          <w:lang w:eastAsia="en-US"/>
        </w:rPr>
      </w:pPr>
      <w:r w:rsidRPr="00E050A8">
        <w:rPr>
          <w:rFonts w:eastAsiaTheme="minorHAnsi" w:cs="Times New Roman"/>
          <w:b w:val="0"/>
          <w:bCs w:val="0"/>
          <w:i/>
          <w:sz w:val="22"/>
          <w:szCs w:val="22"/>
          <w:lang w:eastAsia="en-US"/>
        </w:rPr>
        <w:t xml:space="preserve">Фигура </w:t>
      </w:r>
      <w:r w:rsidRPr="00E050A8">
        <w:rPr>
          <w:rFonts w:eastAsiaTheme="minorHAnsi" w:cs="Times New Roman"/>
          <w:b w:val="0"/>
          <w:bCs w:val="0"/>
          <w:i/>
          <w:sz w:val="22"/>
          <w:szCs w:val="22"/>
          <w:lang w:eastAsia="en-US"/>
        </w:rPr>
        <w:fldChar w:fldCharType="begin"/>
      </w:r>
      <w:r w:rsidRPr="00E050A8">
        <w:rPr>
          <w:rFonts w:eastAsiaTheme="minorHAnsi" w:cs="Times New Roman"/>
          <w:b w:val="0"/>
          <w:bCs w:val="0"/>
          <w:i/>
          <w:sz w:val="22"/>
          <w:szCs w:val="22"/>
          <w:lang w:eastAsia="en-US"/>
        </w:rPr>
        <w:instrText xml:space="preserve"> SEQ Фигура \* ARABIC </w:instrText>
      </w:r>
      <w:r w:rsidRPr="00E050A8">
        <w:rPr>
          <w:rFonts w:eastAsiaTheme="minorHAnsi" w:cs="Times New Roman"/>
          <w:b w:val="0"/>
          <w:bCs w:val="0"/>
          <w:i/>
          <w:sz w:val="22"/>
          <w:szCs w:val="22"/>
          <w:lang w:eastAsia="en-US"/>
        </w:rPr>
        <w:fldChar w:fldCharType="separate"/>
      </w:r>
      <w:r>
        <w:rPr>
          <w:rFonts w:eastAsiaTheme="minorHAnsi" w:cs="Times New Roman"/>
          <w:b w:val="0"/>
          <w:bCs w:val="0"/>
          <w:i/>
          <w:noProof/>
          <w:sz w:val="22"/>
          <w:szCs w:val="22"/>
          <w:lang w:eastAsia="en-US"/>
        </w:rPr>
        <w:t>12</w:t>
      </w:r>
      <w:r w:rsidRPr="00E050A8">
        <w:rPr>
          <w:rFonts w:eastAsiaTheme="minorHAnsi" w:cs="Times New Roman"/>
          <w:b w:val="0"/>
          <w:bCs w:val="0"/>
          <w:i/>
          <w:sz w:val="22"/>
          <w:szCs w:val="22"/>
          <w:lang w:eastAsia="en-US"/>
        </w:rPr>
        <w:fldChar w:fldCharType="end"/>
      </w:r>
      <w:r w:rsidR="0047737A" w:rsidRPr="00E050A8">
        <w:rPr>
          <w:rFonts w:eastAsiaTheme="minorHAnsi" w:cs="Times New Roman"/>
          <w:b w:val="0"/>
          <w:bCs w:val="0"/>
          <w:i/>
          <w:sz w:val="22"/>
          <w:szCs w:val="22"/>
          <w:lang w:eastAsia="en-US"/>
        </w:rPr>
        <w:t xml:space="preserve"> Природозащитно състояние на видовете и местообитания, 2013 г.</w:t>
      </w:r>
      <w:bookmarkEnd w:id="44"/>
    </w:p>
    <w:p w14:paraId="77C35747" w14:textId="77777777" w:rsidR="001B1B03" w:rsidRPr="001B1B03" w:rsidRDefault="001B1B03" w:rsidP="001B1B03">
      <w:pPr>
        <w:rPr>
          <w:lang w:val="bg-BG"/>
        </w:rPr>
      </w:pPr>
    </w:p>
    <w:p w14:paraId="66284F7C" w14:textId="77777777" w:rsidR="0047737A" w:rsidRPr="00E15F8F" w:rsidRDefault="0047737A" w:rsidP="0047737A">
      <w:pPr>
        <w:autoSpaceDE w:val="0"/>
        <w:autoSpaceDN w:val="0"/>
        <w:adjustRightInd w:val="0"/>
        <w:spacing w:after="0" w:line="240" w:lineRule="auto"/>
        <w:rPr>
          <w:rFonts w:ascii="Times New Roman" w:hAnsi="Times New Roman" w:cs="Times New Roman"/>
          <w:i/>
          <w:iCs/>
          <w:lang w:val="bg-BG"/>
        </w:rPr>
      </w:pPr>
      <w:r w:rsidRPr="00E15F8F">
        <w:rPr>
          <w:rFonts w:ascii="Times New Roman" w:hAnsi="Times New Roman" w:cs="Times New Roman"/>
          <w:i/>
          <w:iCs/>
          <w:lang w:val="bg-BG"/>
        </w:rPr>
        <w:t>Природозащитно състояние на местообитанията         Природозащитно състояние на видовете</w:t>
      </w:r>
    </w:p>
    <w:p w14:paraId="337E3225" w14:textId="77777777" w:rsidR="0047737A" w:rsidRPr="00E15F8F" w:rsidRDefault="0047737A" w:rsidP="0047737A">
      <w:pPr>
        <w:autoSpaceDE w:val="0"/>
        <w:autoSpaceDN w:val="0"/>
        <w:adjustRightInd w:val="0"/>
        <w:spacing w:after="0" w:line="240" w:lineRule="auto"/>
        <w:rPr>
          <w:rFonts w:ascii="Times New Roman" w:hAnsi="Times New Roman" w:cs="Times New Roman"/>
          <w:sz w:val="24"/>
          <w:szCs w:val="24"/>
          <w:lang w:val="bg-BG"/>
        </w:rPr>
      </w:pPr>
      <w:r w:rsidRPr="00E15F8F">
        <w:rPr>
          <w:rFonts w:ascii="Times New Roman" w:hAnsi="Times New Roman" w:cs="Times New Roman"/>
          <w:noProof/>
          <w:szCs w:val="24"/>
          <w:lang w:val="bg-BG" w:eastAsia="bg-BG"/>
        </w:rPr>
        <w:drawing>
          <wp:anchor distT="0" distB="0" distL="114300" distR="114300" simplePos="0" relativeHeight="251668480" behindDoc="0" locked="0" layoutInCell="1" allowOverlap="1" wp14:anchorId="0232A902" wp14:editId="6C8A7635">
            <wp:simplePos x="0" y="0"/>
            <wp:positionH relativeFrom="column">
              <wp:posOffset>3067050</wp:posOffset>
            </wp:positionH>
            <wp:positionV relativeFrom="paragraph">
              <wp:posOffset>151131</wp:posOffset>
            </wp:positionV>
            <wp:extent cx="2454519" cy="1803400"/>
            <wp:effectExtent l="0" t="0" r="3175" b="6350"/>
            <wp:wrapNone/>
            <wp:docPr id="6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4016" b="4588"/>
                    <a:stretch/>
                  </pic:blipFill>
                  <pic:spPr bwMode="auto">
                    <a:xfrm>
                      <a:off x="0" y="0"/>
                      <a:ext cx="2465026" cy="18111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B569714" w14:textId="77777777" w:rsidR="0047737A" w:rsidRPr="00E15F8F" w:rsidRDefault="0047737A" w:rsidP="0047737A">
      <w:pPr>
        <w:autoSpaceDE w:val="0"/>
        <w:autoSpaceDN w:val="0"/>
        <w:adjustRightInd w:val="0"/>
        <w:spacing w:after="0" w:line="240" w:lineRule="auto"/>
        <w:rPr>
          <w:rFonts w:ascii="Times New Roman" w:hAnsi="Times New Roman" w:cs="Times New Roman"/>
          <w:sz w:val="24"/>
          <w:szCs w:val="24"/>
          <w:lang w:val="bg-BG"/>
        </w:rPr>
      </w:pPr>
      <w:r w:rsidRPr="00E15F8F">
        <w:rPr>
          <w:rFonts w:ascii="Times New Roman" w:hAnsi="Times New Roman" w:cs="Times New Roman"/>
          <w:noProof/>
          <w:szCs w:val="24"/>
          <w:lang w:val="bg-BG" w:eastAsia="bg-BG"/>
        </w:rPr>
        <w:drawing>
          <wp:inline distT="0" distB="0" distL="0" distR="0" wp14:anchorId="16E5D036" wp14:editId="097162E4">
            <wp:extent cx="2444750" cy="1805995"/>
            <wp:effectExtent l="0" t="0" r="0" b="3810"/>
            <wp:docPr id="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7" cstate="print"/>
                    <a:srcRect t="4016" b="4086"/>
                    <a:stretch/>
                  </pic:blipFill>
                  <pic:spPr bwMode="auto">
                    <a:xfrm>
                      <a:off x="0" y="0"/>
                      <a:ext cx="2453919" cy="1812768"/>
                    </a:xfrm>
                    <a:prstGeom prst="rect">
                      <a:avLst/>
                    </a:prstGeom>
                    <a:noFill/>
                    <a:ln>
                      <a:noFill/>
                    </a:ln>
                    <a:extLst>
                      <a:ext uri="{53640926-AAD7-44D8-BBD7-CCE9431645EC}">
                        <a14:shadowObscured xmlns:a14="http://schemas.microsoft.com/office/drawing/2010/main"/>
                      </a:ext>
                    </a:extLst>
                  </pic:spPr>
                </pic:pic>
              </a:graphicData>
            </a:graphic>
          </wp:inline>
        </w:drawing>
      </w:r>
    </w:p>
    <w:p w14:paraId="13EE8162" w14:textId="77777777" w:rsidR="0047737A" w:rsidRPr="00E15F8F" w:rsidRDefault="0047737A" w:rsidP="0047737A">
      <w:pPr>
        <w:spacing w:before="120"/>
        <w:rPr>
          <w:rFonts w:ascii="Times New Roman" w:eastAsia="+mn-ea" w:hAnsi="Times New Roman" w:cs="Times New Roman"/>
          <w:i/>
          <w:sz w:val="20"/>
          <w:szCs w:val="20"/>
          <w:lang w:val="bg-BG"/>
        </w:rPr>
      </w:pPr>
      <w:r w:rsidRPr="00E15F8F">
        <w:rPr>
          <w:rFonts w:ascii="Times New Roman" w:eastAsia="+mn-ea" w:hAnsi="Times New Roman" w:cs="Times New Roman"/>
          <w:color w:val="00B050"/>
          <w:szCs w:val="24"/>
          <w:lang w:val="bg-BG"/>
        </w:rPr>
        <w:lastRenderedPageBreak/>
        <w:t>■</w:t>
      </w:r>
      <w:r w:rsidRPr="00E15F8F">
        <w:rPr>
          <w:rFonts w:ascii="Times New Roman" w:eastAsia="+mn-ea" w:hAnsi="Times New Roman" w:cs="Times New Roman"/>
          <w:szCs w:val="24"/>
          <w:lang w:val="bg-BG"/>
        </w:rPr>
        <w:t xml:space="preserve"> </w:t>
      </w:r>
      <w:r w:rsidRPr="00E15F8F">
        <w:rPr>
          <w:rFonts w:ascii="Times New Roman" w:eastAsia="+mn-ea" w:hAnsi="Times New Roman" w:cs="Times New Roman"/>
          <w:i/>
          <w:sz w:val="20"/>
          <w:szCs w:val="20"/>
          <w:lang w:val="bg-BG"/>
        </w:rPr>
        <w:t>FV - благоприятно</w:t>
      </w:r>
      <w:r w:rsidRPr="00E15F8F">
        <w:rPr>
          <w:rFonts w:ascii="Times New Roman" w:eastAsia="+mn-ea" w:hAnsi="Times New Roman" w:cs="Times New Roman"/>
          <w:szCs w:val="24"/>
          <w:lang w:val="bg-BG"/>
        </w:rPr>
        <w:t xml:space="preserve"> </w:t>
      </w:r>
      <w:r w:rsidRPr="00E15F8F">
        <w:rPr>
          <w:rFonts w:ascii="Times New Roman" w:eastAsia="+mn-ea" w:hAnsi="Times New Roman" w:cs="Times New Roman"/>
          <w:color w:val="FFFFFF"/>
          <w:szCs w:val="24"/>
          <w:lang w:val="bg-BG"/>
        </w:rPr>
        <w:t xml:space="preserve">    </w:t>
      </w:r>
      <w:r w:rsidRPr="00E15F8F">
        <w:rPr>
          <w:rFonts w:ascii="Times New Roman" w:eastAsia="+mn-ea" w:hAnsi="Times New Roman" w:cs="Times New Roman"/>
          <w:color w:val="F2F2F2"/>
          <w:szCs w:val="24"/>
          <w:lang w:val="bg-BG"/>
        </w:rPr>
        <w:t>■</w:t>
      </w:r>
      <w:r w:rsidRPr="00E15F8F">
        <w:rPr>
          <w:rFonts w:ascii="Times New Roman" w:eastAsia="+mn-ea" w:hAnsi="Times New Roman" w:cs="Times New Roman"/>
          <w:color w:val="993366"/>
          <w:szCs w:val="24"/>
          <w:lang w:val="bg-BG"/>
        </w:rPr>
        <w:t xml:space="preserve"> </w:t>
      </w:r>
      <w:r w:rsidRPr="00E15F8F">
        <w:rPr>
          <w:rFonts w:ascii="Times New Roman" w:eastAsia="+mn-ea" w:hAnsi="Times New Roman" w:cs="Times New Roman"/>
          <w:i/>
          <w:sz w:val="20"/>
          <w:szCs w:val="20"/>
          <w:lang w:val="bg-BG"/>
        </w:rPr>
        <w:t>NA - не е докладвано</w:t>
      </w:r>
      <w:r w:rsidRPr="00E15F8F">
        <w:rPr>
          <w:rFonts w:ascii="Times New Roman" w:eastAsia="+mn-ea" w:hAnsi="Times New Roman" w:cs="Times New Roman"/>
          <w:szCs w:val="24"/>
          <w:lang w:val="bg-BG"/>
        </w:rPr>
        <w:t xml:space="preserve"> </w:t>
      </w:r>
      <w:r w:rsidRPr="00E15F8F">
        <w:rPr>
          <w:rFonts w:ascii="Times New Roman" w:eastAsia="+mn-ea" w:hAnsi="Times New Roman" w:cs="Times New Roman"/>
          <w:color w:val="FFFFFF"/>
          <w:szCs w:val="24"/>
          <w:lang w:val="bg-BG"/>
        </w:rPr>
        <w:t xml:space="preserve">    </w:t>
      </w:r>
      <w:r w:rsidRPr="00E15F8F">
        <w:rPr>
          <w:rFonts w:ascii="Times New Roman" w:eastAsia="+mn-ea" w:hAnsi="Times New Roman" w:cs="Times New Roman"/>
          <w:color w:val="BFBFBF"/>
          <w:szCs w:val="24"/>
          <w:lang w:val="bg-BG"/>
        </w:rPr>
        <w:t>■</w:t>
      </w:r>
      <w:r w:rsidRPr="00E15F8F">
        <w:rPr>
          <w:rFonts w:ascii="Times New Roman" w:eastAsia="+mn-ea" w:hAnsi="Times New Roman" w:cs="Times New Roman"/>
          <w:color w:val="993366"/>
          <w:szCs w:val="24"/>
          <w:lang w:val="bg-BG"/>
        </w:rPr>
        <w:t xml:space="preserve"> </w:t>
      </w:r>
      <w:r w:rsidRPr="00E15F8F">
        <w:rPr>
          <w:rFonts w:ascii="Times New Roman" w:eastAsia="+mn-ea" w:hAnsi="Times New Roman" w:cs="Times New Roman"/>
          <w:i/>
          <w:sz w:val="20"/>
          <w:szCs w:val="20"/>
          <w:lang w:val="bg-BG"/>
        </w:rPr>
        <w:t xml:space="preserve">XX - неясно    </w:t>
      </w:r>
      <w:r w:rsidRPr="00E15F8F">
        <w:rPr>
          <w:rFonts w:ascii="Times New Roman" w:eastAsia="+mn-ea" w:hAnsi="Times New Roman" w:cs="Times New Roman"/>
          <w:color w:val="F79646"/>
          <w:szCs w:val="24"/>
          <w:lang w:val="bg-BG"/>
        </w:rPr>
        <w:t>■</w:t>
      </w:r>
      <w:r w:rsidRPr="00E15F8F">
        <w:rPr>
          <w:rFonts w:ascii="Times New Roman" w:eastAsia="+mn-ea" w:hAnsi="Times New Roman" w:cs="Times New Roman"/>
          <w:color w:val="993366"/>
          <w:szCs w:val="24"/>
          <w:lang w:val="bg-BG"/>
        </w:rPr>
        <w:t xml:space="preserve"> </w:t>
      </w:r>
      <w:r w:rsidRPr="00E15F8F">
        <w:rPr>
          <w:rFonts w:ascii="Times New Roman" w:eastAsia="+mn-ea" w:hAnsi="Times New Roman" w:cs="Times New Roman"/>
          <w:i/>
          <w:sz w:val="20"/>
          <w:szCs w:val="20"/>
          <w:lang w:val="bg-BG"/>
        </w:rPr>
        <w:t>U1 - неблагоприятно-недостатъчно</w:t>
      </w:r>
      <w:r w:rsidRPr="00E15F8F">
        <w:rPr>
          <w:rFonts w:ascii="Times New Roman" w:eastAsia="+mn-ea" w:hAnsi="Times New Roman" w:cs="Times New Roman"/>
          <w:szCs w:val="24"/>
          <w:lang w:val="bg-BG"/>
        </w:rPr>
        <w:t xml:space="preserve"> </w:t>
      </w:r>
      <w:r w:rsidRPr="00E15F8F">
        <w:rPr>
          <w:rFonts w:ascii="Times New Roman" w:eastAsia="+mn-ea" w:hAnsi="Times New Roman" w:cs="Times New Roman"/>
          <w:color w:val="FFFFFF"/>
          <w:szCs w:val="24"/>
          <w:lang w:val="bg-BG"/>
        </w:rPr>
        <w:t xml:space="preserve">    </w:t>
      </w:r>
      <w:r w:rsidRPr="00E15F8F">
        <w:rPr>
          <w:rFonts w:ascii="Times New Roman" w:eastAsia="+mn-ea" w:hAnsi="Times New Roman" w:cs="Times New Roman"/>
          <w:color w:val="FF0000"/>
          <w:szCs w:val="24"/>
          <w:lang w:val="bg-BG"/>
        </w:rPr>
        <w:t>■</w:t>
      </w:r>
      <w:r w:rsidRPr="00E15F8F">
        <w:rPr>
          <w:rFonts w:ascii="Times New Roman" w:eastAsia="+mn-ea" w:hAnsi="Times New Roman" w:cs="Times New Roman"/>
          <w:color w:val="993366"/>
          <w:szCs w:val="24"/>
          <w:lang w:val="bg-BG"/>
        </w:rPr>
        <w:t xml:space="preserve"> </w:t>
      </w:r>
      <w:r w:rsidRPr="00E15F8F">
        <w:rPr>
          <w:rFonts w:ascii="Times New Roman" w:eastAsia="+mn-ea" w:hAnsi="Times New Roman" w:cs="Times New Roman"/>
          <w:i/>
          <w:sz w:val="20"/>
          <w:szCs w:val="20"/>
          <w:lang w:val="bg-BG"/>
        </w:rPr>
        <w:t>U2 - неблагоприятно-лошо</w:t>
      </w:r>
    </w:p>
    <w:p w14:paraId="3FE63909" w14:textId="77777777" w:rsidR="0047737A" w:rsidRPr="00E15F8F" w:rsidRDefault="0047737A" w:rsidP="0047737A">
      <w:pPr>
        <w:pStyle w:val="FootnoteText"/>
        <w:rPr>
          <w:rFonts w:ascii="Times New Roman" w:hAnsi="Times New Roman" w:cs="Times New Roman"/>
          <w:i/>
          <w:sz w:val="22"/>
          <w:szCs w:val="22"/>
          <w:lang w:val="bg-BG"/>
        </w:rPr>
      </w:pPr>
      <w:r w:rsidRPr="00E15F8F">
        <w:rPr>
          <w:rFonts w:ascii="Times New Roman" w:eastAsia="+mn-ea" w:hAnsi="Times New Roman" w:cs="Times New Roman"/>
          <w:i/>
          <w:sz w:val="22"/>
          <w:szCs w:val="22"/>
          <w:lang w:val="bg-BG"/>
        </w:rPr>
        <w:t xml:space="preserve">Източник: </w:t>
      </w:r>
      <w:r w:rsidRPr="00E15F8F">
        <w:rPr>
          <w:rFonts w:ascii="Times New Roman" w:hAnsi="Times New Roman" w:cs="Times New Roman"/>
          <w:i/>
          <w:sz w:val="22"/>
          <w:szCs w:val="22"/>
          <w:lang w:val="bg-BG"/>
        </w:rPr>
        <w:t>Проект MetEcoSMap, 2017 г.</w:t>
      </w:r>
    </w:p>
    <w:p w14:paraId="33FCBEDB" w14:textId="0C82A990" w:rsidR="0047737A" w:rsidRPr="00456BFA" w:rsidRDefault="0047737A" w:rsidP="0047737A">
      <w:pPr>
        <w:spacing w:line="276" w:lineRule="auto"/>
        <w:jc w:val="both"/>
        <w:rPr>
          <w:rFonts w:ascii="Times New Roman" w:hAnsi="Times New Roman" w:cs="Times New Roman"/>
          <w:lang w:val="bg-BG"/>
        </w:rPr>
      </w:pPr>
      <w:r w:rsidRPr="00456BFA">
        <w:rPr>
          <w:rFonts w:ascii="Times New Roman" w:hAnsi="Times New Roman" w:cs="Times New Roman"/>
          <w:lang w:val="bg-BG"/>
        </w:rPr>
        <w:t xml:space="preserve">Както повърхностните екосистеми, така и влажните зони са подложени на значителен натиск. Само за периода 2000 – 2018 г. ограничената територия на влажните зони в европейски мащаб е намаляла с приблизително 1%. В резултат например капацитетът на заливните долини да осигуряват важни екосистемни услуги, свързани с превенцията на наводненията и функционирането на речните екосистеми е силно нарушен. Консервационният статус на редица сладководни местообитания и видове остава неблагоприятен или лош. Натискът върху сладководните местообитания е обичайно е идентичен с този на повърхностните водни тела – водовземане, хидроморфологични промени, замърсявания. </w:t>
      </w:r>
    </w:p>
    <w:p w14:paraId="1E6E3388" w14:textId="77777777" w:rsidR="000532D9" w:rsidRPr="00456BFA" w:rsidRDefault="000532D9" w:rsidP="006F34D7">
      <w:pPr>
        <w:pStyle w:val="Heading2"/>
      </w:pPr>
      <w:bookmarkStart w:id="45" w:name="_Toc72916679"/>
      <w:r w:rsidRPr="00456BFA">
        <w:t>Перспективи и препоръки за постигане на целите</w:t>
      </w:r>
      <w:bookmarkEnd w:id="45"/>
      <w:r w:rsidRPr="00456BFA">
        <w:t xml:space="preserve"> </w:t>
      </w:r>
    </w:p>
    <w:p w14:paraId="56F57B2E" w14:textId="77777777" w:rsidR="004E05D3" w:rsidRPr="00456BFA" w:rsidRDefault="004E05D3" w:rsidP="004E05D3">
      <w:pPr>
        <w:jc w:val="both"/>
        <w:rPr>
          <w:rFonts w:ascii="Times New Roman" w:hAnsi="Times New Roman" w:cs="Times New Roman"/>
          <w:lang w:val="bg-BG"/>
        </w:rPr>
      </w:pPr>
      <w:r w:rsidRPr="00456BFA">
        <w:rPr>
          <w:rFonts w:ascii="Times New Roman" w:hAnsi="Times New Roman" w:cs="Times New Roman"/>
          <w:lang w:val="bg-BG"/>
        </w:rPr>
        <w:t>Последният доклад на Европейската агенция по околна среда „Състояние и преглед на околната среда“, 2020 г. обобщава основните предизвикателства пред политиките за опазване и управление на водите</w:t>
      </w:r>
      <w:r w:rsidRPr="00456BFA">
        <w:rPr>
          <w:rStyle w:val="FootnoteReference"/>
          <w:rFonts w:ascii="Times New Roman" w:hAnsi="Times New Roman" w:cs="Times New Roman"/>
          <w:lang w:val="bg-BG"/>
        </w:rPr>
        <w:footnoteReference w:id="55"/>
      </w:r>
      <w:r w:rsidRPr="00456BFA">
        <w:rPr>
          <w:rFonts w:ascii="Times New Roman" w:hAnsi="Times New Roman" w:cs="Times New Roman"/>
          <w:lang w:val="bg-BG"/>
        </w:rPr>
        <w:t>:</w:t>
      </w:r>
    </w:p>
    <w:p w14:paraId="2283787E" w14:textId="77777777" w:rsidR="004E05D3" w:rsidRPr="00456BFA" w:rsidRDefault="004E05D3" w:rsidP="004E05D3">
      <w:pPr>
        <w:pStyle w:val="ListParagraph"/>
        <w:numPr>
          <w:ilvl w:val="0"/>
          <w:numId w:val="2"/>
        </w:numPr>
        <w:jc w:val="both"/>
        <w:rPr>
          <w:rFonts w:ascii="Times New Roman" w:hAnsi="Times New Roman" w:cs="Times New Roman"/>
          <w:lang w:val="bg-BG"/>
        </w:rPr>
      </w:pPr>
      <w:r w:rsidRPr="00456BFA">
        <w:rPr>
          <w:rFonts w:ascii="Times New Roman" w:hAnsi="Times New Roman" w:cs="Times New Roman"/>
          <w:lang w:val="bg-BG"/>
        </w:rPr>
        <w:t>Едва 40% от повърхностните водни тела в Европа постигат добро екологично състояние, а състоянието на влажните зони непрекъснато се влошава. Въпреки, че се предприемат целенасочени действия за ограничаване на замърсяването от точкови източници, ограничаване на съдържанието на азот и водоползването, водните тела продължават да бъдат под непрекъснато негативно въздействие на дифузно замърсяване, хидроморфологичен натиск и водоползване;</w:t>
      </w:r>
    </w:p>
    <w:p w14:paraId="28B23904" w14:textId="77777777" w:rsidR="004E05D3" w:rsidRPr="00456BFA" w:rsidRDefault="004E05D3" w:rsidP="004E05D3">
      <w:pPr>
        <w:pStyle w:val="ListParagraph"/>
        <w:numPr>
          <w:ilvl w:val="0"/>
          <w:numId w:val="2"/>
        </w:numPr>
        <w:jc w:val="both"/>
        <w:rPr>
          <w:rFonts w:ascii="Times New Roman" w:hAnsi="Times New Roman" w:cs="Times New Roman"/>
          <w:lang w:val="bg-BG"/>
        </w:rPr>
      </w:pPr>
      <w:r w:rsidRPr="00456BFA">
        <w:rPr>
          <w:rFonts w:ascii="Times New Roman" w:hAnsi="Times New Roman" w:cs="Times New Roman"/>
          <w:lang w:val="bg-BG"/>
        </w:rPr>
        <w:t>Дифузното замърсяване и водоползването в резултат на интензивното развитие на секторите селско стопанство и енергетика, в комбинация с климатичните промени водят до ограничаване на водните ресурси в количествено отношение;</w:t>
      </w:r>
    </w:p>
    <w:p w14:paraId="58420D9E" w14:textId="77777777" w:rsidR="004E05D3" w:rsidRPr="00456BFA" w:rsidRDefault="004E05D3" w:rsidP="004E05D3">
      <w:pPr>
        <w:pStyle w:val="ListParagraph"/>
        <w:numPr>
          <w:ilvl w:val="0"/>
          <w:numId w:val="2"/>
        </w:numPr>
        <w:jc w:val="both"/>
        <w:rPr>
          <w:rFonts w:ascii="Times New Roman" w:hAnsi="Times New Roman" w:cs="Times New Roman"/>
          <w:lang w:val="bg-BG"/>
        </w:rPr>
      </w:pPr>
      <w:r w:rsidRPr="00456BFA">
        <w:rPr>
          <w:rFonts w:ascii="Times New Roman" w:hAnsi="Times New Roman" w:cs="Times New Roman"/>
          <w:lang w:val="bg-BG"/>
        </w:rPr>
        <w:t>Подобряване на изпълнението на целите на Европейската политика в областта на водите и планирането и изпълнението на адекватни на целите мерки е критично за подобряване на баланса между потребностите, свързани със социално – икономическото развитие и подобряването на количествените и качествените характеристики на водните тела;</w:t>
      </w:r>
    </w:p>
    <w:p w14:paraId="791144F4" w14:textId="77777777" w:rsidR="004E05D3" w:rsidRPr="00456BFA" w:rsidRDefault="004E05D3" w:rsidP="004E05D3">
      <w:pPr>
        <w:pStyle w:val="ListParagraph"/>
        <w:numPr>
          <w:ilvl w:val="0"/>
          <w:numId w:val="2"/>
        </w:numPr>
        <w:jc w:val="both"/>
        <w:rPr>
          <w:rFonts w:ascii="Times New Roman" w:hAnsi="Times New Roman" w:cs="Times New Roman"/>
          <w:lang w:val="bg-BG"/>
        </w:rPr>
      </w:pPr>
      <w:r w:rsidRPr="00456BFA">
        <w:rPr>
          <w:rFonts w:ascii="Times New Roman" w:hAnsi="Times New Roman" w:cs="Times New Roman"/>
          <w:lang w:val="bg-BG"/>
        </w:rPr>
        <w:t>Ефективните решения за устойчиво управление на водите са приложими на ниво речни басейни чрез екосистемен подход, който отчита многообразието от цели за опазване на околната среда и ползите за обществото и икономиката.</w:t>
      </w:r>
    </w:p>
    <w:p w14:paraId="268F4DB0" w14:textId="77777777" w:rsidR="004E05D3" w:rsidRPr="00456BFA" w:rsidRDefault="004E05D3" w:rsidP="004E05D3">
      <w:pPr>
        <w:spacing w:line="276" w:lineRule="auto"/>
        <w:jc w:val="both"/>
        <w:rPr>
          <w:rFonts w:ascii="Times New Roman" w:hAnsi="Times New Roman" w:cs="Times New Roman"/>
          <w:lang w:val="bg-BG"/>
        </w:rPr>
      </w:pPr>
      <w:r w:rsidRPr="00456BFA">
        <w:rPr>
          <w:rFonts w:ascii="Times New Roman" w:hAnsi="Times New Roman" w:cs="Times New Roman"/>
          <w:lang w:val="bg-BG"/>
        </w:rPr>
        <w:t>Тенденциите на европейско ниво по отношение на напредъка по постигане на целите за опазване на водите са обобщени по-долу</w:t>
      </w:r>
      <w:r w:rsidRPr="00456BFA">
        <w:rPr>
          <w:rStyle w:val="FootnoteReference"/>
          <w:rFonts w:ascii="Times New Roman" w:hAnsi="Times New Roman" w:cs="Times New Roman"/>
          <w:lang w:val="bg-BG"/>
        </w:rPr>
        <w:footnoteReference w:id="56"/>
      </w:r>
      <w:r w:rsidRPr="00456BFA">
        <w:rPr>
          <w:rFonts w:ascii="Times New Roman" w:hAnsi="Times New Roman" w:cs="Times New Roman"/>
          <w:lang w:val="bg-BG"/>
        </w:rPr>
        <w:t>:</w:t>
      </w:r>
    </w:p>
    <w:p w14:paraId="62A414F4" w14:textId="67F585B5" w:rsidR="004E05D3" w:rsidRPr="00E050A8" w:rsidRDefault="00E050A8" w:rsidP="00E050A8">
      <w:pPr>
        <w:pStyle w:val="Caption"/>
        <w:jc w:val="both"/>
        <w:rPr>
          <w:rFonts w:eastAsiaTheme="minorHAnsi" w:cs="Times New Roman"/>
          <w:b w:val="0"/>
          <w:bCs w:val="0"/>
          <w:i/>
          <w:sz w:val="22"/>
          <w:szCs w:val="22"/>
          <w:lang w:eastAsia="en-US"/>
        </w:rPr>
      </w:pPr>
      <w:bookmarkStart w:id="46" w:name="_Toc72917665"/>
      <w:r w:rsidRPr="00E050A8">
        <w:rPr>
          <w:rFonts w:eastAsiaTheme="minorHAnsi" w:cs="Times New Roman"/>
          <w:b w:val="0"/>
          <w:bCs w:val="0"/>
          <w:i/>
          <w:sz w:val="22"/>
          <w:szCs w:val="22"/>
          <w:lang w:eastAsia="en-US"/>
        </w:rPr>
        <w:t xml:space="preserve">Фигура </w:t>
      </w:r>
      <w:r w:rsidRPr="00E050A8">
        <w:rPr>
          <w:rFonts w:eastAsiaTheme="minorHAnsi" w:cs="Times New Roman"/>
          <w:b w:val="0"/>
          <w:bCs w:val="0"/>
          <w:i/>
          <w:sz w:val="22"/>
          <w:szCs w:val="22"/>
          <w:lang w:eastAsia="en-US"/>
        </w:rPr>
        <w:fldChar w:fldCharType="begin"/>
      </w:r>
      <w:r w:rsidRPr="00E050A8">
        <w:rPr>
          <w:rFonts w:eastAsiaTheme="minorHAnsi" w:cs="Times New Roman"/>
          <w:b w:val="0"/>
          <w:bCs w:val="0"/>
          <w:i/>
          <w:sz w:val="22"/>
          <w:szCs w:val="22"/>
          <w:lang w:eastAsia="en-US"/>
        </w:rPr>
        <w:instrText xml:space="preserve"> SEQ Фигура \* ARABIC </w:instrText>
      </w:r>
      <w:r w:rsidRPr="00E050A8">
        <w:rPr>
          <w:rFonts w:eastAsiaTheme="minorHAnsi" w:cs="Times New Roman"/>
          <w:b w:val="0"/>
          <w:bCs w:val="0"/>
          <w:i/>
          <w:sz w:val="22"/>
          <w:szCs w:val="22"/>
          <w:lang w:eastAsia="en-US"/>
        </w:rPr>
        <w:fldChar w:fldCharType="separate"/>
      </w:r>
      <w:r>
        <w:rPr>
          <w:rFonts w:eastAsiaTheme="minorHAnsi" w:cs="Times New Roman"/>
          <w:b w:val="0"/>
          <w:bCs w:val="0"/>
          <w:i/>
          <w:noProof/>
          <w:sz w:val="22"/>
          <w:szCs w:val="22"/>
          <w:lang w:eastAsia="en-US"/>
        </w:rPr>
        <w:t>13</w:t>
      </w:r>
      <w:r w:rsidRPr="00E050A8">
        <w:rPr>
          <w:rFonts w:eastAsiaTheme="minorHAnsi" w:cs="Times New Roman"/>
          <w:b w:val="0"/>
          <w:bCs w:val="0"/>
          <w:i/>
          <w:sz w:val="22"/>
          <w:szCs w:val="22"/>
          <w:lang w:eastAsia="en-US"/>
        </w:rPr>
        <w:fldChar w:fldCharType="end"/>
      </w:r>
      <w:r w:rsidR="004E05D3" w:rsidRPr="00E050A8">
        <w:rPr>
          <w:rFonts w:eastAsiaTheme="minorHAnsi" w:cs="Times New Roman"/>
          <w:b w:val="0"/>
          <w:bCs w:val="0"/>
          <w:i/>
          <w:sz w:val="22"/>
          <w:szCs w:val="22"/>
          <w:lang w:eastAsia="en-US"/>
        </w:rPr>
        <w:t xml:space="preserve"> Тенденции и перспективи за сектор води, ЕС</w:t>
      </w:r>
      <w:bookmarkEnd w:id="46"/>
    </w:p>
    <w:tbl>
      <w:tblPr>
        <w:tblStyle w:val="TableGrid"/>
        <w:tblW w:w="9535" w:type="dxa"/>
        <w:tblLook w:val="04A0" w:firstRow="1" w:lastRow="0" w:firstColumn="1" w:lastColumn="0" w:noHBand="0" w:noVBand="1"/>
      </w:tblPr>
      <w:tblGrid>
        <w:gridCol w:w="3116"/>
        <w:gridCol w:w="3117"/>
        <w:gridCol w:w="3302"/>
      </w:tblGrid>
      <w:tr w:rsidR="004E05D3" w:rsidRPr="00E15F8F" w14:paraId="186E00CA" w14:textId="77777777" w:rsidTr="00BB7E8B">
        <w:trPr>
          <w:trHeight w:val="144"/>
        </w:trPr>
        <w:tc>
          <w:tcPr>
            <w:tcW w:w="3116" w:type="dxa"/>
            <w:vMerge w:val="restart"/>
          </w:tcPr>
          <w:p w14:paraId="4BC4C170" w14:textId="77777777" w:rsidR="004E05D3" w:rsidRPr="00E15F8F" w:rsidRDefault="004E05D3" w:rsidP="00BB7E8B">
            <w:pPr>
              <w:spacing w:before="120" w:after="12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Област</w:t>
            </w:r>
          </w:p>
        </w:tc>
        <w:tc>
          <w:tcPr>
            <w:tcW w:w="6419" w:type="dxa"/>
            <w:gridSpan w:val="2"/>
          </w:tcPr>
          <w:p w14:paraId="563DB5A3" w14:textId="77777777" w:rsidR="004E05D3" w:rsidRPr="00E15F8F" w:rsidRDefault="004E05D3" w:rsidP="00BB7E8B">
            <w:pPr>
              <w:spacing w:before="120" w:after="12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Настоящи тенденции и перспективи</w:t>
            </w:r>
          </w:p>
        </w:tc>
      </w:tr>
      <w:tr w:rsidR="004E05D3" w:rsidRPr="00E15F8F" w14:paraId="2D34E956" w14:textId="77777777" w:rsidTr="00BB7E8B">
        <w:trPr>
          <w:trHeight w:val="144"/>
        </w:trPr>
        <w:tc>
          <w:tcPr>
            <w:tcW w:w="3116" w:type="dxa"/>
            <w:vMerge/>
          </w:tcPr>
          <w:p w14:paraId="4F20FF4D" w14:textId="77777777" w:rsidR="004E05D3" w:rsidRPr="00E15F8F" w:rsidRDefault="004E05D3" w:rsidP="00BB7E8B">
            <w:pPr>
              <w:spacing w:before="120" w:after="120" w:line="264" w:lineRule="auto"/>
              <w:jc w:val="both"/>
              <w:rPr>
                <w:rFonts w:ascii="Times New Roman" w:hAnsi="Times New Roman" w:cs="Times New Roman"/>
                <w:sz w:val="20"/>
                <w:szCs w:val="20"/>
                <w:lang w:val="bg-BG"/>
              </w:rPr>
            </w:pPr>
          </w:p>
        </w:tc>
        <w:tc>
          <w:tcPr>
            <w:tcW w:w="3117" w:type="dxa"/>
          </w:tcPr>
          <w:p w14:paraId="3FEF1679" w14:textId="77777777" w:rsidR="004E05D3" w:rsidRPr="00E15F8F" w:rsidRDefault="004E05D3" w:rsidP="00BB7E8B">
            <w:pPr>
              <w:spacing w:before="120" w:after="12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Тенденции през последните 10 – 15 години</w:t>
            </w:r>
          </w:p>
        </w:tc>
        <w:tc>
          <w:tcPr>
            <w:tcW w:w="3302" w:type="dxa"/>
          </w:tcPr>
          <w:p w14:paraId="523DF034" w14:textId="77777777" w:rsidR="004E05D3" w:rsidRPr="00E15F8F" w:rsidRDefault="004E05D3" w:rsidP="00BB7E8B">
            <w:pPr>
              <w:spacing w:before="120" w:after="12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Перспективи до 2030 г.</w:t>
            </w:r>
          </w:p>
        </w:tc>
      </w:tr>
      <w:tr w:rsidR="004E05D3" w:rsidRPr="00E15F8F" w14:paraId="65B492D6" w14:textId="77777777" w:rsidTr="00BB7E8B">
        <w:trPr>
          <w:trHeight w:val="144"/>
        </w:trPr>
        <w:tc>
          <w:tcPr>
            <w:tcW w:w="3116" w:type="dxa"/>
          </w:tcPr>
          <w:p w14:paraId="61E8580A" w14:textId="77777777" w:rsidR="004E05D3" w:rsidRPr="00E15F8F" w:rsidRDefault="004E05D3" w:rsidP="00BB7E8B">
            <w:pPr>
              <w:spacing w:before="120" w:after="12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Натиск от замърсяване на водите</w:t>
            </w:r>
          </w:p>
        </w:tc>
        <w:tc>
          <w:tcPr>
            <w:tcW w:w="3117" w:type="dxa"/>
          </w:tcPr>
          <w:p w14:paraId="298662A2" w14:textId="77777777" w:rsidR="004E05D3" w:rsidRPr="00E15F8F" w:rsidRDefault="004E05D3" w:rsidP="00BB7E8B">
            <w:pPr>
              <w:spacing w:before="120" w:after="120" w:line="264" w:lineRule="auto"/>
              <w:ind w:left="280"/>
              <w:jc w:val="both"/>
              <w:rPr>
                <w:rFonts w:ascii="Times New Roman" w:hAnsi="Times New Roman" w:cs="Times New Roman"/>
                <w:sz w:val="17"/>
                <w:szCs w:val="17"/>
                <w:lang w:val="bg-BG"/>
              </w:rPr>
            </w:pPr>
            <w:r w:rsidRPr="00E15F8F">
              <w:rPr>
                <w:rFonts w:ascii="Times New Roman" w:hAnsi="Times New Roman" w:cs="Times New Roman"/>
                <w:noProof/>
                <w:lang w:val="bg-BG" w:eastAsia="bg-BG"/>
              </w:rPr>
              <mc:AlternateContent>
                <mc:Choice Requires="wps">
                  <w:drawing>
                    <wp:anchor distT="0" distB="0" distL="114300" distR="114300" simplePos="0" relativeHeight="251675648" behindDoc="0" locked="0" layoutInCell="1" allowOverlap="1" wp14:anchorId="54253A8D" wp14:editId="33442663">
                      <wp:simplePos x="0" y="0"/>
                      <wp:positionH relativeFrom="column">
                        <wp:posOffset>-80010</wp:posOffset>
                      </wp:positionH>
                      <wp:positionV relativeFrom="paragraph">
                        <wp:posOffset>67945</wp:posOffset>
                      </wp:positionV>
                      <wp:extent cx="310515" cy="159385"/>
                      <wp:effectExtent l="0" t="635" r="12700" b="12700"/>
                      <wp:wrapNone/>
                      <wp:docPr id="36" name="Rectangle 36"/>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C00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D8F26B" id="Rectangle 36" o:spid="_x0000_s1026" style="position:absolute;margin-left:-6.3pt;margin-top:5.35pt;width:24.45pt;height:12.55pt;rotation:9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" fillcolor="#c00000" strokecolor="#ffd966 [1943]" strokeweight="1pt"/>
                  </w:pict>
                </mc:Fallback>
              </mc:AlternateContent>
            </w:r>
            <w:r w:rsidRPr="00E15F8F">
              <w:rPr>
                <w:rFonts w:ascii="Times New Roman" w:hAnsi="Times New Roman" w:cs="Times New Roman"/>
                <w:noProof/>
                <w:lang w:val="bg-BG" w:eastAsia="bg-BG"/>
              </w:rPr>
              <mc:AlternateContent>
                <mc:Choice Requires="wps">
                  <w:drawing>
                    <wp:anchor distT="0" distB="0" distL="114300" distR="114300" simplePos="0" relativeHeight="251672576" behindDoc="0" locked="0" layoutInCell="1" allowOverlap="1" wp14:anchorId="588184C5" wp14:editId="7BCF6D7A">
                      <wp:simplePos x="0" y="0"/>
                      <wp:positionH relativeFrom="column">
                        <wp:posOffset>1886585</wp:posOffset>
                      </wp:positionH>
                      <wp:positionV relativeFrom="paragraph">
                        <wp:posOffset>70485</wp:posOffset>
                      </wp:positionV>
                      <wp:extent cx="310515" cy="159385"/>
                      <wp:effectExtent l="0" t="635" r="12700" b="12700"/>
                      <wp:wrapNone/>
                      <wp:docPr id="31" name="Rectangle 31"/>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C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124752" id="Rectangle 31" o:spid="_x0000_s1026" style="position:absolute;margin-left:148.55pt;margin-top:5.55pt;width:24.45pt;height:12.55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" fillcolor="#ffc000" strokecolor="#ffd966 [1943]" strokeweight="1pt"/>
                  </w:pict>
                </mc:Fallback>
              </mc:AlternateContent>
            </w:r>
            <w:r w:rsidRPr="00E15F8F">
              <w:rPr>
                <w:rFonts w:ascii="Times New Roman" w:hAnsi="Times New Roman" w:cs="Times New Roman"/>
                <w:sz w:val="17"/>
                <w:szCs w:val="17"/>
                <w:lang w:val="bg-BG"/>
              </w:rPr>
              <w:t>Не постига напредък</w:t>
            </w:r>
          </w:p>
        </w:tc>
        <w:tc>
          <w:tcPr>
            <w:tcW w:w="3302" w:type="dxa"/>
          </w:tcPr>
          <w:p w14:paraId="2382A304" w14:textId="77777777" w:rsidR="004E05D3" w:rsidRPr="00E15F8F" w:rsidRDefault="004E05D3" w:rsidP="00BB7E8B">
            <w:pPr>
              <w:spacing w:before="120" w:after="120" w:line="264" w:lineRule="auto"/>
              <w:ind w:firstLine="310"/>
              <w:jc w:val="both"/>
              <w:rPr>
                <w:rFonts w:ascii="Times New Roman" w:hAnsi="Times New Roman" w:cs="Times New Roman"/>
                <w:sz w:val="20"/>
                <w:szCs w:val="20"/>
                <w:lang w:val="bg-BG"/>
              </w:rPr>
            </w:pPr>
            <w:r w:rsidRPr="00E15F8F">
              <w:rPr>
                <w:rFonts w:ascii="Times New Roman" w:hAnsi="Times New Roman" w:cs="Times New Roman"/>
                <w:sz w:val="17"/>
                <w:szCs w:val="17"/>
                <w:lang w:val="bg-BG"/>
              </w:rPr>
              <w:t>Смесени тенденции</w:t>
            </w:r>
          </w:p>
        </w:tc>
      </w:tr>
      <w:tr w:rsidR="004E05D3" w:rsidRPr="00E15F8F" w14:paraId="3590306F" w14:textId="77777777" w:rsidTr="00BB7E8B">
        <w:trPr>
          <w:trHeight w:val="144"/>
        </w:trPr>
        <w:tc>
          <w:tcPr>
            <w:tcW w:w="3116" w:type="dxa"/>
          </w:tcPr>
          <w:p w14:paraId="5B721965" w14:textId="77777777" w:rsidR="004E05D3" w:rsidRPr="00E15F8F" w:rsidRDefault="004E05D3" w:rsidP="00BB7E8B">
            <w:pPr>
              <w:spacing w:before="120" w:after="120" w:line="264" w:lineRule="auto"/>
              <w:jc w:val="both"/>
              <w:rPr>
                <w:rFonts w:ascii="Times New Roman" w:hAnsi="Times New Roman" w:cs="Times New Roman"/>
                <w:sz w:val="20"/>
                <w:szCs w:val="20"/>
                <w:lang w:val="bg-BG"/>
              </w:rPr>
            </w:pPr>
            <w:r w:rsidRPr="00E15F8F">
              <w:rPr>
                <w:rFonts w:ascii="Times New Roman" w:hAnsi="Times New Roman" w:cs="Times New Roman"/>
                <w:noProof/>
                <w:lang w:val="bg-BG" w:eastAsia="bg-BG"/>
              </w:rPr>
              <mc:AlternateContent>
                <mc:Choice Requires="wps">
                  <w:drawing>
                    <wp:anchor distT="0" distB="0" distL="114300" distR="114300" simplePos="0" relativeHeight="251670528" behindDoc="0" locked="0" layoutInCell="1" allowOverlap="1" wp14:anchorId="5FA7E172" wp14:editId="4680C3A1">
                      <wp:simplePos x="0" y="0"/>
                      <wp:positionH relativeFrom="column">
                        <wp:posOffset>1896745</wp:posOffset>
                      </wp:positionH>
                      <wp:positionV relativeFrom="paragraph">
                        <wp:posOffset>69215</wp:posOffset>
                      </wp:positionV>
                      <wp:extent cx="310515" cy="159385"/>
                      <wp:effectExtent l="0" t="635" r="12700" b="12700"/>
                      <wp:wrapNone/>
                      <wp:docPr id="21" name="Rectangle 21"/>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chemeClr val="accent6"/>
                              </a:solid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B5F941" id="Rectangle 21" o:spid="_x0000_s1026" style="position:absolute;margin-left:149.35pt;margin-top:5.45pt;width:24.45pt;height:12.5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" fillcolor="#70ad47 [3209]" strokecolor="#a8d08d [1945]" strokeweight="1pt"/>
                  </w:pict>
                </mc:Fallback>
              </mc:AlternateContent>
            </w:r>
            <w:r w:rsidRPr="00E15F8F">
              <w:rPr>
                <w:rFonts w:ascii="Times New Roman" w:hAnsi="Times New Roman" w:cs="Times New Roman"/>
                <w:sz w:val="20"/>
                <w:szCs w:val="20"/>
                <w:lang w:val="bg-BG"/>
              </w:rPr>
              <w:t>Натиск от водовземане</w:t>
            </w:r>
          </w:p>
        </w:tc>
        <w:tc>
          <w:tcPr>
            <w:tcW w:w="3117" w:type="dxa"/>
          </w:tcPr>
          <w:p w14:paraId="434528FC" w14:textId="77777777" w:rsidR="004E05D3" w:rsidRPr="00E15F8F" w:rsidRDefault="004E05D3" w:rsidP="00BB7E8B">
            <w:pPr>
              <w:spacing w:before="120" w:after="120" w:line="264" w:lineRule="auto"/>
              <w:ind w:left="280"/>
              <w:jc w:val="both"/>
              <w:rPr>
                <w:rFonts w:ascii="Times New Roman" w:hAnsi="Times New Roman" w:cs="Times New Roman"/>
                <w:sz w:val="17"/>
                <w:szCs w:val="17"/>
                <w:lang w:val="bg-BG"/>
              </w:rPr>
            </w:pPr>
            <w:r w:rsidRPr="00E15F8F">
              <w:rPr>
                <w:rFonts w:ascii="Times New Roman" w:hAnsi="Times New Roman" w:cs="Times New Roman"/>
                <w:noProof/>
                <w:lang w:val="bg-BG" w:eastAsia="bg-BG"/>
              </w:rPr>
              <mc:AlternateContent>
                <mc:Choice Requires="wps">
                  <w:drawing>
                    <wp:anchor distT="0" distB="0" distL="114300" distR="114300" simplePos="0" relativeHeight="251673600" behindDoc="0" locked="0" layoutInCell="1" allowOverlap="1" wp14:anchorId="54DDE2EF" wp14:editId="5F57D6CB">
                      <wp:simplePos x="0" y="0"/>
                      <wp:positionH relativeFrom="column">
                        <wp:posOffset>1886585</wp:posOffset>
                      </wp:positionH>
                      <wp:positionV relativeFrom="paragraph">
                        <wp:posOffset>81915</wp:posOffset>
                      </wp:positionV>
                      <wp:extent cx="310515" cy="159385"/>
                      <wp:effectExtent l="0" t="635" r="12700" b="12700"/>
                      <wp:wrapNone/>
                      <wp:docPr id="32" name="Rectangle 32"/>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C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22792A" id="Rectangle 32" o:spid="_x0000_s1026" style="position:absolute;margin-left:148.55pt;margin-top:6.45pt;width:24.45pt;height:12.55pt;rotation:9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" fillcolor="#ffc000" strokecolor="#ffd966 [1943]" strokeweight="1pt"/>
                  </w:pict>
                </mc:Fallback>
              </mc:AlternateContent>
            </w:r>
            <w:r w:rsidRPr="00E15F8F">
              <w:rPr>
                <w:rFonts w:ascii="Times New Roman" w:hAnsi="Times New Roman" w:cs="Times New Roman"/>
                <w:sz w:val="17"/>
                <w:szCs w:val="17"/>
                <w:lang w:val="bg-BG"/>
              </w:rPr>
              <w:t>Доминират положителни тенденции</w:t>
            </w:r>
          </w:p>
        </w:tc>
        <w:tc>
          <w:tcPr>
            <w:tcW w:w="3302" w:type="dxa"/>
          </w:tcPr>
          <w:p w14:paraId="4F421799" w14:textId="77777777" w:rsidR="004E05D3" w:rsidRPr="00E15F8F" w:rsidRDefault="004E05D3" w:rsidP="00BB7E8B">
            <w:pPr>
              <w:spacing w:before="120" w:after="120" w:line="264" w:lineRule="auto"/>
              <w:ind w:firstLine="310"/>
              <w:jc w:val="both"/>
              <w:rPr>
                <w:rFonts w:ascii="Times New Roman" w:hAnsi="Times New Roman" w:cs="Times New Roman"/>
                <w:sz w:val="20"/>
                <w:szCs w:val="20"/>
                <w:lang w:val="bg-BG"/>
              </w:rPr>
            </w:pPr>
            <w:r w:rsidRPr="00E15F8F">
              <w:rPr>
                <w:rFonts w:ascii="Times New Roman" w:hAnsi="Times New Roman" w:cs="Times New Roman"/>
                <w:sz w:val="17"/>
                <w:szCs w:val="17"/>
                <w:lang w:val="bg-BG"/>
              </w:rPr>
              <w:t>Смесени тенденции</w:t>
            </w:r>
          </w:p>
        </w:tc>
      </w:tr>
      <w:tr w:rsidR="004E05D3" w:rsidRPr="00E15F8F" w14:paraId="53D72EDF" w14:textId="77777777" w:rsidTr="00BB7E8B">
        <w:trPr>
          <w:trHeight w:val="144"/>
        </w:trPr>
        <w:tc>
          <w:tcPr>
            <w:tcW w:w="3116" w:type="dxa"/>
          </w:tcPr>
          <w:p w14:paraId="779EE2B8" w14:textId="77777777" w:rsidR="004E05D3" w:rsidRPr="00E15F8F" w:rsidRDefault="004E05D3" w:rsidP="00BB7E8B">
            <w:pPr>
              <w:spacing w:before="120" w:after="120" w:line="264" w:lineRule="auto"/>
              <w:jc w:val="both"/>
              <w:rPr>
                <w:rFonts w:ascii="Times New Roman" w:hAnsi="Times New Roman" w:cs="Times New Roman"/>
                <w:sz w:val="20"/>
                <w:szCs w:val="20"/>
                <w:lang w:val="bg-BG"/>
              </w:rPr>
            </w:pPr>
            <w:r w:rsidRPr="00E15F8F">
              <w:rPr>
                <w:rFonts w:ascii="Times New Roman" w:hAnsi="Times New Roman" w:cs="Times New Roman"/>
                <w:noProof/>
                <w:lang w:val="bg-BG" w:eastAsia="bg-BG"/>
              </w:rPr>
              <mc:AlternateContent>
                <mc:Choice Requires="wps">
                  <w:drawing>
                    <wp:anchor distT="0" distB="0" distL="114300" distR="114300" simplePos="0" relativeHeight="251671552" behindDoc="0" locked="0" layoutInCell="1" allowOverlap="1" wp14:anchorId="47D82022" wp14:editId="495591E4">
                      <wp:simplePos x="0" y="0"/>
                      <wp:positionH relativeFrom="column">
                        <wp:posOffset>1897380</wp:posOffset>
                      </wp:positionH>
                      <wp:positionV relativeFrom="paragraph">
                        <wp:posOffset>73025</wp:posOffset>
                      </wp:positionV>
                      <wp:extent cx="310515" cy="159385"/>
                      <wp:effectExtent l="0" t="635" r="12700" b="12700"/>
                      <wp:wrapNone/>
                      <wp:docPr id="33" name="Rectangle 33"/>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C00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DCDE0A" id="Rectangle 33" o:spid="_x0000_s1026" style="position:absolute;margin-left:149.4pt;margin-top:5.75pt;width:24.45pt;height:1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" fillcolor="#c00000" strokecolor="#ffd966 [1943]" strokeweight="1pt"/>
                  </w:pict>
                </mc:Fallback>
              </mc:AlternateContent>
            </w:r>
            <w:r w:rsidRPr="00E15F8F">
              <w:rPr>
                <w:rFonts w:ascii="Times New Roman" w:hAnsi="Times New Roman" w:cs="Times New Roman"/>
                <w:sz w:val="20"/>
                <w:szCs w:val="20"/>
                <w:lang w:val="bg-BG"/>
              </w:rPr>
              <w:t>Хидроморфологичен натиск</w:t>
            </w:r>
          </w:p>
        </w:tc>
        <w:tc>
          <w:tcPr>
            <w:tcW w:w="3117" w:type="dxa"/>
          </w:tcPr>
          <w:p w14:paraId="256CA93A" w14:textId="77777777" w:rsidR="004E05D3" w:rsidRPr="00E15F8F" w:rsidRDefault="004E05D3" w:rsidP="00BB7E8B">
            <w:pPr>
              <w:spacing w:before="120" w:after="120" w:line="264" w:lineRule="auto"/>
              <w:ind w:left="280"/>
              <w:jc w:val="both"/>
              <w:rPr>
                <w:rFonts w:ascii="Times New Roman" w:hAnsi="Times New Roman" w:cs="Times New Roman"/>
                <w:sz w:val="17"/>
                <w:szCs w:val="17"/>
                <w:lang w:val="bg-BG"/>
              </w:rPr>
            </w:pPr>
            <w:r w:rsidRPr="00E15F8F">
              <w:rPr>
                <w:rFonts w:ascii="Times New Roman" w:hAnsi="Times New Roman" w:cs="Times New Roman"/>
                <w:noProof/>
                <w:lang w:val="bg-BG" w:eastAsia="bg-BG"/>
              </w:rPr>
              <mc:AlternateContent>
                <mc:Choice Requires="wps">
                  <w:drawing>
                    <wp:anchor distT="0" distB="0" distL="114300" distR="114300" simplePos="0" relativeHeight="251674624" behindDoc="0" locked="0" layoutInCell="1" allowOverlap="1" wp14:anchorId="72CAB3FD" wp14:editId="6567DAC8">
                      <wp:simplePos x="0" y="0"/>
                      <wp:positionH relativeFrom="column">
                        <wp:posOffset>1886585</wp:posOffset>
                      </wp:positionH>
                      <wp:positionV relativeFrom="paragraph">
                        <wp:posOffset>86995</wp:posOffset>
                      </wp:positionV>
                      <wp:extent cx="310515" cy="159385"/>
                      <wp:effectExtent l="0" t="635" r="12700" b="12700"/>
                      <wp:wrapNone/>
                      <wp:docPr id="26" name="Rectangle 26"/>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C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D9BD1E" id="Rectangle 26" o:spid="_x0000_s1026" style="position:absolute;margin-left:148.55pt;margin-top:6.85pt;width:24.45pt;height:12.55pt;rotation:9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" fillcolor="#ffc000" strokecolor="#ffd966 [1943]" strokeweight="1pt"/>
                  </w:pict>
                </mc:Fallback>
              </mc:AlternateContent>
            </w:r>
            <w:r w:rsidRPr="00E15F8F">
              <w:rPr>
                <w:rFonts w:ascii="Times New Roman" w:hAnsi="Times New Roman" w:cs="Times New Roman"/>
                <w:sz w:val="17"/>
                <w:szCs w:val="17"/>
                <w:lang w:val="bg-BG"/>
              </w:rPr>
              <w:t>Не постига напредък</w:t>
            </w:r>
          </w:p>
        </w:tc>
        <w:tc>
          <w:tcPr>
            <w:tcW w:w="3302" w:type="dxa"/>
          </w:tcPr>
          <w:p w14:paraId="54A4DDA0" w14:textId="77777777" w:rsidR="004E05D3" w:rsidRPr="00E15F8F" w:rsidRDefault="004E05D3" w:rsidP="00BB7E8B">
            <w:pPr>
              <w:spacing w:before="120" w:after="120" w:line="264" w:lineRule="auto"/>
              <w:ind w:firstLine="310"/>
              <w:jc w:val="both"/>
              <w:rPr>
                <w:rFonts w:ascii="Times New Roman" w:hAnsi="Times New Roman" w:cs="Times New Roman"/>
                <w:sz w:val="20"/>
                <w:szCs w:val="20"/>
                <w:lang w:val="bg-BG"/>
              </w:rPr>
            </w:pPr>
            <w:r w:rsidRPr="00E15F8F">
              <w:rPr>
                <w:rFonts w:ascii="Times New Roman" w:hAnsi="Times New Roman" w:cs="Times New Roman"/>
                <w:sz w:val="17"/>
                <w:szCs w:val="17"/>
                <w:lang w:val="bg-BG"/>
              </w:rPr>
              <w:t>Смесени тенденции</w:t>
            </w:r>
          </w:p>
        </w:tc>
      </w:tr>
      <w:tr w:rsidR="004E05D3" w:rsidRPr="00E15F8F" w14:paraId="12237202" w14:textId="77777777" w:rsidTr="00BB7E8B">
        <w:trPr>
          <w:trHeight w:val="144"/>
        </w:trPr>
        <w:tc>
          <w:tcPr>
            <w:tcW w:w="3116" w:type="dxa"/>
          </w:tcPr>
          <w:p w14:paraId="012E027F" w14:textId="77777777" w:rsidR="004E05D3" w:rsidRPr="00E15F8F" w:rsidRDefault="004E05D3" w:rsidP="00BB7E8B">
            <w:pPr>
              <w:spacing w:before="120" w:after="12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Водни екосистеми и влажни зони</w:t>
            </w:r>
          </w:p>
        </w:tc>
        <w:tc>
          <w:tcPr>
            <w:tcW w:w="3117" w:type="dxa"/>
          </w:tcPr>
          <w:p w14:paraId="5D2281AD" w14:textId="77777777" w:rsidR="004E05D3" w:rsidRPr="00E15F8F" w:rsidRDefault="004E05D3" w:rsidP="00BB7E8B">
            <w:pPr>
              <w:spacing w:before="120" w:after="120" w:line="264" w:lineRule="auto"/>
              <w:ind w:left="280"/>
              <w:jc w:val="both"/>
              <w:rPr>
                <w:rFonts w:ascii="Times New Roman" w:hAnsi="Times New Roman" w:cs="Times New Roman"/>
                <w:sz w:val="20"/>
                <w:szCs w:val="20"/>
                <w:lang w:val="bg-BG"/>
              </w:rPr>
            </w:pPr>
            <w:r w:rsidRPr="00E15F8F">
              <w:rPr>
                <w:rFonts w:ascii="Times New Roman" w:hAnsi="Times New Roman" w:cs="Times New Roman"/>
                <w:noProof/>
                <w:lang w:val="bg-BG" w:eastAsia="bg-BG"/>
              </w:rPr>
              <mc:AlternateContent>
                <mc:Choice Requires="wps">
                  <w:drawing>
                    <wp:anchor distT="0" distB="0" distL="114300" distR="114300" simplePos="0" relativeHeight="251676672" behindDoc="0" locked="0" layoutInCell="1" allowOverlap="1" wp14:anchorId="5C411DD2" wp14:editId="4921E219">
                      <wp:simplePos x="0" y="0"/>
                      <wp:positionH relativeFrom="column">
                        <wp:posOffset>-81915</wp:posOffset>
                      </wp:positionH>
                      <wp:positionV relativeFrom="paragraph">
                        <wp:posOffset>76835</wp:posOffset>
                      </wp:positionV>
                      <wp:extent cx="310515" cy="159385"/>
                      <wp:effectExtent l="0" t="635" r="12700" b="12700"/>
                      <wp:wrapNone/>
                      <wp:docPr id="39" name="Rectangle 39"/>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C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70FA4D" id="Rectangle 39" o:spid="_x0000_s1026" style="position:absolute;margin-left:-6.45pt;margin-top:6.05pt;width:24.45pt;height:12.55pt;rotation:9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" fillcolor="#ffc000" strokecolor="#ffd966 [1943]" strokeweight="1pt"/>
                  </w:pict>
                </mc:Fallback>
              </mc:AlternateContent>
            </w:r>
            <w:r w:rsidRPr="00E15F8F">
              <w:rPr>
                <w:rFonts w:ascii="Times New Roman" w:hAnsi="Times New Roman" w:cs="Times New Roman"/>
                <w:sz w:val="17"/>
                <w:szCs w:val="17"/>
                <w:lang w:val="bg-BG"/>
              </w:rPr>
              <w:t>Смесени тенденции</w:t>
            </w:r>
          </w:p>
        </w:tc>
        <w:tc>
          <w:tcPr>
            <w:tcW w:w="3302" w:type="dxa"/>
          </w:tcPr>
          <w:p w14:paraId="0FD5A4E4" w14:textId="77777777" w:rsidR="004E05D3" w:rsidRPr="00E15F8F" w:rsidRDefault="004E05D3" w:rsidP="00BB7E8B">
            <w:pPr>
              <w:spacing w:before="120" w:after="120" w:line="264" w:lineRule="auto"/>
              <w:ind w:firstLine="310"/>
              <w:jc w:val="both"/>
              <w:rPr>
                <w:rFonts w:ascii="Times New Roman" w:hAnsi="Times New Roman" w:cs="Times New Roman"/>
                <w:sz w:val="20"/>
                <w:szCs w:val="20"/>
                <w:lang w:val="bg-BG"/>
              </w:rPr>
            </w:pPr>
            <w:r w:rsidRPr="00E15F8F">
              <w:rPr>
                <w:rFonts w:ascii="Times New Roman" w:hAnsi="Times New Roman" w:cs="Times New Roman"/>
                <w:noProof/>
                <w:lang w:val="bg-BG" w:eastAsia="bg-BG"/>
              </w:rPr>
              <mc:AlternateContent>
                <mc:Choice Requires="wps">
                  <w:drawing>
                    <wp:anchor distT="0" distB="0" distL="114300" distR="114300" simplePos="0" relativeHeight="251677696" behindDoc="0" locked="0" layoutInCell="1" allowOverlap="1" wp14:anchorId="33EBA6A2" wp14:editId="72646E9D">
                      <wp:simplePos x="0" y="0"/>
                      <wp:positionH relativeFrom="column">
                        <wp:posOffset>-92710</wp:posOffset>
                      </wp:positionH>
                      <wp:positionV relativeFrom="paragraph">
                        <wp:posOffset>90170</wp:posOffset>
                      </wp:positionV>
                      <wp:extent cx="310515" cy="159385"/>
                      <wp:effectExtent l="0" t="635" r="12700" b="12700"/>
                      <wp:wrapNone/>
                      <wp:docPr id="42" name="Rectangle 42"/>
                      <wp:cNvGraphicFramePr/>
                      <a:graphic xmlns:a="http://schemas.openxmlformats.org/drawingml/2006/main">
                        <a:graphicData uri="http://schemas.microsoft.com/office/word/2010/wordprocessingShape">
                          <wps:wsp>
                            <wps:cNvSpPr/>
                            <wps:spPr>
                              <a:xfrm rot="5400000">
                                <a:off x="0" y="0"/>
                                <a:ext cx="310515" cy="159385"/>
                              </a:xfrm>
                              <a:prstGeom prst="rect">
                                <a:avLst/>
                              </a:prstGeom>
                              <a:solidFill>
                                <a:srgbClr val="FFC000"/>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3F8962" id="Rectangle 42" o:spid="_x0000_s1026" style="position:absolute;margin-left:-7.3pt;margin-top:7.1pt;width:24.45pt;height:12.55pt;rotation:9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" fillcolor="#ffc000" strokecolor="#ffd966 [1943]" strokeweight="1pt"/>
                  </w:pict>
                </mc:Fallback>
              </mc:AlternateContent>
            </w:r>
            <w:r w:rsidRPr="00E15F8F">
              <w:rPr>
                <w:rFonts w:ascii="Times New Roman" w:hAnsi="Times New Roman" w:cs="Times New Roman"/>
                <w:sz w:val="17"/>
                <w:szCs w:val="17"/>
                <w:lang w:val="bg-BG"/>
              </w:rPr>
              <w:t>Смесени тенденции</w:t>
            </w:r>
          </w:p>
        </w:tc>
      </w:tr>
    </w:tbl>
    <w:p w14:paraId="74D96C86" w14:textId="77777777" w:rsidR="004E05D3" w:rsidRPr="00E15F8F" w:rsidRDefault="004E05D3" w:rsidP="004E05D3">
      <w:pPr>
        <w:spacing w:before="120" w:after="120" w:line="264" w:lineRule="auto"/>
        <w:jc w:val="both"/>
        <w:rPr>
          <w:rFonts w:ascii="Times New Roman" w:hAnsi="Times New Roman" w:cs="Times New Roman"/>
          <w:i/>
          <w:iCs/>
          <w:lang w:val="bg-BG"/>
        </w:rPr>
      </w:pPr>
      <w:r w:rsidRPr="00E15F8F">
        <w:rPr>
          <w:rFonts w:ascii="Times New Roman" w:hAnsi="Times New Roman" w:cs="Times New Roman"/>
          <w:i/>
          <w:iCs/>
          <w:lang w:val="bg-BG"/>
        </w:rPr>
        <w:t>Източник: Европейска агенция по околна среда</w:t>
      </w:r>
    </w:p>
    <w:p w14:paraId="38324A69" w14:textId="5EBA5F77" w:rsidR="00E050A8" w:rsidRPr="00E050A8" w:rsidRDefault="004E05D3" w:rsidP="00E050A8">
      <w:pPr>
        <w:rPr>
          <w:rFonts w:ascii="Times New Roman" w:hAnsi="Times New Roman" w:cs="Times New Roman"/>
          <w:lang w:val="bg-BG"/>
        </w:rPr>
      </w:pPr>
      <w:bookmarkStart w:id="47" w:name="_Hlk72858583"/>
      <w:r w:rsidRPr="00E050A8">
        <w:rPr>
          <w:rFonts w:ascii="Times New Roman" w:hAnsi="Times New Roman" w:cs="Times New Roman"/>
          <w:lang w:val="bg-BG"/>
        </w:rPr>
        <w:t>Изследването на взаимодействието Движещи сили – Натиск – Състояние – Въздействие- Отговор позволява следния анализ на напредъка на България по постигане на целите в областта на опазването и упра</w:t>
      </w:r>
      <w:r w:rsidR="00E050A8">
        <w:rPr>
          <w:rFonts w:ascii="Times New Roman" w:hAnsi="Times New Roman" w:cs="Times New Roman"/>
          <w:lang w:val="bg-BG"/>
        </w:rPr>
        <w:t>влението на водите</w:t>
      </w:r>
    </w:p>
    <w:p w14:paraId="2F68CFE9" w14:textId="7C5D5CEE" w:rsidR="004E05D3" w:rsidRPr="00E050A8" w:rsidRDefault="00E050A8" w:rsidP="00E050A8">
      <w:pPr>
        <w:rPr>
          <w:rFonts w:ascii="Times New Roman" w:hAnsi="Times New Roman" w:cs="Times New Roman"/>
          <w:b/>
          <w:i/>
          <w:iCs/>
          <w:lang w:val="bg-BG"/>
        </w:rPr>
      </w:pPr>
      <w:bookmarkStart w:id="48" w:name="_Toc72917666"/>
      <w:r w:rsidRPr="00E050A8">
        <w:rPr>
          <w:rFonts w:ascii="Times New Roman" w:hAnsi="Times New Roman" w:cs="Times New Roman"/>
          <w:i/>
          <w:lang w:val="bg-BG"/>
        </w:rPr>
        <w:t xml:space="preserve">Фигура </w:t>
      </w:r>
      <w:r w:rsidRPr="00E050A8">
        <w:rPr>
          <w:rFonts w:ascii="Times New Roman" w:hAnsi="Times New Roman" w:cs="Times New Roman"/>
          <w:i/>
          <w:lang w:val="bg-BG"/>
        </w:rPr>
        <w:fldChar w:fldCharType="begin"/>
      </w:r>
      <w:r w:rsidRPr="00E050A8">
        <w:rPr>
          <w:rFonts w:ascii="Times New Roman" w:hAnsi="Times New Roman" w:cs="Times New Roman"/>
          <w:i/>
          <w:lang w:val="bg-BG"/>
        </w:rPr>
        <w:instrText xml:space="preserve"> SEQ Фигура \* ARABIC </w:instrText>
      </w:r>
      <w:r w:rsidRPr="00E050A8">
        <w:rPr>
          <w:rFonts w:ascii="Times New Roman" w:hAnsi="Times New Roman" w:cs="Times New Roman"/>
          <w:i/>
          <w:lang w:val="bg-BG"/>
        </w:rPr>
        <w:fldChar w:fldCharType="separate"/>
      </w:r>
      <w:r w:rsidRPr="00E050A8">
        <w:rPr>
          <w:rFonts w:ascii="Times New Roman" w:hAnsi="Times New Roman" w:cs="Times New Roman"/>
          <w:i/>
          <w:lang w:val="bg-BG"/>
        </w:rPr>
        <w:t>14</w:t>
      </w:r>
      <w:r w:rsidRPr="00E050A8">
        <w:rPr>
          <w:rFonts w:ascii="Times New Roman" w:hAnsi="Times New Roman" w:cs="Times New Roman"/>
          <w:i/>
          <w:lang w:val="bg-BG"/>
        </w:rPr>
        <w:fldChar w:fldCharType="end"/>
      </w:r>
      <w:r w:rsidR="004E05D3" w:rsidRPr="00E050A8">
        <w:rPr>
          <w:rFonts w:ascii="Times New Roman" w:hAnsi="Times New Roman" w:cs="Times New Roman"/>
          <w:i/>
          <w:lang w:val="bg-BG"/>
        </w:rPr>
        <w:t xml:space="preserve"> Тенденции и перспективи в сектор води, България</w:t>
      </w:r>
      <w:bookmarkEnd w:id="48"/>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4E05D3" w:rsidRPr="00E15F8F" w14:paraId="555D2CC9" w14:textId="77777777" w:rsidTr="00BB7E8B">
        <w:tc>
          <w:tcPr>
            <w:tcW w:w="9344" w:type="dxa"/>
            <w:gridSpan w:val="3"/>
          </w:tcPr>
          <w:p w14:paraId="62FCE49A" w14:textId="77777777" w:rsidR="004E05D3" w:rsidRPr="00E15F8F" w:rsidRDefault="004E05D3" w:rsidP="00BB7E8B">
            <w:pPr>
              <w:spacing w:after="0" w:line="240"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Натиск от замърсяване на водите</w:t>
            </w:r>
          </w:p>
          <w:p w14:paraId="1ADAC250" w14:textId="77777777" w:rsidR="004E05D3" w:rsidRPr="00E15F8F" w:rsidRDefault="004E05D3" w:rsidP="00BB7E8B">
            <w:pPr>
              <w:spacing w:after="0" w:line="240" w:lineRule="auto"/>
              <w:jc w:val="both"/>
              <w:rPr>
                <w:rFonts w:ascii="Times New Roman" w:hAnsi="Times New Roman" w:cs="Times New Roman"/>
                <w:b/>
                <w:bCs/>
                <w:sz w:val="20"/>
                <w:szCs w:val="20"/>
                <w:lang w:val="bg-BG"/>
              </w:rPr>
            </w:pPr>
          </w:p>
        </w:tc>
      </w:tr>
      <w:tr w:rsidR="004E05D3" w:rsidRPr="00E15F8F" w14:paraId="1A890362" w14:textId="77777777" w:rsidTr="00BB7E8B">
        <w:tc>
          <w:tcPr>
            <w:tcW w:w="2334" w:type="dxa"/>
          </w:tcPr>
          <w:p w14:paraId="728BFDEC" w14:textId="77777777" w:rsidR="004E05D3" w:rsidRPr="00E15F8F" w:rsidRDefault="004E05D3" w:rsidP="00BB7E8B">
            <w:pPr>
              <w:spacing w:after="120" w:line="276"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Тенденции през последните 10 години</w:t>
            </w:r>
          </w:p>
          <w:p w14:paraId="7F993DF1" w14:textId="77777777" w:rsidR="004E05D3" w:rsidRPr="00E15F8F" w:rsidRDefault="004E05D3" w:rsidP="00BB7E8B">
            <w:pPr>
              <w:spacing w:after="120" w:line="276" w:lineRule="auto"/>
              <w:jc w:val="both"/>
              <w:rPr>
                <w:rFonts w:ascii="Times New Roman" w:hAnsi="Times New Roman" w:cs="Times New Roman"/>
                <w:sz w:val="4"/>
                <w:szCs w:val="4"/>
                <w:lang w:val="bg-BG"/>
              </w:rPr>
            </w:pPr>
          </w:p>
        </w:tc>
        <w:tc>
          <w:tcPr>
            <w:tcW w:w="360" w:type="dxa"/>
            <w:shd w:val="clear" w:color="auto" w:fill="FFC000"/>
          </w:tcPr>
          <w:p w14:paraId="34EA4674" w14:textId="77777777" w:rsidR="004E05D3" w:rsidRPr="00E15F8F" w:rsidRDefault="004E05D3" w:rsidP="00BB7E8B">
            <w:pPr>
              <w:spacing w:after="120" w:line="276" w:lineRule="auto"/>
              <w:jc w:val="both"/>
              <w:rPr>
                <w:rFonts w:ascii="Times New Roman" w:hAnsi="Times New Roman" w:cs="Times New Roman"/>
                <w:sz w:val="20"/>
                <w:szCs w:val="20"/>
                <w:lang w:val="bg-BG"/>
              </w:rPr>
            </w:pPr>
          </w:p>
        </w:tc>
        <w:tc>
          <w:tcPr>
            <w:tcW w:w="6650" w:type="dxa"/>
          </w:tcPr>
          <w:p w14:paraId="52205B43" w14:textId="77777777" w:rsidR="008854ED" w:rsidRPr="00E15F8F" w:rsidRDefault="008854ED" w:rsidP="008854ED">
            <w:pPr>
              <w:spacing w:after="120" w:line="224" w:lineRule="atLeast"/>
              <w:jc w:val="both"/>
              <w:rPr>
                <w:rFonts w:ascii="Times New Roman" w:hAnsi="Times New Roman" w:cs="Times New Roman"/>
                <w:b/>
                <w:bCs/>
                <w:color w:val="ED7D31" w:themeColor="accent2"/>
                <w:sz w:val="20"/>
                <w:szCs w:val="20"/>
                <w:lang w:val="bg-BG"/>
              </w:rPr>
            </w:pPr>
            <w:r w:rsidRPr="00E15F8F">
              <w:rPr>
                <w:rFonts w:ascii="Times New Roman" w:eastAsia="Times New Roman" w:hAnsi="Times New Roman" w:cs="Times New Roman"/>
                <w:b/>
                <w:bCs/>
                <w:color w:val="ED7D31" w:themeColor="accent2"/>
                <w:sz w:val="20"/>
                <w:szCs w:val="20"/>
                <w:lang w:val="bg-BG"/>
              </w:rPr>
              <w:t>Тенденциите / промените представят нееднородна картина</w:t>
            </w:r>
          </w:p>
          <w:p w14:paraId="2DEACFB8" w14:textId="77777777" w:rsidR="004E05D3" w:rsidRPr="00E15F8F" w:rsidRDefault="004E05D3" w:rsidP="00BB7E8B">
            <w:pPr>
              <w:spacing w:after="0" w:line="240" w:lineRule="auto"/>
              <w:jc w:val="both"/>
              <w:rPr>
                <w:rFonts w:ascii="Times New Roman" w:hAnsi="Times New Roman" w:cs="Times New Roman"/>
                <w:color w:val="000000" w:themeColor="text1"/>
                <w:sz w:val="20"/>
                <w:szCs w:val="20"/>
                <w:lang w:val="bg-BG"/>
              </w:rPr>
            </w:pPr>
            <w:r w:rsidRPr="00E15F8F">
              <w:rPr>
                <w:rFonts w:ascii="Times New Roman" w:hAnsi="Times New Roman" w:cs="Times New Roman"/>
                <w:color w:val="000000" w:themeColor="text1"/>
                <w:sz w:val="20"/>
                <w:szCs w:val="20"/>
                <w:lang w:val="bg-BG"/>
              </w:rPr>
              <w:t>Въпреки положителната тенденция на намаляване на концентрациите на основните физико – химични показатели за качество на повърхностните води, част от повърхностните водни тела се определят като тела в риск.</w:t>
            </w:r>
          </w:p>
          <w:p w14:paraId="242F8E74" w14:textId="77777777" w:rsidR="004E05D3" w:rsidRPr="00E15F8F" w:rsidRDefault="004E05D3" w:rsidP="00BB7E8B">
            <w:pPr>
              <w:spacing w:after="0" w:line="240" w:lineRule="auto"/>
              <w:jc w:val="both"/>
              <w:rPr>
                <w:rFonts w:ascii="Times New Roman" w:hAnsi="Times New Roman" w:cs="Times New Roman"/>
                <w:color w:val="000000" w:themeColor="text1"/>
                <w:sz w:val="20"/>
                <w:szCs w:val="20"/>
                <w:lang w:val="bg-BG"/>
              </w:rPr>
            </w:pPr>
            <w:r w:rsidRPr="00E15F8F">
              <w:rPr>
                <w:rFonts w:ascii="Times New Roman" w:hAnsi="Times New Roman" w:cs="Times New Roman"/>
                <w:color w:val="000000" w:themeColor="text1"/>
                <w:sz w:val="20"/>
                <w:szCs w:val="20"/>
                <w:lang w:val="bg-BG"/>
              </w:rPr>
              <w:t>При подземните води е налице тенденция на повишаване на средната стойност на нитратите, наличие на определени водове пестициди, единични и локални превишения на концентрациите на тежки метали в подземните водни тела.</w:t>
            </w:r>
          </w:p>
          <w:p w14:paraId="4F78ABFE" w14:textId="77777777" w:rsidR="004E05D3" w:rsidRPr="00E15F8F" w:rsidRDefault="004E05D3" w:rsidP="00BB7E8B">
            <w:pPr>
              <w:spacing w:after="0" w:line="240" w:lineRule="auto"/>
              <w:jc w:val="both"/>
              <w:rPr>
                <w:rFonts w:ascii="Times New Roman" w:hAnsi="Times New Roman" w:cs="Times New Roman"/>
                <w:color w:val="000000" w:themeColor="text1"/>
                <w:sz w:val="20"/>
                <w:szCs w:val="20"/>
                <w:lang w:val="bg-BG"/>
              </w:rPr>
            </w:pPr>
            <w:r w:rsidRPr="00E15F8F">
              <w:rPr>
                <w:rFonts w:ascii="Times New Roman" w:hAnsi="Times New Roman" w:cs="Times New Roman"/>
                <w:color w:val="000000" w:themeColor="text1"/>
                <w:sz w:val="20"/>
                <w:szCs w:val="20"/>
                <w:lang w:val="bg-BG"/>
              </w:rPr>
              <w:t>Постигнато е добро качество на питейните води, но при регистрирани отклонения за определени зони.</w:t>
            </w:r>
          </w:p>
          <w:p w14:paraId="636AFD6C" w14:textId="77777777" w:rsidR="004E05D3" w:rsidRPr="00E15F8F" w:rsidRDefault="004E05D3" w:rsidP="00BB7E8B">
            <w:pPr>
              <w:spacing w:after="0" w:line="240" w:lineRule="auto"/>
              <w:jc w:val="both"/>
              <w:rPr>
                <w:rFonts w:ascii="Times New Roman" w:hAnsi="Times New Roman" w:cs="Times New Roman"/>
                <w:color w:val="000000" w:themeColor="text1"/>
                <w:sz w:val="20"/>
                <w:szCs w:val="20"/>
                <w:lang w:val="bg-BG"/>
              </w:rPr>
            </w:pPr>
            <w:r w:rsidRPr="00E15F8F">
              <w:rPr>
                <w:rFonts w:ascii="Times New Roman" w:hAnsi="Times New Roman" w:cs="Times New Roman"/>
                <w:color w:val="000000" w:themeColor="text1"/>
                <w:sz w:val="20"/>
                <w:szCs w:val="20"/>
                <w:lang w:val="bg-BG"/>
              </w:rPr>
              <w:t>В сравнителен план процентът на зоните за къпане с отлично качество са под средния за ЕС.</w:t>
            </w:r>
          </w:p>
        </w:tc>
      </w:tr>
      <w:tr w:rsidR="004E05D3" w:rsidRPr="00E15F8F" w14:paraId="7F7A7FDA" w14:textId="77777777" w:rsidTr="00BB7E8B">
        <w:tc>
          <w:tcPr>
            <w:tcW w:w="2335" w:type="dxa"/>
          </w:tcPr>
          <w:p w14:paraId="155396B4" w14:textId="77777777" w:rsidR="004E05D3" w:rsidRPr="00E15F8F" w:rsidRDefault="004E05D3" w:rsidP="00BB7E8B">
            <w:pPr>
              <w:spacing w:after="120" w:line="276"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Перспективи за 2030 г.</w:t>
            </w:r>
          </w:p>
          <w:p w14:paraId="42C93189" w14:textId="77777777" w:rsidR="004E05D3" w:rsidRPr="00E15F8F" w:rsidRDefault="004E05D3" w:rsidP="00BB7E8B">
            <w:pPr>
              <w:spacing w:after="120" w:line="276" w:lineRule="auto"/>
              <w:jc w:val="both"/>
              <w:rPr>
                <w:rFonts w:ascii="Times New Roman" w:hAnsi="Times New Roman" w:cs="Times New Roman"/>
                <w:sz w:val="4"/>
                <w:szCs w:val="4"/>
                <w:lang w:val="bg-BG"/>
              </w:rPr>
            </w:pPr>
          </w:p>
        </w:tc>
        <w:tc>
          <w:tcPr>
            <w:tcW w:w="360" w:type="dxa"/>
            <w:shd w:val="clear" w:color="auto" w:fill="FFC000"/>
          </w:tcPr>
          <w:p w14:paraId="3B7E2CD0" w14:textId="77777777" w:rsidR="004E05D3" w:rsidRPr="00E15F8F" w:rsidRDefault="004E05D3" w:rsidP="00BB7E8B">
            <w:pPr>
              <w:spacing w:after="120" w:line="276" w:lineRule="auto"/>
              <w:jc w:val="both"/>
              <w:rPr>
                <w:rFonts w:ascii="Times New Roman" w:hAnsi="Times New Roman" w:cs="Times New Roman"/>
                <w:sz w:val="20"/>
                <w:szCs w:val="20"/>
                <w:lang w:val="bg-BG"/>
              </w:rPr>
            </w:pPr>
          </w:p>
        </w:tc>
        <w:tc>
          <w:tcPr>
            <w:tcW w:w="6655" w:type="dxa"/>
          </w:tcPr>
          <w:p w14:paraId="60B01EAB" w14:textId="77777777" w:rsidR="008854ED" w:rsidRPr="00E15F8F" w:rsidRDefault="008854ED" w:rsidP="008854ED">
            <w:pPr>
              <w:spacing w:after="0" w:line="240" w:lineRule="auto"/>
              <w:rPr>
                <w:rFonts w:ascii="Times New Roman" w:hAnsi="Times New Roman" w:cs="Times New Roman"/>
                <w:sz w:val="20"/>
                <w:szCs w:val="20"/>
                <w:lang w:val="bg-BG"/>
              </w:rPr>
            </w:pPr>
            <w:r w:rsidRPr="00E15F8F">
              <w:rPr>
                <w:rFonts w:ascii="Times New Roman" w:eastAsia="Times New Roman" w:hAnsi="Times New Roman" w:cs="Times New Roman"/>
                <w:b/>
                <w:bCs/>
                <w:color w:val="ED7D31" w:themeColor="accent2"/>
                <w:sz w:val="20"/>
                <w:szCs w:val="20"/>
                <w:lang w:val="bg-BG"/>
              </w:rPr>
              <w:t>Тенденциите / промените представят нееднородна картина</w:t>
            </w:r>
            <w:r w:rsidRPr="00E15F8F">
              <w:rPr>
                <w:rFonts w:ascii="Times New Roman" w:hAnsi="Times New Roman" w:cs="Times New Roman"/>
                <w:sz w:val="20"/>
                <w:szCs w:val="20"/>
                <w:lang w:val="bg-BG"/>
              </w:rPr>
              <w:t xml:space="preserve"> </w:t>
            </w:r>
          </w:p>
          <w:p w14:paraId="301A63FC" w14:textId="3881A552" w:rsidR="004E05D3" w:rsidRPr="00E15F8F" w:rsidRDefault="004E05D3" w:rsidP="008854ED">
            <w:pPr>
              <w:spacing w:after="0" w:line="240"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Значителният брой на водните тела определени в недобро или неизвестно екологично състояние, пречките, свързани с осигуряване на навременно и достатъчно финансиране за изграждане на необходимата инфраструктура, констатирани ограничения и забавяне в изпълнението на програмите за мониторинг, не позволяват по-оптимистична прогноза за постигане на целите с хоризонт 2030 г.</w:t>
            </w:r>
          </w:p>
        </w:tc>
      </w:tr>
    </w:tbl>
    <w:p w14:paraId="1987CF13" w14:textId="77777777" w:rsidR="004E05D3" w:rsidRPr="00E15F8F" w:rsidRDefault="004E05D3" w:rsidP="004E05D3">
      <w:pPr>
        <w:rPr>
          <w:rFonts w:ascii="Times New Roman" w:eastAsia="Times New Roman" w:hAnsi="Times New Roman" w:cs="Times New Roman"/>
          <w:sz w:val="26"/>
          <w:szCs w:val="26"/>
          <w:lang w:val="bg-BG"/>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4E05D3" w:rsidRPr="00E15F8F" w14:paraId="72D4C56A" w14:textId="77777777" w:rsidTr="00BB7E8B">
        <w:tc>
          <w:tcPr>
            <w:tcW w:w="9344" w:type="dxa"/>
            <w:gridSpan w:val="3"/>
          </w:tcPr>
          <w:p w14:paraId="0A1FCF91" w14:textId="77777777" w:rsidR="004E05D3" w:rsidRPr="00E15F8F" w:rsidRDefault="004E05D3" w:rsidP="00BB7E8B">
            <w:pPr>
              <w:spacing w:after="0" w:line="240"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Натиск от водовземане</w:t>
            </w:r>
          </w:p>
          <w:p w14:paraId="016AA1FB" w14:textId="77777777" w:rsidR="004E05D3" w:rsidRPr="00E15F8F" w:rsidRDefault="004E05D3" w:rsidP="00BB7E8B">
            <w:pPr>
              <w:spacing w:after="0" w:line="240" w:lineRule="auto"/>
              <w:jc w:val="both"/>
              <w:rPr>
                <w:rFonts w:ascii="Times New Roman" w:hAnsi="Times New Roman" w:cs="Times New Roman"/>
                <w:sz w:val="20"/>
                <w:szCs w:val="20"/>
                <w:lang w:val="bg-BG"/>
              </w:rPr>
            </w:pPr>
          </w:p>
        </w:tc>
      </w:tr>
      <w:tr w:rsidR="004E05D3" w:rsidRPr="00E15F8F" w14:paraId="68586B95" w14:textId="77777777" w:rsidTr="00BB7E8B">
        <w:tc>
          <w:tcPr>
            <w:tcW w:w="2334" w:type="dxa"/>
          </w:tcPr>
          <w:p w14:paraId="67A66C4B" w14:textId="77777777" w:rsidR="004E05D3" w:rsidRPr="00E15F8F" w:rsidRDefault="004E05D3" w:rsidP="00BB7E8B">
            <w:pPr>
              <w:spacing w:after="120" w:line="276"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Тенденции през последните 10 години</w:t>
            </w:r>
          </w:p>
          <w:p w14:paraId="76955721" w14:textId="77777777" w:rsidR="004E05D3" w:rsidRPr="00E15F8F" w:rsidRDefault="004E05D3" w:rsidP="00BB7E8B">
            <w:pPr>
              <w:spacing w:after="120" w:line="276" w:lineRule="auto"/>
              <w:jc w:val="both"/>
              <w:rPr>
                <w:rFonts w:ascii="Times New Roman" w:hAnsi="Times New Roman" w:cs="Times New Roman"/>
                <w:sz w:val="4"/>
                <w:szCs w:val="4"/>
                <w:lang w:val="bg-BG"/>
              </w:rPr>
            </w:pPr>
          </w:p>
        </w:tc>
        <w:tc>
          <w:tcPr>
            <w:tcW w:w="360" w:type="dxa"/>
            <w:shd w:val="clear" w:color="auto" w:fill="70AD47" w:themeFill="accent6"/>
          </w:tcPr>
          <w:p w14:paraId="5A3C7DAE" w14:textId="77777777" w:rsidR="004E05D3" w:rsidRPr="00E15F8F" w:rsidRDefault="004E05D3" w:rsidP="00BB7E8B">
            <w:pPr>
              <w:spacing w:after="120" w:line="276" w:lineRule="auto"/>
              <w:jc w:val="both"/>
              <w:rPr>
                <w:rFonts w:ascii="Times New Roman" w:hAnsi="Times New Roman" w:cs="Times New Roman"/>
                <w:sz w:val="20"/>
                <w:szCs w:val="20"/>
                <w:lang w:val="bg-BG"/>
              </w:rPr>
            </w:pPr>
          </w:p>
        </w:tc>
        <w:tc>
          <w:tcPr>
            <w:tcW w:w="6650" w:type="dxa"/>
          </w:tcPr>
          <w:p w14:paraId="710B3864" w14:textId="77777777" w:rsidR="008854ED" w:rsidRPr="00E15F8F" w:rsidRDefault="008854ED" w:rsidP="008854ED">
            <w:pPr>
              <w:spacing w:after="0" w:line="224" w:lineRule="atLeast"/>
              <w:jc w:val="both"/>
              <w:rPr>
                <w:rFonts w:ascii="Times New Roman" w:hAnsi="Times New Roman" w:cs="Times New Roman"/>
                <w:b/>
                <w:bCs/>
                <w:sz w:val="20"/>
                <w:szCs w:val="20"/>
                <w:lang w:val="bg-BG"/>
              </w:rPr>
            </w:pPr>
            <w:r w:rsidRPr="00E15F8F">
              <w:rPr>
                <w:rFonts w:ascii="Times New Roman" w:eastAsia="Times New Roman" w:hAnsi="Times New Roman" w:cs="Times New Roman"/>
                <w:b/>
                <w:bCs/>
                <w:color w:val="00B050"/>
                <w:sz w:val="20"/>
                <w:szCs w:val="20"/>
                <w:lang w:val="bg-BG"/>
              </w:rPr>
              <w:t>Тенденциите / промените към подобрение преобладават</w:t>
            </w:r>
          </w:p>
          <w:p w14:paraId="053BF5FC" w14:textId="77777777" w:rsidR="004E05D3" w:rsidRPr="00E15F8F" w:rsidRDefault="004E05D3" w:rsidP="00BB7E8B">
            <w:pPr>
              <w:spacing w:after="0" w:line="240"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Общи тенденции на повишаване на регистрирания повърхностен отток за страната и покачване на дебита и нивата на част от подземните води.</w:t>
            </w:r>
          </w:p>
        </w:tc>
      </w:tr>
    </w:tbl>
    <w:tbl>
      <w:tblPr>
        <w:tblStyle w:val="TableGrid"/>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4E05D3" w:rsidRPr="00E15F8F" w14:paraId="11A50732" w14:textId="77777777" w:rsidTr="00BB7E8B">
        <w:tc>
          <w:tcPr>
            <w:tcW w:w="2335" w:type="dxa"/>
          </w:tcPr>
          <w:p w14:paraId="23242552" w14:textId="77777777" w:rsidR="004E05D3" w:rsidRPr="00E15F8F" w:rsidRDefault="004E05D3" w:rsidP="00BB7E8B">
            <w:pPr>
              <w:spacing w:after="120" w:line="276"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Перспективи за 2030 г.</w:t>
            </w:r>
          </w:p>
          <w:p w14:paraId="3CB88DBC" w14:textId="77777777" w:rsidR="004E05D3" w:rsidRPr="00E15F8F" w:rsidRDefault="004E05D3" w:rsidP="00BB7E8B">
            <w:pPr>
              <w:spacing w:after="120" w:line="276" w:lineRule="auto"/>
              <w:jc w:val="both"/>
              <w:rPr>
                <w:rFonts w:ascii="Times New Roman" w:hAnsi="Times New Roman" w:cs="Times New Roman"/>
                <w:sz w:val="4"/>
                <w:szCs w:val="4"/>
                <w:lang w:val="bg-BG"/>
              </w:rPr>
            </w:pPr>
          </w:p>
        </w:tc>
        <w:tc>
          <w:tcPr>
            <w:tcW w:w="360" w:type="dxa"/>
            <w:shd w:val="clear" w:color="auto" w:fill="FFC000"/>
          </w:tcPr>
          <w:p w14:paraId="0F224210" w14:textId="77777777" w:rsidR="004E05D3" w:rsidRPr="00E15F8F" w:rsidRDefault="004E05D3" w:rsidP="00BB7E8B">
            <w:pPr>
              <w:spacing w:after="120" w:line="276" w:lineRule="auto"/>
              <w:jc w:val="both"/>
              <w:rPr>
                <w:rFonts w:ascii="Times New Roman" w:hAnsi="Times New Roman" w:cs="Times New Roman"/>
                <w:sz w:val="20"/>
                <w:szCs w:val="20"/>
                <w:lang w:val="bg-BG"/>
              </w:rPr>
            </w:pPr>
          </w:p>
        </w:tc>
        <w:tc>
          <w:tcPr>
            <w:tcW w:w="6655" w:type="dxa"/>
          </w:tcPr>
          <w:p w14:paraId="5D32A896" w14:textId="77777777" w:rsidR="008854ED" w:rsidRPr="00E15F8F" w:rsidRDefault="008854ED" w:rsidP="00BB7E8B">
            <w:pPr>
              <w:jc w:val="both"/>
              <w:rPr>
                <w:rFonts w:ascii="Times New Roman" w:hAnsi="Times New Roman" w:cs="Times New Roman"/>
                <w:sz w:val="20"/>
                <w:szCs w:val="20"/>
                <w:lang w:val="bg-BG"/>
              </w:rPr>
            </w:pPr>
            <w:r w:rsidRPr="00E15F8F">
              <w:rPr>
                <w:rFonts w:ascii="Times New Roman" w:eastAsia="Times New Roman" w:hAnsi="Times New Roman" w:cs="Times New Roman"/>
                <w:b/>
                <w:bCs/>
                <w:color w:val="ED7D31" w:themeColor="accent2"/>
                <w:sz w:val="20"/>
                <w:szCs w:val="20"/>
                <w:lang w:val="bg-BG"/>
              </w:rPr>
              <w:t>Тенденциите / промените представят нееднородна картина</w:t>
            </w:r>
            <w:r w:rsidRPr="00E15F8F">
              <w:rPr>
                <w:rFonts w:ascii="Times New Roman" w:hAnsi="Times New Roman" w:cs="Times New Roman"/>
                <w:sz w:val="20"/>
                <w:szCs w:val="20"/>
                <w:lang w:val="bg-BG"/>
              </w:rPr>
              <w:t xml:space="preserve"> </w:t>
            </w:r>
          </w:p>
          <w:p w14:paraId="172C1818" w14:textId="106065EB" w:rsidR="004E05D3" w:rsidRPr="00E15F8F" w:rsidRDefault="004E05D3" w:rsidP="00BB7E8B">
            <w:pPr>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 xml:space="preserve">Регистрираните положителни тенденции са в комбинация с незначителния спад на количеството използвана вода, значими обеми използвана вода за </w:t>
            </w:r>
            <w:r w:rsidRPr="00E15F8F">
              <w:rPr>
                <w:rFonts w:ascii="Times New Roman" w:hAnsi="Times New Roman" w:cs="Times New Roman"/>
                <w:sz w:val="20"/>
                <w:szCs w:val="20"/>
                <w:lang w:val="bg-BG"/>
              </w:rPr>
              <w:lastRenderedPageBreak/>
              <w:t>охлаждащи процеси в икономиката, висок процент загуби в резултат на преноса на вода и определени фактори на сезонен срес.</w:t>
            </w:r>
          </w:p>
        </w:tc>
      </w:tr>
    </w:tbl>
    <w:p w14:paraId="0311BEAB" w14:textId="77777777" w:rsidR="004E05D3" w:rsidRPr="00E15F8F" w:rsidRDefault="004E05D3" w:rsidP="004E05D3">
      <w:pPr>
        <w:rPr>
          <w:rFonts w:ascii="Times New Roman" w:eastAsia="Times New Roman" w:hAnsi="Times New Roman" w:cs="Times New Roman"/>
          <w:sz w:val="26"/>
          <w:szCs w:val="26"/>
          <w:lang w:val="bg-BG"/>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4E05D3" w:rsidRPr="00E15F8F" w14:paraId="451E9748" w14:textId="77777777" w:rsidTr="00BB7E8B">
        <w:tc>
          <w:tcPr>
            <w:tcW w:w="9344" w:type="dxa"/>
            <w:gridSpan w:val="3"/>
          </w:tcPr>
          <w:p w14:paraId="5ACC4DC2" w14:textId="77777777" w:rsidR="004E05D3" w:rsidRPr="00E15F8F" w:rsidRDefault="004E05D3" w:rsidP="00BB7E8B">
            <w:pPr>
              <w:spacing w:after="0" w:line="240"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Хидроморфологичен натиск</w:t>
            </w:r>
          </w:p>
          <w:p w14:paraId="6ACFE8B0" w14:textId="77777777" w:rsidR="004E05D3" w:rsidRPr="00E15F8F" w:rsidRDefault="004E05D3" w:rsidP="00BB7E8B">
            <w:pPr>
              <w:spacing w:after="0" w:line="240" w:lineRule="auto"/>
              <w:jc w:val="both"/>
              <w:rPr>
                <w:rFonts w:ascii="Times New Roman" w:hAnsi="Times New Roman" w:cs="Times New Roman"/>
                <w:sz w:val="20"/>
                <w:szCs w:val="20"/>
                <w:lang w:val="bg-BG"/>
              </w:rPr>
            </w:pPr>
          </w:p>
        </w:tc>
      </w:tr>
      <w:tr w:rsidR="004E05D3" w:rsidRPr="00E15F8F" w14:paraId="30F8C0B7" w14:textId="77777777" w:rsidTr="00BB7E8B">
        <w:tc>
          <w:tcPr>
            <w:tcW w:w="2334" w:type="dxa"/>
          </w:tcPr>
          <w:p w14:paraId="419E7C00" w14:textId="77777777" w:rsidR="004E05D3" w:rsidRPr="00E15F8F" w:rsidRDefault="004E05D3" w:rsidP="00BB7E8B">
            <w:pPr>
              <w:spacing w:after="120" w:line="276"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Тенденции през последните 10 години</w:t>
            </w:r>
          </w:p>
          <w:p w14:paraId="7807D37A" w14:textId="77777777" w:rsidR="004E05D3" w:rsidRPr="00E15F8F" w:rsidRDefault="004E05D3" w:rsidP="00BB7E8B">
            <w:pPr>
              <w:spacing w:after="120" w:line="276" w:lineRule="auto"/>
              <w:jc w:val="both"/>
              <w:rPr>
                <w:rFonts w:ascii="Times New Roman" w:hAnsi="Times New Roman" w:cs="Times New Roman"/>
                <w:sz w:val="4"/>
                <w:szCs w:val="4"/>
                <w:lang w:val="bg-BG"/>
              </w:rPr>
            </w:pPr>
          </w:p>
        </w:tc>
        <w:tc>
          <w:tcPr>
            <w:tcW w:w="360" w:type="dxa"/>
            <w:shd w:val="clear" w:color="auto" w:fill="C00000"/>
          </w:tcPr>
          <w:p w14:paraId="5F48FA76" w14:textId="77777777" w:rsidR="004E05D3" w:rsidRPr="00E15F8F" w:rsidRDefault="004E05D3" w:rsidP="00BB7E8B">
            <w:pPr>
              <w:spacing w:after="120" w:line="276" w:lineRule="auto"/>
              <w:jc w:val="both"/>
              <w:rPr>
                <w:rFonts w:ascii="Times New Roman" w:hAnsi="Times New Roman" w:cs="Times New Roman"/>
                <w:sz w:val="20"/>
                <w:szCs w:val="20"/>
                <w:lang w:val="bg-BG"/>
              </w:rPr>
            </w:pPr>
          </w:p>
        </w:tc>
        <w:tc>
          <w:tcPr>
            <w:tcW w:w="6650" w:type="dxa"/>
          </w:tcPr>
          <w:p w14:paraId="658F2403" w14:textId="77777777" w:rsidR="00CE675C" w:rsidRPr="00E15F8F" w:rsidRDefault="00CE675C" w:rsidP="00CE675C">
            <w:pPr>
              <w:spacing w:after="0" w:line="224" w:lineRule="atLeast"/>
              <w:jc w:val="both"/>
              <w:rPr>
                <w:rFonts w:ascii="Times New Roman" w:hAnsi="Times New Roman" w:cs="Times New Roman"/>
                <w:b/>
                <w:bCs/>
                <w:sz w:val="20"/>
                <w:szCs w:val="20"/>
                <w:lang w:val="bg-BG"/>
              </w:rPr>
            </w:pPr>
            <w:r w:rsidRPr="00E15F8F">
              <w:rPr>
                <w:rFonts w:ascii="Times New Roman" w:eastAsia="Times New Roman" w:hAnsi="Times New Roman" w:cs="Times New Roman"/>
                <w:b/>
                <w:bCs/>
                <w:color w:val="C0504D"/>
                <w:sz w:val="20"/>
                <w:szCs w:val="20"/>
                <w:lang w:val="bg-BG"/>
              </w:rPr>
              <w:t>Тенденциите / промените към влошаване преобладават</w:t>
            </w:r>
          </w:p>
          <w:p w14:paraId="3613CEFE" w14:textId="77777777" w:rsidR="004E05D3" w:rsidRPr="00E15F8F" w:rsidRDefault="004E05D3" w:rsidP="00BB7E8B">
            <w:pPr>
              <w:spacing w:after="0" w:line="240"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Оценката на хидроморфологичния натиск по райони за басейново управление демонстрира специфики, но като цяло между 20% и 36% от повърхностните водни тела са засегнати от морфологични модификации.</w:t>
            </w:r>
          </w:p>
        </w:tc>
      </w:tr>
    </w:tbl>
    <w:tbl>
      <w:tblPr>
        <w:tblStyle w:val="TableGrid"/>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4E05D3" w:rsidRPr="00E15F8F" w14:paraId="53EF3C2F" w14:textId="77777777" w:rsidTr="00BB7E8B">
        <w:tc>
          <w:tcPr>
            <w:tcW w:w="2335" w:type="dxa"/>
          </w:tcPr>
          <w:p w14:paraId="5205E92C" w14:textId="77777777" w:rsidR="004E05D3" w:rsidRPr="00E15F8F" w:rsidRDefault="004E05D3" w:rsidP="00BB7E8B">
            <w:pPr>
              <w:spacing w:after="120" w:line="276"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Перспективи за 2030 г.</w:t>
            </w:r>
          </w:p>
          <w:p w14:paraId="47CF1BC5" w14:textId="77777777" w:rsidR="004E05D3" w:rsidRPr="00E15F8F" w:rsidRDefault="004E05D3" w:rsidP="00BB7E8B">
            <w:pPr>
              <w:spacing w:after="120" w:line="276" w:lineRule="auto"/>
              <w:jc w:val="both"/>
              <w:rPr>
                <w:rFonts w:ascii="Times New Roman" w:hAnsi="Times New Roman" w:cs="Times New Roman"/>
                <w:sz w:val="4"/>
                <w:szCs w:val="4"/>
                <w:lang w:val="bg-BG"/>
              </w:rPr>
            </w:pPr>
          </w:p>
        </w:tc>
        <w:tc>
          <w:tcPr>
            <w:tcW w:w="360" w:type="dxa"/>
            <w:shd w:val="clear" w:color="auto" w:fill="FFC000"/>
          </w:tcPr>
          <w:p w14:paraId="6F6925C9" w14:textId="77777777" w:rsidR="004E05D3" w:rsidRPr="00E15F8F" w:rsidRDefault="004E05D3" w:rsidP="00BB7E8B">
            <w:pPr>
              <w:spacing w:after="120" w:line="276" w:lineRule="auto"/>
              <w:jc w:val="both"/>
              <w:rPr>
                <w:rFonts w:ascii="Times New Roman" w:hAnsi="Times New Roman" w:cs="Times New Roman"/>
                <w:sz w:val="20"/>
                <w:szCs w:val="20"/>
                <w:lang w:val="bg-BG"/>
              </w:rPr>
            </w:pPr>
          </w:p>
        </w:tc>
        <w:tc>
          <w:tcPr>
            <w:tcW w:w="6655" w:type="dxa"/>
          </w:tcPr>
          <w:p w14:paraId="3CED8082" w14:textId="77777777" w:rsidR="008854ED" w:rsidRPr="00E15F8F" w:rsidRDefault="008854ED" w:rsidP="00BB7E8B">
            <w:pPr>
              <w:jc w:val="both"/>
              <w:rPr>
                <w:rFonts w:ascii="Times New Roman" w:hAnsi="Times New Roman" w:cs="Times New Roman"/>
                <w:sz w:val="20"/>
                <w:szCs w:val="20"/>
                <w:lang w:val="bg-BG"/>
              </w:rPr>
            </w:pPr>
            <w:r w:rsidRPr="00E15F8F">
              <w:rPr>
                <w:rFonts w:ascii="Times New Roman" w:eastAsia="Times New Roman" w:hAnsi="Times New Roman" w:cs="Times New Roman"/>
                <w:b/>
                <w:bCs/>
                <w:color w:val="ED7D31" w:themeColor="accent2"/>
                <w:sz w:val="20"/>
                <w:szCs w:val="20"/>
                <w:lang w:val="bg-BG"/>
              </w:rPr>
              <w:t>Тенденциите / промените представят нееднородна картина</w:t>
            </w:r>
            <w:r w:rsidRPr="00E15F8F">
              <w:rPr>
                <w:rFonts w:ascii="Times New Roman" w:hAnsi="Times New Roman" w:cs="Times New Roman"/>
                <w:sz w:val="20"/>
                <w:szCs w:val="20"/>
                <w:lang w:val="bg-BG"/>
              </w:rPr>
              <w:t xml:space="preserve"> </w:t>
            </w:r>
          </w:p>
          <w:p w14:paraId="14A3332F" w14:textId="21AB1FBE" w:rsidR="004E05D3" w:rsidRPr="00E15F8F" w:rsidRDefault="004E05D3" w:rsidP="00BB7E8B">
            <w:pPr>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Може да се очаква напредък в резултат от прилагането на изискванията на Рамковата директива за водите, но в комбинация със засиления риск от наводнения и нарастване на натиска от страна на хидроенергийните мощности.</w:t>
            </w:r>
          </w:p>
        </w:tc>
      </w:tr>
    </w:tbl>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4E05D3" w:rsidRPr="00E15F8F" w14:paraId="5F3EA8AF" w14:textId="77777777" w:rsidTr="00BB7E8B">
        <w:tc>
          <w:tcPr>
            <w:tcW w:w="9344" w:type="dxa"/>
            <w:gridSpan w:val="3"/>
          </w:tcPr>
          <w:p w14:paraId="2FDC8D40" w14:textId="77777777" w:rsidR="004E05D3" w:rsidRPr="00E15F8F" w:rsidRDefault="004E05D3" w:rsidP="00BB7E8B">
            <w:pPr>
              <w:spacing w:after="0" w:line="240"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Водни екосистеми и влажни зони</w:t>
            </w:r>
          </w:p>
          <w:p w14:paraId="3B239602" w14:textId="77777777" w:rsidR="004E05D3" w:rsidRPr="00E15F8F" w:rsidRDefault="004E05D3" w:rsidP="00BB7E8B">
            <w:pPr>
              <w:spacing w:after="0" w:line="240" w:lineRule="auto"/>
              <w:jc w:val="both"/>
              <w:rPr>
                <w:rFonts w:ascii="Times New Roman" w:hAnsi="Times New Roman" w:cs="Times New Roman"/>
                <w:sz w:val="20"/>
                <w:szCs w:val="20"/>
                <w:lang w:val="bg-BG"/>
              </w:rPr>
            </w:pPr>
          </w:p>
        </w:tc>
      </w:tr>
      <w:tr w:rsidR="004E05D3" w:rsidRPr="00E15F8F" w14:paraId="19E22F56" w14:textId="77777777" w:rsidTr="00BB7E8B">
        <w:tc>
          <w:tcPr>
            <w:tcW w:w="2334" w:type="dxa"/>
          </w:tcPr>
          <w:p w14:paraId="01DA393D" w14:textId="77777777" w:rsidR="004E05D3" w:rsidRPr="00E15F8F" w:rsidRDefault="004E05D3" w:rsidP="00BB7E8B">
            <w:pPr>
              <w:spacing w:after="120" w:line="276"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Тенденции през последните 10 години</w:t>
            </w:r>
          </w:p>
          <w:p w14:paraId="2BD28FB6" w14:textId="77777777" w:rsidR="004E05D3" w:rsidRPr="00E15F8F" w:rsidRDefault="004E05D3" w:rsidP="00BB7E8B">
            <w:pPr>
              <w:spacing w:after="120" w:line="276" w:lineRule="auto"/>
              <w:jc w:val="both"/>
              <w:rPr>
                <w:rFonts w:ascii="Times New Roman" w:hAnsi="Times New Roman" w:cs="Times New Roman"/>
                <w:sz w:val="4"/>
                <w:szCs w:val="4"/>
                <w:lang w:val="bg-BG"/>
              </w:rPr>
            </w:pPr>
          </w:p>
        </w:tc>
        <w:tc>
          <w:tcPr>
            <w:tcW w:w="360" w:type="dxa"/>
            <w:shd w:val="clear" w:color="auto" w:fill="C00000"/>
          </w:tcPr>
          <w:p w14:paraId="47DFF596" w14:textId="77777777" w:rsidR="004E05D3" w:rsidRPr="00E15F8F" w:rsidRDefault="004E05D3" w:rsidP="00BB7E8B">
            <w:pPr>
              <w:spacing w:after="120" w:line="276" w:lineRule="auto"/>
              <w:jc w:val="both"/>
              <w:rPr>
                <w:rFonts w:ascii="Times New Roman" w:hAnsi="Times New Roman" w:cs="Times New Roman"/>
                <w:sz w:val="20"/>
                <w:szCs w:val="20"/>
                <w:lang w:val="bg-BG"/>
              </w:rPr>
            </w:pPr>
          </w:p>
        </w:tc>
        <w:tc>
          <w:tcPr>
            <w:tcW w:w="6650" w:type="dxa"/>
          </w:tcPr>
          <w:p w14:paraId="0FA46382" w14:textId="77777777" w:rsidR="00CE675C" w:rsidRPr="00E15F8F" w:rsidRDefault="00CE675C" w:rsidP="00CE675C">
            <w:pPr>
              <w:spacing w:after="0" w:line="224" w:lineRule="atLeast"/>
              <w:jc w:val="both"/>
              <w:rPr>
                <w:rFonts w:ascii="Times New Roman" w:hAnsi="Times New Roman" w:cs="Times New Roman"/>
                <w:b/>
                <w:bCs/>
                <w:sz w:val="20"/>
                <w:szCs w:val="20"/>
                <w:lang w:val="bg-BG"/>
              </w:rPr>
            </w:pPr>
            <w:r w:rsidRPr="00E15F8F">
              <w:rPr>
                <w:rFonts w:ascii="Times New Roman" w:eastAsia="Times New Roman" w:hAnsi="Times New Roman" w:cs="Times New Roman"/>
                <w:b/>
                <w:bCs/>
                <w:color w:val="C0504D"/>
                <w:sz w:val="20"/>
                <w:szCs w:val="20"/>
                <w:lang w:val="bg-BG"/>
              </w:rPr>
              <w:t>Тенденциите / промените към влошаване преобладават</w:t>
            </w:r>
          </w:p>
          <w:p w14:paraId="482DA365" w14:textId="77777777" w:rsidR="004E05D3" w:rsidRPr="00E15F8F" w:rsidRDefault="004E05D3" w:rsidP="00BB7E8B">
            <w:pPr>
              <w:spacing w:after="0" w:line="240"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 xml:space="preserve">Оценката е затруднена предвид липсата на достатъчно и актуална информация и данни от мониторинг на екосистемите. Природозащитното състояние на морските и сладководните екосистеми (местообитания и видове) не се подобрява, като остава преобладаващо неблагоприятно и лошо. </w:t>
            </w:r>
          </w:p>
        </w:tc>
      </w:tr>
    </w:tbl>
    <w:tbl>
      <w:tblPr>
        <w:tblStyle w:val="TableGrid"/>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34"/>
        <w:gridCol w:w="360"/>
        <w:gridCol w:w="6650"/>
      </w:tblGrid>
      <w:tr w:rsidR="004E05D3" w:rsidRPr="00E15F8F" w14:paraId="35E687E1" w14:textId="77777777" w:rsidTr="00BB7E8B">
        <w:tc>
          <w:tcPr>
            <w:tcW w:w="2335" w:type="dxa"/>
          </w:tcPr>
          <w:p w14:paraId="153EC153" w14:textId="77777777" w:rsidR="004E05D3" w:rsidRPr="00E15F8F" w:rsidRDefault="004E05D3" w:rsidP="00BB7E8B">
            <w:pPr>
              <w:spacing w:after="120" w:line="276"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Перспективи за 2030 г.</w:t>
            </w:r>
          </w:p>
          <w:p w14:paraId="238B40C8" w14:textId="77777777" w:rsidR="004E05D3" w:rsidRPr="00E15F8F" w:rsidRDefault="004E05D3" w:rsidP="00BB7E8B">
            <w:pPr>
              <w:spacing w:after="120" w:line="276" w:lineRule="auto"/>
              <w:jc w:val="both"/>
              <w:rPr>
                <w:rFonts w:ascii="Times New Roman" w:hAnsi="Times New Roman" w:cs="Times New Roman"/>
                <w:sz w:val="4"/>
                <w:szCs w:val="4"/>
                <w:lang w:val="bg-BG"/>
              </w:rPr>
            </w:pPr>
          </w:p>
        </w:tc>
        <w:tc>
          <w:tcPr>
            <w:tcW w:w="360" w:type="dxa"/>
            <w:shd w:val="clear" w:color="auto" w:fill="FFC000"/>
          </w:tcPr>
          <w:p w14:paraId="3040F1E7" w14:textId="77777777" w:rsidR="004E05D3" w:rsidRPr="00E15F8F" w:rsidRDefault="004E05D3" w:rsidP="00BB7E8B">
            <w:pPr>
              <w:spacing w:after="120" w:line="276" w:lineRule="auto"/>
              <w:jc w:val="both"/>
              <w:rPr>
                <w:rFonts w:ascii="Times New Roman" w:hAnsi="Times New Roman" w:cs="Times New Roman"/>
                <w:sz w:val="20"/>
                <w:szCs w:val="20"/>
                <w:lang w:val="bg-BG"/>
              </w:rPr>
            </w:pPr>
          </w:p>
        </w:tc>
        <w:tc>
          <w:tcPr>
            <w:tcW w:w="6655" w:type="dxa"/>
          </w:tcPr>
          <w:p w14:paraId="76A7CF08" w14:textId="77777777" w:rsidR="008854ED" w:rsidRPr="00E15F8F" w:rsidRDefault="008854ED" w:rsidP="00BB7E8B">
            <w:pPr>
              <w:jc w:val="both"/>
              <w:rPr>
                <w:rFonts w:ascii="Times New Roman" w:hAnsi="Times New Roman" w:cs="Times New Roman"/>
                <w:sz w:val="20"/>
                <w:szCs w:val="20"/>
                <w:lang w:val="bg-BG"/>
              </w:rPr>
            </w:pPr>
            <w:r w:rsidRPr="00E15F8F">
              <w:rPr>
                <w:rFonts w:ascii="Times New Roman" w:eastAsia="Times New Roman" w:hAnsi="Times New Roman" w:cs="Times New Roman"/>
                <w:b/>
                <w:bCs/>
                <w:color w:val="ED7D31" w:themeColor="accent2"/>
                <w:sz w:val="20"/>
                <w:szCs w:val="20"/>
                <w:lang w:val="bg-BG"/>
              </w:rPr>
              <w:t>Тенденциите / промените представят нееднородна картина</w:t>
            </w:r>
            <w:r w:rsidRPr="00E15F8F">
              <w:rPr>
                <w:rFonts w:ascii="Times New Roman" w:hAnsi="Times New Roman" w:cs="Times New Roman"/>
                <w:sz w:val="20"/>
                <w:szCs w:val="20"/>
                <w:lang w:val="bg-BG"/>
              </w:rPr>
              <w:t xml:space="preserve"> </w:t>
            </w:r>
          </w:p>
          <w:p w14:paraId="29AEE727" w14:textId="59178720" w:rsidR="004E05D3" w:rsidRPr="00E15F8F" w:rsidRDefault="004E05D3" w:rsidP="00BB7E8B">
            <w:pPr>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Очакван напредък по изпълнение на целите на Рамковата директива за водите, Директивата за наводненията, Директивите за птиците и местообитанията, предвид одобрението и прилагането на нова национална стратегическа размка за опазване на биологичното разнообразие.</w:t>
            </w:r>
          </w:p>
        </w:tc>
      </w:tr>
      <w:bookmarkEnd w:id="47"/>
    </w:tbl>
    <w:p w14:paraId="67F78BDE" w14:textId="77777777" w:rsidR="004E05D3" w:rsidRPr="00E15F8F" w:rsidRDefault="004E05D3" w:rsidP="004E05D3">
      <w:pPr>
        <w:shd w:val="clear" w:color="auto" w:fill="FFFFFF"/>
        <w:spacing w:after="120" w:line="276" w:lineRule="auto"/>
        <w:jc w:val="both"/>
        <w:rPr>
          <w:rFonts w:ascii="Times New Roman" w:eastAsia="Times New Roman" w:hAnsi="Times New Roman" w:cs="Times New Roman"/>
          <w:sz w:val="26"/>
          <w:szCs w:val="26"/>
          <w:lang w:val="bg-BG"/>
        </w:rPr>
      </w:pPr>
    </w:p>
    <w:p w14:paraId="1EBDA848" w14:textId="77777777" w:rsidR="004E05D3" w:rsidRPr="00456BFA" w:rsidRDefault="004E05D3" w:rsidP="00456BFA">
      <w:pPr>
        <w:shd w:val="clear" w:color="auto" w:fill="FFFFFF"/>
        <w:spacing w:before="120" w:after="120" w:line="264" w:lineRule="auto"/>
        <w:jc w:val="both"/>
        <w:rPr>
          <w:rFonts w:ascii="Times New Roman" w:hAnsi="Times New Roman" w:cs="Times New Roman"/>
          <w:lang w:val="bg-BG"/>
        </w:rPr>
      </w:pPr>
      <w:r w:rsidRPr="00456BFA">
        <w:rPr>
          <w:rFonts w:ascii="Times New Roman" w:hAnsi="Times New Roman" w:cs="Times New Roman"/>
          <w:color w:val="000000"/>
          <w:lang w:val="bg-BG"/>
        </w:rPr>
        <w:t xml:space="preserve">Последният доклад на ЕК по прилагане на политиките по околна среда за България отчита </w:t>
      </w:r>
      <w:r w:rsidRPr="00456BFA">
        <w:rPr>
          <w:rFonts w:ascii="Times New Roman" w:hAnsi="Times New Roman" w:cs="Times New Roman"/>
          <w:b/>
          <w:bCs/>
          <w:color w:val="000000"/>
          <w:lang w:val="bg-BG"/>
        </w:rPr>
        <w:t>напредъка на страната</w:t>
      </w:r>
      <w:r w:rsidRPr="00456BFA">
        <w:rPr>
          <w:rFonts w:ascii="Times New Roman" w:hAnsi="Times New Roman" w:cs="Times New Roman"/>
          <w:color w:val="000000"/>
          <w:lang w:val="bg-BG"/>
        </w:rPr>
        <w:t xml:space="preserve"> по приемането и изпълнението на второ поколение ПУРБ</w:t>
      </w:r>
      <w:r w:rsidRPr="00456BFA">
        <w:rPr>
          <w:rStyle w:val="FootnoteReference"/>
          <w:rFonts w:ascii="Times New Roman" w:hAnsi="Times New Roman" w:cs="Times New Roman"/>
          <w:color w:val="000000"/>
          <w:lang w:val="bg-BG"/>
        </w:rPr>
        <w:footnoteReference w:id="57"/>
      </w:r>
      <w:r w:rsidRPr="00456BFA">
        <w:rPr>
          <w:rFonts w:ascii="Times New Roman" w:hAnsi="Times New Roman" w:cs="Times New Roman"/>
          <w:color w:val="000000"/>
          <w:lang w:val="bg-BG"/>
        </w:rPr>
        <w:t>. Отбелязват се обаче и значителни пропуски, свързани с установяването на</w:t>
      </w:r>
      <w:r w:rsidRPr="00456BFA">
        <w:rPr>
          <w:rFonts w:ascii="Times New Roman" w:hAnsi="Times New Roman" w:cs="Times New Roman"/>
          <w:lang w:val="bg-BG"/>
        </w:rPr>
        <w:t xml:space="preserve"> референтни условия и елементи на качеството за всички категории води в България, така и при подлаганите на мониторинг елементи на качеството, включително липсата на мониторинг на хидроморфологичния натиск в езерата и преходните води.</w:t>
      </w:r>
    </w:p>
    <w:p w14:paraId="6CED8375" w14:textId="77777777" w:rsidR="004E05D3" w:rsidRPr="00456BFA" w:rsidRDefault="004E05D3"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xml:space="preserve">Отчита се и увеличението на броя на наблюдаваните обекти и водните обекти с наблюдавано химично състояние във всички водни категории. </w:t>
      </w:r>
    </w:p>
    <w:p w14:paraId="6ED90D45" w14:textId="77777777" w:rsidR="004E05D3" w:rsidRPr="00456BFA" w:rsidRDefault="004E05D3"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Между първия и втория план за управление на речните басейни е отбелязан напредък в разработването на редица общи национални методики и ръководства за наблюдение и оценка на химичното състояние. Липсата на достатъчно и сравними данни за голяма част от обектите обаче продължава да бъде основна критика.</w:t>
      </w:r>
    </w:p>
    <w:p w14:paraId="17DF1451" w14:textId="77777777" w:rsidR="004E05D3" w:rsidRPr="00456BFA" w:rsidRDefault="004E05D3" w:rsidP="00456BFA">
      <w:pPr>
        <w:autoSpaceDE w:val="0"/>
        <w:autoSpaceDN w:val="0"/>
        <w:adjustRightInd w:val="0"/>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lastRenderedPageBreak/>
        <w:t>Отбелязват се и трудностите на страната по постигане на съответствие с Директивата за пречистване на градските отпадъчни води, въпреки продължаващите инвестиции в изграждането на инфраструктура за отвеждане и пречистване.</w:t>
      </w:r>
      <w:r w:rsidRPr="00456BFA">
        <w:rPr>
          <w:rFonts w:ascii="Times New Roman" w:hAnsi="Times New Roman" w:cs="Times New Roman"/>
          <w:lang w:val="bg-BG"/>
        </w:rPr>
        <w:tab/>
      </w:r>
    </w:p>
    <w:p w14:paraId="641B31D4" w14:textId="77777777" w:rsidR="004E05D3" w:rsidRPr="00456BFA" w:rsidRDefault="004E05D3" w:rsidP="00456BFA">
      <w:pPr>
        <w:autoSpaceDE w:val="0"/>
        <w:autoSpaceDN w:val="0"/>
        <w:adjustRightInd w:val="0"/>
        <w:spacing w:before="120" w:after="120" w:line="264" w:lineRule="auto"/>
        <w:jc w:val="both"/>
        <w:rPr>
          <w:rFonts w:ascii="Times New Roman" w:hAnsi="Times New Roman" w:cs="Times New Roman"/>
          <w:color w:val="000000"/>
          <w:lang w:val="bg-BG"/>
        </w:rPr>
      </w:pPr>
      <w:r w:rsidRPr="00456BFA">
        <w:rPr>
          <w:rFonts w:ascii="Times New Roman" w:hAnsi="Times New Roman" w:cs="Times New Roman"/>
          <w:lang w:val="bg-BG"/>
        </w:rPr>
        <w:t xml:space="preserve">В плановете за управление на речните басейни следва ясно да се посочват пречките пред постигането на добро състояние на водните тела в обвързаност с планираните програми от мерки за тяхното отстраняване. </w:t>
      </w:r>
      <w:r w:rsidRPr="00456BFA">
        <w:rPr>
          <w:rFonts w:ascii="Times New Roman" w:hAnsi="Times New Roman" w:cs="Times New Roman"/>
          <w:color w:val="000000"/>
          <w:lang w:val="bg-BG"/>
        </w:rPr>
        <w:t>Като ключов фактор за успеха се посочва необходимостта от финансиране в подкрепа на необходимите инвестиции.</w:t>
      </w:r>
    </w:p>
    <w:p w14:paraId="02537A05" w14:textId="77777777" w:rsidR="004E05D3" w:rsidRPr="00456BFA" w:rsidRDefault="004E05D3" w:rsidP="00456BFA">
      <w:pPr>
        <w:autoSpaceDE w:val="0"/>
        <w:autoSpaceDN w:val="0"/>
        <w:adjustRightInd w:val="0"/>
        <w:spacing w:before="120" w:after="120" w:line="264" w:lineRule="auto"/>
        <w:jc w:val="both"/>
        <w:rPr>
          <w:rFonts w:ascii="Times New Roman" w:hAnsi="Times New Roman" w:cs="Times New Roman"/>
          <w:color w:val="000000"/>
          <w:lang w:val="bg-BG"/>
        </w:rPr>
      </w:pPr>
      <w:r w:rsidRPr="00456BFA">
        <w:rPr>
          <w:rFonts w:ascii="Times New Roman" w:hAnsi="Times New Roman" w:cs="Times New Roman"/>
          <w:color w:val="000000"/>
          <w:lang w:val="bg-BG"/>
        </w:rPr>
        <w:t>България докладва напредъка по изпълнението на първите планове за управление на риска от наводнения съгласно директивата. ЕК подчертава положените значителни и ефикасни усилия при определянето на цели и разработването на мерки за превенция, защита и готовност за управление на наводненията. Отбелязва се обаче, че, подобно на други държави членки, ПУРН в България все още не включват възможно най-пълна прогноза на разходите и конкретни източници на финансиране. Препоръчва се разширяване на използването на анализа на разходите и ползите за приоритизиране на подходящите интервенции.</w:t>
      </w:r>
    </w:p>
    <w:p w14:paraId="577CC9C9" w14:textId="54C31657" w:rsidR="004E05D3" w:rsidRPr="00456BFA" w:rsidRDefault="004E05D3" w:rsidP="00456BFA">
      <w:pPr>
        <w:autoSpaceDE w:val="0"/>
        <w:autoSpaceDN w:val="0"/>
        <w:adjustRightInd w:val="0"/>
        <w:spacing w:before="120" w:after="120" w:line="264" w:lineRule="auto"/>
        <w:jc w:val="both"/>
        <w:rPr>
          <w:rFonts w:ascii="Times New Roman" w:hAnsi="Times New Roman" w:cs="Times New Roman"/>
          <w:color w:val="000000"/>
          <w:lang w:val="bg-BG"/>
        </w:rPr>
      </w:pPr>
      <w:r w:rsidRPr="00456BFA">
        <w:rPr>
          <w:rFonts w:ascii="Times New Roman" w:hAnsi="Times New Roman" w:cs="Times New Roman"/>
          <w:color w:val="000000"/>
          <w:lang w:val="bg-BG"/>
        </w:rPr>
        <w:t>В Доклада на ЕК се посочва, че изготвената от страната програма от мерки за постигане на добро екологично състояние на морската среда адресира най-големите рискове и свързаните с тях дейности, макар и при някои пропуски, например: щети, причинени от пр</w:t>
      </w:r>
      <w:r w:rsidR="00A6097C" w:rsidRPr="00456BFA">
        <w:rPr>
          <w:rFonts w:ascii="Times New Roman" w:hAnsi="Times New Roman" w:cs="Times New Roman"/>
          <w:color w:val="000000"/>
          <w:lang w:val="bg-BG"/>
        </w:rPr>
        <w:t>и</w:t>
      </w:r>
      <w:r w:rsidRPr="00456BFA">
        <w:rPr>
          <w:rFonts w:ascii="Times New Roman" w:hAnsi="Times New Roman" w:cs="Times New Roman"/>
          <w:color w:val="000000"/>
          <w:lang w:val="bg-BG"/>
        </w:rPr>
        <w:t>станищна дейност, придобиване на територия от морето и брегови укрепления. Основна критика е липсата на ясен график за постигане на добро екологично състояние.</w:t>
      </w:r>
    </w:p>
    <w:p w14:paraId="69561829" w14:textId="77777777" w:rsidR="004E05D3" w:rsidRPr="00456BFA" w:rsidRDefault="004E05D3" w:rsidP="00456BFA">
      <w:pPr>
        <w:autoSpaceDE w:val="0"/>
        <w:autoSpaceDN w:val="0"/>
        <w:adjustRightInd w:val="0"/>
        <w:spacing w:before="120" w:after="120" w:line="264" w:lineRule="auto"/>
        <w:jc w:val="both"/>
        <w:rPr>
          <w:rFonts w:ascii="Times New Roman" w:hAnsi="Times New Roman" w:cs="Times New Roman"/>
          <w:u w:val="single"/>
          <w:lang w:val="bg-BG"/>
        </w:rPr>
      </w:pPr>
      <w:r w:rsidRPr="00456BFA">
        <w:rPr>
          <w:rFonts w:ascii="Times New Roman" w:hAnsi="Times New Roman" w:cs="Times New Roman"/>
          <w:color w:val="000000"/>
          <w:lang w:val="bg-BG"/>
        </w:rPr>
        <w:t xml:space="preserve">Докладът формулира и следните препоръки за България </w:t>
      </w:r>
      <w:r w:rsidRPr="00456BFA">
        <w:rPr>
          <w:rFonts w:ascii="Times New Roman" w:hAnsi="Times New Roman" w:cs="Times New Roman"/>
          <w:u w:val="single"/>
          <w:lang w:val="bg-BG"/>
        </w:rPr>
        <w:t>в областта на опазването на морската среда:</w:t>
      </w:r>
    </w:p>
    <w:p w14:paraId="26E9BC35" w14:textId="77777777" w:rsidR="004E05D3" w:rsidRPr="00456BFA" w:rsidRDefault="004E05D3"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да се определи съответното добро екологично състояние и относимите цели (когато такива не съществуват), както и срокове за постигането им.</w:t>
      </w:r>
    </w:p>
    <w:p w14:paraId="6FE5F286" w14:textId="77777777" w:rsidR="004E05D3" w:rsidRPr="00456BFA" w:rsidRDefault="004E05D3"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да се предостави повече информация за мерките за постигане на добро екологично състояние, да се установят повече мерки с пряко въздействие върху натиска и количествено да се определи очакваното намаляване на този натиск.</w:t>
      </w:r>
    </w:p>
    <w:p w14:paraId="63960480" w14:textId="77777777" w:rsidR="004E05D3" w:rsidRPr="00456BFA" w:rsidRDefault="004E05D3"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да се гарантира регионално сътрудничество, когато това е практически осъществимо и целесъобразно, за справяне с преобладаващите видове натиск в Черноморския регион.</w:t>
      </w:r>
    </w:p>
    <w:p w14:paraId="0D378C3A" w14:textId="77777777" w:rsidR="004E05D3" w:rsidRPr="00456BFA" w:rsidRDefault="004E05D3"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да се гарантира своевременното докладване на различните елементи съгласно Рамковата директива за морска стратегия в рамките на определения срок.</w:t>
      </w:r>
    </w:p>
    <w:p w14:paraId="270B4BDD" w14:textId="77777777" w:rsidR="004E05D3" w:rsidRPr="00456BFA" w:rsidRDefault="004E05D3"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По отношение на постигането на целите по качеството и управлението на водите основните препоръки са свързани с:</w:t>
      </w:r>
    </w:p>
    <w:p w14:paraId="776A1900" w14:textId="77777777" w:rsidR="004E05D3" w:rsidRPr="00456BFA" w:rsidRDefault="004E05D3"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подобряване на капацитета за наблюдение, с цел намаляване на зависимостта от експертни становища за оценка на екологичното състояние (екологичния потенциал) на водните обекти в съответствие с Рамковата директива за водите;</w:t>
      </w:r>
    </w:p>
    <w:p w14:paraId="3C4E0C49" w14:textId="77777777" w:rsidR="004E05D3" w:rsidRPr="00456BFA" w:rsidRDefault="004E05D3"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гарантиране, че проектите, които потенциално могат да повлияят на състоянието на водните обекти, са били подложени на обстойна оценка и са съпроводени с обосновка в съответствие с изискванията на Рамковата директива за водите (член 4, параграф 7);</w:t>
      </w:r>
    </w:p>
    <w:p w14:paraId="193A2CF4" w14:textId="77777777" w:rsidR="004E05D3" w:rsidRPr="00456BFA" w:rsidRDefault="004E05D3"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t>- полагането на допълнителни усилия за отстраняване на несъответствията с Директивата за пречистването на градските отпадъчни води;</w:t>
      </w:r>
    </w:p>
    <w:p w14:paraId="67DB5DB6" w14:textId="77777777" w:rsidR="004E05D3" w:rsidRPr="00456BFA" w:rsidRDefault="004E05D3" w:rsidP="00456BFA">
      <w:pPr>
        <w:spacing w:before="120" w:after="120" w:line="264" w:lineRule="auto"/>
        <w:jc w:val="both"/>
        <w:rPr>
          <w:rFonts w:ascii="Times New Roman" w:hAnsi="Times New Roman" w:cs="Times New Roman"/>
          <w:lang w:val="bg-BG"/>
        </w:rPr>
      </w:pPr>
      <w:r w:rsidRPr="00456BFA">
        <w:rPr>
          <w:rFonts w:ascii="Times New Roman" w:hAnsi="Times New Roman" w:cs="Times New Roman"/>
          <w:lang w:val="bg-BG"/>
        </w:rPr>
        <w:lastRenderedPageBreak/>
        <w:t>- предприемане на стъпки за изясняване на метода за избор на мерки, включително използването на анализ на разходите и ползите по отношение на плановете за управление на риска от наводнения.</w:t>
      </w:r>
    </w:p>
    <w:p w14:paraId="0C903195" w14:textId="0D016E0A" w:rsidR="00066EFE" w:rsidRDefault="00066EFE" w:rsidP="00456BFA">
      <w:pPr>
        <w:spacing w:before="120" w:after="120" w:line="264" w:lineRule="auto"/>
        <w:jc w:val="both"/>
        <w:rPr>
          <w:rFonts w:ascii="Times New Roman" w:hAnsi="Times New Roman" w:cs="Times New Roman"/>
          <w:lang w:val="bg-BG"/>
        </w:rPr>
      </w:pPr>
      <w:bookmarkStart w:id="50" w:name="_Hlk72858701"/>
      <w:r w:rsidRPr="00456BFA">
        <w:rPr>
          <w:rFonts w:ascii="Times New Roman" w:hAnsi="Times New Roman" w:cs="Times New Roman"/>
          <w:lang w:val="bg-BG"/>
        </w:rPr>
        <w:t xml:space="preserve">Резултатите от анализа на състоянието, тенценциите и перспективите в сектор води </w:t>
      </w:r>
      <w:r w:rsidR="00E22DC9" w:rsidRPr="00456BFA">
        <w:rPr>
          <w:rFonts w:ascii="Times New Roman" w:hAnsi="Times New Roman" w:cs="Times New Roman"/>
          <w:lang w:val="bg-BG"/>
        </w:rPr>
        <w:t>аргументират</w:t>
      </w:r>
      <w:r w:rsidRPr="00456BFA">
        <w:rPr>
          <w:rFonts w:ascii="Times New Roman" w:hAnsi="Times New Roman" w:cs="Times New Roman"/>
          <w:lang w:val="bg-BG"/>
        </w:rPr>
        <w:t xml:space="preserve"> възможни решения и препоръки</w:t>
      </w:r>
      <w:r w:rsidR="00E22DC9" w:rsidRPr="00456BFA">
        <w:rPr>
          <w:rFonts w:ascii="Times New Roman" w:hAnsi="Times New Roman" w:cs="Times New Roman"/>
          <w:lang w:val="bg-BG"/>
        </w:rPr>
        <w:t>, разпределени в четири компонента: управление и водоползване, качество на водите, свързани с водите екосистеми, хидроморфологичен натиск.</w:t>
      </w:r>
      <w:bookmarkEnd w:id="50"/>
      <w:r w:rsidR="00E22DC9" w:rsidRPr="00456BFA">
        <w:rPr>
          <w:rFonts w:ascii="Times New Roman" w:hAnsi="Times New Roman" w:cs="Times New Roman"/>
          <w:lang w:val="bg-BG"/>
        </w:rPr>
        <w:t xml:space="preserve"> </w:t>
      </w:r>
      <w:r w:rsidR="00C61707" w:rsidRPr="00456BFA">
        <w:rPr>
          <w:rFonts w:ascii="Times New Roman" w:hAnsi="Times New Roman" w:cs="Times New Roman"/>
          <w:lang w:val="bg-BG"/>
        </w:rPr>
        <w:t>Отразена е</w:t>
      </w:r>
      <w:r w:rsidR="00E22DC9" w:rsidRPr="00456BFA">
        <w:rPr>
          <w:rFonts w:ascii="Times New Roman" w:hAnsi="Times New Roman" w:cs="Times New Roman"/>
          <w:lang w:val="bg-BG"/>
        </w:rPr>
        <w:t xml:space="preserve"> </w:t>
      </w:r>
      <w:r w:rsidR="00C61707" w:rsidRPr="00456BFA">
        <w:rPr>
          <w:rFonts w:ascii="Times New Roman" w:hAnsi="Times New Roman" w:cs="Times New Roman"/>
          <w:lang w:val="bg-BG"/>
        </w:rPr>
        <w:t>информацията</w:t>
      </w:r>
      <w:r w:rsidR="00E22DC9" w:rsidRPr="00456BFA">
        <w:rPr>
          <w:rFonts w:ascii="Times New Roman" w:hAnsi="Times New Roman" w:cs="Times New Roman"/>
          <w:lang w:val="bg-BG"/>
        </w:rPr>
        <w:t xml:space="preserve"> от Доклада на ЕК за България за 2019 г.</w:t>
      </w:r>
      <w:r w:rsidR="00AF6CF5" w:rsidRPr="00456BFA">
        <w:rPr>
          <w:rStyle w:val="FootnoteReference"/>
          <w:rFonts w:ascii="Times New Roman" w:hAnsi="Times New Roman" w:cs="Times New Roman"/>
          <w:lang w:val="bg-BG"/>
        </w:rPr>
        <w:footnoteReference w:id="58"/>
      </w:r>
      <w:r w:rsidR="00E22DC9" w:rsidRPr="00456BFA">
        <w:rPr>
          <w:rFonts w:ascii="Times New Roman" w:hAnsi="Times New Roman" w:cs="Times New Roman"/>
          <w:lang w:val="bg-BG"/>
        </w:rPr>
        <w:t xml:space="preserve">,  </w:t>
      </w:r>
      <w:r w:rsidR="00AF6CF5" w:rsidRPr="00456BFA">
        <w:rPr>
          <w:rFonts w:ascii="Times New Roman" w:hAnsi="Times New Roman" w:cs="Times New Roman"/>
          <w:lang w:val="bg-BG"/>
        </w:rPr>
        <w:t xml:space="preserve">Третият </w:t>
      </w:r>
      <w:r w:rsidR="00E22DC9" w:rsidRPr="00456BFA">
        <w:rPr>
          <w:rFonts w:ascii="Times New Roman" w:hAnsi="Times New Roman" w:cs="Times New Roman"/>
          <w:lang w:val="bg-BG"/>
        </w:rPr>
        <w:t xml:space="preserve">доклад на ИКЕ на ООН за България от </w:t>
      </w:r>
      <w:r w:rsidR="00AF6CF5" w:rsidRPr="00456BFA">
        <w:rPr>
          <w:rFonts w:ascii="Times New Roman" w:hAnsi="Times New Roman" w:cs="Times New Roman"/>
          <w:lang w:val="bg-BG"/>
        </w:rPr>
        <w:t>2017 г.</w:t>
      </w:r>
      <w:r w:rsidR="00AF6CF5" w:rsidRPr="00456BFA">
        <w:rPr>
          <w:rStyle w:val="FootnoteReference"/>
          <w:rFonts w:ascii="Times New Roman" w:hAnsi="Times New Roman" w:cs="Times New Roman"/>
          <w:lang w:val="bg-BG"/>
        </w:rPr>
        <w:footnoteReference w:id="59"/>
      </w:r>
      <w:r w:rsidR="00AF6CF5" w:rsidRPr="00456BFA">
        <w:rPr>
          <w:rFonts w:ascii="Times New Roman" w:hAnsi="Times New Roman" w:cs="Times New Roman"/>
          <w:lang w:val="bg-BG"/>
        </w:rPr>
        <w:t>, с фокус върху идентифицираните нужди и предизвикателства в разработените ПУРБ 2016 – 2021 г.</w:t>
      </w:r>
      <w:r w:rsidR="00C61707" w:rsidRPr="00456BFA">
        <w:rPr>
          <w:rFonts w:ascii="Times New Roman" w:hAnsi="Times New Roman" w:cs="Times New Roman"/>
          <w:lang w:val="bg-BG"/>
        </w:rPr>
        <w:t xml:space="preserve"> Формулираните препоръки не представляват изчерпателен преглед на необходимите за изпълнение мерки, </w:t>
      </w:r>
      <w:r w:rsidR="005056B5" w:rsidRPr="00456BFA">
        <w:rPr>
          <w:rFonts w:ascii="Times New Roman" w:hAnsi="Times New Roman" w:cs="Times New Roman"/>
          <w:lang w:val="bg-BG"/>
        </w:rPr>
        <w:t>но</w:t>
      </w:r>
      <w:r w:rsidR="00C61707" w:rsidRPr="00456BFA">
        <w:rPr>
          <w:rFonts w:ascii="Times New Roman" w:hAnsi="Times New Roman" w:cs="Times New Roman"/>
          <w:lang w:val="bg-BG"/>
        </w:rPr>
        <w:t xml:space="preserve"> очертават области на интервенция </w:t>
      </w:r>
      <w:r w:rsidR="006F799F" w:rsidRPr="00456BFA">
        <w:rPr>
          <w:rFonts w:ascii="Times New Roman" w:hAnsi="Times New Roman" w:cs="Times New Roman"/>
          <w:lang w:val="bg-BG"/>
        </w:rPr>
        <w:t>в няколко аспекта: мобилизиране на ресурси и ускоряване на процеса по изграждане/ реконструкция и разширяване на екологичната инфраструктура, надграждане на подходите на планиране, мониторинг и оценка на състоянието на водните ресурси, създаване на условия и капацитет за интегрирано управление.</w:t>
      </w:r>
    </w:p>
    <w:p w14:paraId="0AE72A29" w14:textId="77777777" w:rsidR="00456BFA" w:rsidRPr="00456BFA" w:rsidRDefault="00456BFA" w:rsidP="00456BFA">
      <w:pPr>
        <w:spacing w:before="120" w:after="120" w:line="264" w:lineRule="auto"/>
        <w:jc w:val="both"/>
        <w:rPr>
          <w:rFonts w:ascii="Times New Roman" w:hAnsi="Times New Roman" w:cs="Times New Roman"/>
          <w:lang w:val="bg-BG"/>
        </w:rPr>
      </w:pPr>
    </w:p>
    <w:tbl>
      <w:tblPr>
        <w:tblW w:w="9576" w:type="dxa"/>
        <w:tblCellMar>
          <w:left w:w="10" w:type="dxa"/>
          <w:right w:w="10" w:type="dxa"/>
        </w:tblCellMar>
        <w:tblLook w:val="04A0" w:firstRow="1" w:lastRow="0" w:firstColumn="1" w:lastColumn="0" w:noHBand="0" w:noVBand="1"/>
      </w:tblPr>
      <w:tblGrid>
        <w:gridCol w:w="4315"/>
        <w:gridCol w:w="5261"/>
      </w:tblGrid>
      <w:tr w:rsidR="00066EFE" w:rsidRPr="00E15F8F" w14:paraId="1827A77B" w14:textId="77777777" w:rsidTr="00BB7E8B">
        <w:tc>
          <w:tcPr>
            <w:tcW w:w="9576" w:type="dxa"/>
            <w:gridSpan w:val="2"/>
            <w:tcBorders>
              <w:top w:val="double" w:sz="4" w:space="0" w:color="000000"/>
              <w:left w:val="single" w:sz="4" w:space="0" w:color="000000"/>
              <w:bottom w:val="single" w:sz="4" w:space="0" w:color="000000"/>
              <w:right w:val="single" w:sz="4" w:space="0" w:color="000000"/>
            </w:tcBorders>
            <w:shd w:val="clear" w:color="auto" w:fill="D9E2F3" w:themeFill="accent1" w:themeFillTint="33"/>
            <w:tcMar>
              <w:top w:w="0" w:type="dxa"/>
              <w:left w:w="108" w:type="dxa"/>
              <w:bottom w:w="0" w:type="dxa"/>
              <w:right w:w="108" w:type="dxa"/>
            </w:tcMar>
          </w:tcPr>
          <w:p w14:paraId="78DB826E" w14:textId="68A57DE5" w:rsidR="00066EFE" w:rsidRPr="00E15F8F" w:rsidRDefault="00066EFE" w:rsidP="00E050A8">
            <w:pPr>
              <w:pStyle w:val="a"/>
              <w:numPr>
                <w:ilvl w:val="0"/>
                <w:numId w:val="0"/>
              </w:numPr>
              <w:spacing w:after="0" w:line="264" w:lineRule="auto"/>
              <w:ind w:left="360" w:hanging="360"/>
              <w:textAlignment w:val="auto"/>
              <w:rPr>
                <w:b/>
                <w:bCs/>
                <w:sz w:val="20"/>
                <w:szCs w:val="20"/>
                <w:lang w:val="bg-BG"/>
              </w:rPr>
            </w:pPr>
            <w:bookmarkStart w:id="51" w:name="_Hlk72814615"/>
            <w:r w:rsidRPr="00E15F8F">
              <w:rPr>
                <w:b/>
                <w:bCs/>
                <w:sz w:val="20"/>
                <w:szCs w:val="20"/>
                <w:lang w:val="bg-BG"/>
              </w:rPr>
              <w:t>Управление на водите и водоползване</w:t>
            </w:r>
          </w:p>
        </w:tc>
      </w:tr>
      <w:tr w:rsidR="00712974" w:rsidRPr="00E15F8F" w14:paraId="56E862D8" w14:textId="77777777" w:rsidTr="004D101C">
        <w:tc>
          <w:tcPr>
            <w:tcW w:w="4315" w:type="dxa"/>
            <w:tcBorders>
              <w:top w:val="single" w:sz="4" w:space="0" w:color="000000"/>
              <w:left w:val="single" w:sz="4" w:space="0" w:color="000000"/>
              <w:bottom w:val="single" w:sz="4" w:space="0" w:color="000000"/>
              <w:right w:val="single" w:sz="4" w:space="0" w:color="auto"/>
            </w:tcBorders>
            <w:shd w:val="clear" w:color="auto" w:fill="D9E2F3" w:themeFill="accent1" w:themeFillTint="33"/>
            <w:tcMar>
              <w:top w:w="0" w:type="dxa"/>
              <w:left w:w="108" w:type="dxa"/>
              <w:bottom w:w="0" w:type="dxa"/>
              <w:right w:w="108" w:type="dxa"/>
            </w:tcMar>
          </w:tcPr>
          <w:p w14:paraId="6B5D6B28" w14:textId="0D8E5FCA" w:rsidR="00712974" w:rsidRPr="00E15F8F" w:rsidRDefault="00712974" w:rsidP="00E050A8">
            <w:pPr>
              <w:spacing w:after="0" w:line="264" w:lineRule="auto"/>
              <w:jc w:val="both"/>
              <w:rPr>
                <w:rFonts w:ascii="Times New Roman" w:hAnsi="Times New Roman" w:cs="Times New Roman"/>
                <w:b/>
                <w:bCs/>
                <w:color w:val="000000" w:themeColor="text1"/>
                <w:sz w:val="20"/>
                <w:szCs w:val="20"/>
                <w:lang w:val="bg-BG"/>
              </w:rPr>
            </w:pPr>
            <w:bookmarkStart w:id="52" w:name="_Hlk72827530"/>
            <w:r w:rsidRPr="00E15F8F">
              <w:rPr>
                <w:rFonts w:ascii="Times New Roman" w:hAnsi="Times New Roman" w:cs="Times New Roman"/>
                <w:b/>
                <w:bCs/>
                <w:color w:val="000000" w:themeColor="text1"/>
                <w:sz w:val="20"/>
                <w:szCs w:val="20"/>
                <w:lang w:val="bg-BG"/>
              </w:rPr>
              <w:t>Предизвикателства</w:t>
            </w:r>
          </w:p>
        </w:tc>
        <w:tc>
          <w:tcPr>
            <w:tcW w:w="5261" w:type="dxa"/>
            <w:tcBorders>
              <w:top w:val="single" w:sz="4" w:space="0" w:color="auto"/>
              <w:left w:val="single" w:sz="4" w:space="0" w:color="auto"/>
              <w:bottom w:val="single" w:sz="4" w:space="0" w:color="auto"/>
              <w:right w:val="single" w:sz="4" w:space="0" w:color="auto"/>
            </w:tcBorders>
            <w:shd w:val="clear" w:color="auto" w:fill="D9E2F3" w:themeFill="accent1" w:themeFillTint="33"/>
            <w:tcMar>
              <w:top w:w="0" w:type="dxa"/>
              <w:left w:w="108" w:type="dxa"/>
              <w:bottom w:w="0" w:type="dxa"/>
              <w:right w:w="108" w:type="dxa"/>
            </w:tcMar>
          </w:tcPr>
          <w:p w14:paraId="79E4BB0A" w14:textId="7D91F625" w:rsidR="00712974" w:rsidRPr="00E15F8F" w:rsidRDefault="00712974" w:rsidP="00E050A8">
            <w:pPr>
              <w:pStyle w:val="a"/>
              <w:numPr>
                <w:ilvl w:val="0"/>
                <w:numId w:val="0"/>
              </w:numPr>
              <w:spacing w:after="0" w:line="264" w:lineRule="auto"/>
              <w:textAlignment w:val="auto"/>
              <w:rPr>
                <w:b/>
                <w:bCs/>
                <w:color w:val="000000" w:themeColor="text1"/>
                <w:sz w:val="20"/>
                <w:szCs w:val="20"/>
                <w:lang w:val="bg-BG"/>
              </w:rPr>
            </w:pPr>
            <w:r w:rsidRPr="00E15F8F">
              <w:rPr>
                <w:b/>
                <w:bCs/>
                <w:color w:val="000000" w:themeColor="text1"/>
                <w:sz w:val="20"/>
                <w:szCs w:val="20"/>
                <w:lang w:val="bg-BG"/>
              </w:rPr>
              <w:t>Препоръки</w:t>
            </w:r>
          </w:p>
        </w:tc>
      </w:tr>
      <w:bookmarkEnd w:id="52"/>
      <w:tr w:rsidR="00066EFE" w:rsidRPr="00E15F8F" w14:paraId="44B9576F" w14:textId="77777777" w:rsidTr="004D101C">
        <w:tc>
          <w:tcPr>
            <w:tcW w:w="4315"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0D7258F2" w14:textId="21B5BBFB" w:rsidR="00066EFE" w:rsidRPr="00E15F8F" w:rsidRDefault="00712974" w:rsidP="00E050A8">
            <w:pPr>
              <w:spacing w:after="0" w:line="264" w:lineRule="auto"/>
              <w:jc w:val="both"/>
              <w:rPr>
                <w:rFonts w:ascii="Times New Roman" w:hAnsi="Times New Roman" w:cs="Times New Roman"/>
                <w:color w:val="FF0000"/>
                <w:sz w:val="20"/>
                <w:szCs w:val="20"/>
                <w:lang w:val="bg-BG"/>
              </w:rPr>
            </w:pPr>
            <w:r w:rsidRPr="00E15F8F">
              <w:rPr>
                <w:rFonts w:ascii="Times New Roman" w:hAnsi="Times New Roman" w:cs="Times New Roman"/>
                <w:sz w:val="20"/>
                <w:szCs w:val="20"/>
                <w:lang w:val="bg-BG"/>
              </w:rPr>
              <w:t>Намаляване на натиска от водовземане за целите на производство във всички сектори и по-специално за целите на производството на електрическа и топлоенергия, селско стопанство и преработваща промишленост</w:t>
            </w:r>
          </w:p>
        </w:tc>
        <w:tc>
          <w:tcPr>
            <w:tcW w:w="5261"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E916614" w14:textId="17B72EE7" w:rsidR="00C61707" w:rsidRPr="00E15F8F" w:rsidRDefault="00C61707" w:rsidP="00E050A8">
            <w:pPr>
              <w:pStyle w:val="a"/>
              <w:numPr>
                <w:ilvl w:val="0"/>
                <w:numId w:val="0"/>
              </w:numPr>
              <w:spacing w:after="0" w:line="264" w:lineRule="auto"/>
              <w:textAlignment w:val="auto"/>
              <w:rPr>
                <w:sz w:val="20"/>
                <w:szCs w:val="20"/>
                <w:lang w:val="bg-BG"/>
              </w:rPr>
            </w:pPr>
            <w:r w:rsidRPr="00E15F8F">
              <w:rPr>
                <w:sz w:val="20"/>
                <w:szCs w:val="20"/>
                <w:lang w:val="bg-BG"/>
              </w:rPr>
              <w:t>Осигуряване на адекватен принос на водоползвателите към разходите за водни услуги</w:t>
            </w:r>
            <w:r w:rsidR="006F799F" w:rsidRPr="00E15F8F">
              <w:rPr>
                <w:sz w:val="20"/>
                <w:szCs w:val="20"/>
                <w:lang w:val="bg-BG"/>
              </w:rPr>
              <w:t>.</w:t>
            </w:r>
          </w:p>
          <w:p w14:paraId="32D0C814" w14:textId="698EFF60" w:rsidR="00C61707" w:rsidRPr="00E15F8F" w:rsidRDefault="00C61707" w:rsidP="00E050A8">
            <w:pPr>
              <w:pStyle w:val="a"/>
              <w:numPr>
                <w:ilvl w:val="0"/>
                <w:numId w:val="0"/>
              </w:numPr>
              <w:spacing w:after="0" w:line="264" w:lineRule="auto"/>
              <w:textAlignment w:val="auto"/>
              <w:rPr>
                <w:sz w:val="20"/>
                <w:szCs w:val="20"/>
                <w:lang w:val="bg-BG"/>
              </w:rPr>
            </w:pPr>
            <w:r w:rsidRPr="00E15F8F">
              <w:rPr>
                <w:sz w:val="20"/>
                <w:szCs w:val="20"/>
                <w:lang w:val="bg-BG"/>
              </w:rPr>
              <w:t>Прилагане на концепцията „Компенсиране” чрез обезпечаване на екологичния отток за добър екологичен статус/потенциал и приоритетни водопотребители в условия на периоди на продължително засушаване</w:t>
            </w:r>
            <w:r w:rsidR="006F799F" w:rsidRPr="00E15F8F">
              <w:rPr>
                <w:sz w:val="20"/>
                <w:szCs w:val="20"/>
                <w:lang w:val="bg-BG"/>
              </w:rPr>
              <w:t>.</w:t>
            </w:r>
          </w:p>
          <w:p w14:paraId="612B64A7" w14:textId="77777777" w:rsidR="00995D02" w:rsidRPr="00E15F8F" w:rsidRDefault="00262045" w:rsidP="00E050A8">
            <w:pPr>
              <w:pStyle w:val="a"/>
              <w:numPr>
                <w:ilvl w:val="0"/>
                <w:numId w:val="0"/>
              </w:numPr>
              <w:spacing w:after="0" w:line="264" w:lineRule="auto"/>
              <w:textAlignment w:val="auto"/>
              <w:rPr>
                <w:sz w:val="20"/>
                <w:szCs w:val="20"/>
                <w:lang w:val="bg-BG"/>
              </w:rPr>
            </w:pPr>
            <w:r w:rsidRPr="00E15F8F">
              <w:rPr>
                <w:sz w:val="20"/>
                <w:szCs w:val="20"/>
                <w:lang w:val="bg-BG"/>
              </w:rPr>
              <w:t>Внедряване на водоснабдителни системи използващи условно чисти води</w:t>
            </w:r>
            <w:r w:rsidR="006F799F" w:rsidRPr="00E15F8F">
              <w:rPr>
                <w:sz w:val="20"/>
                <w:szCs w:val="20"/>
                <w:lang w:val="bg-BG"/>
              </w:rPr>
              <w:t>.</w:t>
            </w:r>
          </w:p>
          <w:p w14:paraId="58C13EC5" w14:textId="77777777" w:rsidR="009057BA" w:rsidRPr="00E15F8F" w:rsidRDefault="009057BA"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Инвестиции в хидромелиоративната инфраструктура.</w:t>
            </w:r>
          </w:p>
          <w:p w14:paraId="63F76BF7" w14:textId="0FD8D701" w:rsidR="009057BA" w:rsidRPr="00E15F8F" w:rsidRDefault="009057BA"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Провеждане на кампании за насърчаване използването на методи в напояването, намаляващи разхода на вода, за насърчаване отглеждането на култури, изискващи по-малко вода.</w:t>
            </w:r>
          </w:p>
          <w:p w14:paraId="35BA3CC0" w14:textId="342DEEB5" w:rsidR="009057BA" w:rsidRPr="00E15F8F" w:rsidRDefault="009057BA" w:rsidP="00E050A8">
            <w:pPr>
              <w:pStyle w:val="a"/>
              <w:numPr>
                <w:ilvl w:val="0"/>
                <w:numId w:val="0"/>
              </w:numPr>
              <w:spacing w:after="0" w:line="264" w:lineRule="auto"/>
              <w:textAlignment w:val="auto"/>
              <w:rPr>
                <w:sz w:val="20"/>
                <w:szCs w:val="20"/>
                <w:lang w:val="bg-BG"/>
              </w:rPr>
            </w:pPr>
          </w:p>
        </w:tc>
      </w:tr>
      <w:tr w:rsidR="00066EFE" w:rsidRPr="00E15F8F" w14:paraId="541F0701" w14:textId="77777777" w:rsidTr="004D101C">
        <w:tc>
          <w:tcPr>
            <w:tcW w:w="4315"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155C1452" w14:textId="00BF992F" w:rsidR="00066EFE" w:rsidRPr="00E15F8F" w:rsidRDefault="00712974" w:rsidP="00E050A8">
            <w:pPr>
              <w:pStyle w:val="a"/>
              <w:numPr>
                <w:ilvl w:val="0"/>
                <w:numId w:val="0"/>
              </w:numPr>
              <w:spacing w:after="0" w:line="264" w:lineRule="auto"/>
              <w:textAlignment w:val="auto"/>
              <w:rPr>
                <w:b/>
                <w:sz w:val="20"/>
                <w:szCs w:val="20"/>
                <w:lang w:val="bg-BG"/>
              </w:rPr>
            </w:pPr>
            <w:r w:rsidRPr="00E15F8F">
              <w:rPr>
                <w:sz w:val="20"/>
                <w:szCs w:val="20"/>
                <w:lang w:val="bg-BG"/>
              </w:rPr>
              <w:t>Интегрирано управление на водните ресурси на всички нива</w:t>
            </w:r>
          </w:p>
        </w:tc>
        <w:tc>
          <w:tcPr>
            <w:tcW w:w="5261"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68EDBF51" w14:textId="77777777" w:rsidR="00644192" w:rsidRPr="00E15F8F" w:rsidRDefault="00A6097C" w:rsidP="00E050A8">
            <w:pPr>
              <w:pStyle w:val="a"/>
              <w:numPr>
                <w:ilvl w:val="0"/>
                <w:numId w:val="0"/>
              </w:numPr>
              <w:spacing w:after="0" w:line="264" w:lineRule="auto"/>
              <w:textAlignment w:val="auto"/>
              <w:rPr>
                <w:sz w:val="20"/>
                <w:szCs w:val="20"/>
                <w:lang w:val="bg-BG"/>
              </w:rPr>
            </w:pPr>
            <w:r w:rsidRPr="00E15F8F">
              <w:rPr>
                <w:sz w:val="20"/>
                <w:szCs w:val="20"/>
                <w:lang w:val="bg-BG"/>
              </w:rPr>
              <w:t>Подобряване на капацитета за планиране на ниво район за басейново управление</w:t>
            </w:r>
            <w:r w:rsidR="00644192" w:rsidRPr="00E15F8F">
              <w:rPr>
                <w:sz w:val="20"/>
                <w:szCs w:val="20"/>
                <w:lang w:val="bg-BG"/>
              </w:rPr>
              <w:t>, включително</w:t>
            </w:r>
            <w:r w:rsidRPr="00E15F8F">
              <w:rPr>
                <w:sz w:val="20"/>
                <w:szCs w:val="20"/>
                <w:lang w:val="bg-BG"/>
              </w:rPr>
              <w:t xml:space="preserve"> </w:t>
            </w:r>
          </w:p>
          <w:p w14:paraId="444D5D88" w14:textId="3DFC8A33" w:rsidR="00A6097C" w:rsidRPr="00E15F8F" w:rsidRDefault="00A6097C" w:rsidP="00E050A8">
            <w:pPr>
              <w:pStyle w:val="a"/>
              <w:numPr>
                <w:ilvl w:val="0"/>
                <w:numId w:val="0"/>
              </w:numPr>
              <w:spacing w:after="0" w:line="264" w:lineRule="auto"/>
              <w:textAlignment w:val="auto"/>
              <w:rPr>
                <w:sz w:val="20"/>
                <w:szCs w:val="20"/>
                <w:lang w:val="bg-BG"/>
              </w:rPr>
            </w:pPr>
            <w:r w:rsidRPr="00E15F8F">
              <w:rPr>
                <w:sz w:val="20"/>
                <w:szCs w:val="20"/>
                <w:lang w:val="bg-BG"/>
              </w:rPr>
              <w:t>– превръщане на ПУРБ в ефетивен инструмент за управление и постигане на целите по околна среда чрез планиране на конкретни мерки с ясен принос за целите, реалистична оценка на разходите, конкретни източници на финансиране и ясен график за постигане на добро екологично състояние</w:t>
            </w:r>
            <w:r w:rsidR="00644192" w:rsidRPr="00E15F8F">
              <w:rPr>
                <w:sz w:val="20"/>
                <w:szCs w:val="20"/>
                <w:lang w:val="bg-BG"/>
              </w:rPr>
              <w:t>;</w:t>
            </w:r>
          </w:p>
          <w:p w14:paraId="1C4EA9E2" w14:textId="247C5940" w:rsidR="00321A29" w:rsidRPr="00E15F8F" w:rsidRDefault="00321A29" w:rsidP="00E050A8">
            <w:pPr>
              <w:pStyle w:val="a"/>
              <w:numPr>
                <w:ilvl w:val="0"/>
                <w:numId w:val="0"/>
              </w:numPr>
              <w:spacing w:after="0" w:line="264" w:lineRule="auto"/>
              <w:textAlignment w:val="auto"/>
              <w:rPr>
                <w:sz w:val="20"/>
                <w:szCs w:val="20"/>
                <w:lang w:val="bg-BG"/>
              </w:rPr>
            </w:pPr>
            <w:r w:rsidRPr="00E15F8F">
              <w:rPr>
                <w:sz w:val="20"/>
                <w:szCs w:val="20"/>
                <w:lang w:val="bg-BG"/>
              </w:rPr>
              <w:t>- подобряване на капацитета за оценка на проектите, които имат потенциал да повлияят върху състоянието на водните тела;</w:t>
            </w:r>
          </w:p>
          <w:p w14:paraId="57ED4605" w14:textId="07780748" w:rsidR="00A6097C" w:rsidRPr="00E15F8F" w:rsidRDefault="00644192" w:rsidP="00E050A8">
            <w:pPr>
              <w:pStyle w:val="a"/>
              <w:numPr>
                <w:ilvl w:val="0"/>
                <w:numId w:val="0"/>
              </w:numPr>
              <w:spacing w:after="0" w:line="264" w:lineRule="auto"/>
              <w:textAlignment w:val="auto"/>
              <w:rPr>
                <w:sz w:val="20"/>
                <w:szCs w:val="20"/>
                <w:lang w:val="bg-BG"/>
              </w:rPr>
            </w:pPr>
            <w:r w:rsidRPr="00E15F8F">
              <w:rPr>
                <w:sz w:val="20"/>
                <w:szCs w:val="20"/>
                <w:lang w:val="bg-BG"/>
              </w:rPr>
              <w:t>- п</w:t>
            </w:r>
            <w:r w:rsidR="00A6097C" w:rsidRPr="00E15F8F">
              <w:rPr>
                <w:sz w:val="20"/>
                <w:szCs w:val="20"/>
                <w:lang w:val="bg-BG"/>
              </w:rPr>
              <w:t>рилагане на анализ разходи и ползи и други инструменти за приоритизиране на необходмите мерки и интервенции</w:t>
            </w:r>
            <w:r w:rsidR="005056B5" w:rsidRPr="00E15F8F">
              <w:rPr>
                <w:sz w:val="20"/>
                <w:szCs w:val="20"/>
                <w:lang w:val="bg-BG"/>
              </w:rPr>
              <w:t>.</w:t>
            </w:r>
          </w:p>
          <w:p w14:paraId="5093EFC8" w14:textId="7A321F00" w:rsidR="00644192" w:rsidRPr="00E15F8F" w:rsidRDefault="00644192" w:rsidP="00E050A8">
            <w:pPr>
              <w:pStyle w:val="a"/>
              <w:numPr>
                <w:ilvl w:val="0"/>
                <w:numId w:val="0"/>
              </w:numPr>
              <w:spacing w:after="0" w:line="264" w:lineRule="auto"/>
              <w:textAlignment w:val="auto"/>
              <w:rPr>
                <w:sz w:val="20"/>
                <w:szCs w:val="20"/>
                <w:lang w:val="bg-BG"/>
              </w:rPr>
            </w:pPr>
            <w:r w:rsidRPr="00E15F8F">
              <w:rPr>
                <w:sz w:val="20"/>
                <w:szCs w:val="20"/>
                <w:lang w:val="bg-BG"/>
              </w:rPr>
              <w:lastRenderedPageBreak/>
              <w:t>Подобряване на капацитета за планиране на конкретни цели за постигане на добро екологично състояние, мерки спряко въздействие върху факторите на натиск, количествено измерими индикатори и ефекти при управлението на морската околна среда, капацитет за регионално сътрудничество и докладване на напредъка.</w:t>
            </w:r>
          </w:p>
          <w:p w14:paraId="56B8D410" w14:textId="776B964E" w:rsidR="00066EFE" w:rsidRPr="00E15F8F" w:rsidRDefault="006F799F" w:rsidP="00E050A8">
            <w:pPr>
              <w:spacing w:after="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Изграждане и функциониране на автоматични информационни системи за управление на данни за състоянието на водите по райони за басейново управление.</w:t>
            </w:r>
          </w:p>
          <w:p w14:paraId="08843CD9" w14:textId="41B913F1" w:rsidR="006F799F" w:rsidRPr="00E15F8F" w:rsidRDefault="006F799F" w:rsidP="00E050A8">
            <w:pPr>
              <w:pStyle w:val="a"/>
              <w:numPr>
                <w:ilvl w:val="0"/>
                <w:numId w:val="0"/>
              </w:numPr>
              <w:spacing w:after="0" w:line="264" w:lineRule="auto"/>
              <w:textAlignment w:val="auto"/>
              <w:rPr>
                <w:sz w:val="20"/>
                <w:szCs w:val="20"/>
                <w:lang w:val="bg-BG"/>
              </w:rPr>
            </w:pPr>
            <w:r w:rsidRPr="00E15F8F">
              <w:rPr>
                <w:sz w:val="20"/>
                <w:szCs w:val="20"/>
                <w:lang w:val="bg-BG"/>
              </w:rPr>
              <w:t xml:space="preserve">Надграждане на </w:t>
            </w:r>
            <w:r w:rsidR="000F33FB" w:rsidRPr="00E15F8F">
              <w:rPr>
                <w:sz w:val="20"/>
                <w:szCs w:val="20"/>
                <w:lang w:val="bg-BG"/>
              </w:rPr>
              <w:t xml:space="preserve">Националния </w:t>
            </w:r>
            <w:r w:rsidRPr="00E15F8F">
              <w:rPr>
                <w:sz w:val="20"/>
                <w:szCs w:val="20"/>
                <w:lang w:val="bg-BG"/>
              </w:rPr>
              <w:t>координацион</w:t>
            </w:r>
            <w:r w:rsidR="000F33FB" w:rsidRPr="00E15F8F">
              <w:rPr>
                <w:sz w:val="20"/>
                <w:szCs w:val="20"/>
                <w:lang w:val="bg-BG"/>
              </w:rPr>
              <w:t>ен</w:t>
            </w:r>
            <w:r w:rsidRPr="00E15F8F">
              <w:rPr>
                <w:sz w:val="20"/>
                <w:szCs w:val="20"/>
                <w:lang w:val="bg-BG"/>
              </w:rPr>
              <w:t xml:space="preserve"> център </w:t>
            </w:r>
            <w:r w:rsidR="000F33FB" w:rsidRPr="00E15F8F">
              <w:rPr>
                <w:sz w:val="20"/>
                <w:szCs w:val="20"/>
                <w:lang w:val="bg-BG"/>
              </w:rPr>
              <w:t>за управление на водите.</w:t>
            </w:r>
          </w:p>
        </w:tc>
      </w:tr>
      <w:tr w:rsidR="00712974" w:rsidRPr="00E15F8F" w14:paraId="3724ACF3" w14:textId="77777777" w:rsidTr="004D101C">
        <w:tc>
          <w:tcPr>
            <w:tcW w:w="4315"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3E8970BD" w14:textId="4A3057C8" w:rsidR="00712974" w:rsidRPr="00E15F8F" w:rsidRDefault="00712974" w:rsidP="00E050A8">
            <w:pPr>
              <w:pStyle w:val="a"/>
              <w:numPr>
                <w:ilvl w:val="0"/>
                <w:numId w:val="0"/>
              </w:numPr>
              <w:spacing w:after="0" w:line="264" w:lineRule="auto"/>
              <w:textAlignment w:val="auto"/>
              <w:rPr>
                <w:sz w:val="20"/>
                <w:szCs w:val="20"/>
                <w:lang w:val="bg-BG"/>
              </w:rPr>
            </w:pPr>
            <w:r w:rsidRPr="00E15F8F">
              <w:rPr>
                <w:sz w:val="20"/>
                <w:szCs w:val="20"/>
                <w:lang w:val="bg-BG"/>
              </w:rPr>
              <w:lastRenderedPageBreak/>
              <w:t>Осигуряване на достъп до ресурси от питейна вода и намаляване риска от режим на водоснабдяване за населените места</w:t>
            </w:r>
          </w:p>
        </w:tc>
        <w:tc>
          <w:tcPr>
            <w:tcW w:w="5261"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401F9F1" w14:textId="2E83AACC" w:rsidR="00712974" w:rsidRPr="00E15F8F" w:rsidRDefault="000F33FB" w:rsidP="00E050A8">
            <w:pPr>
              <w:pStyle w:val="a0"/>
              <w:spacing w:line="264" w:lineRule="auto"/>
              <w:rPr>
                <w:sz w:val="20"/>
                <w:szCs w:val="20"/>
              </w:rPr>
            </w:pPr>
            <w:r w:rsidRPr="00E15F8F">
              <w:rPr>
                <w:sz w:val="20"/>
                <w:szCs w:val="20"/>
              </w:rPr>
              <w:t>Разработване и прилагане на ц</w:t>
            </w:r>
            <w:r w:rsidR="00293C39" w:rsidRPr="00E15F8F">
              <w:rPr>
                <w:sz w:val="20"/>
                <w:szCs w:val="20"/>
              </w:rPr>
              <w:t>е</w:t>
            </w:r>
            <w:r w:rsidR="00712974" w:rsidRPr="00E15F8F">
              <w:rPr>
                <w:sz w:val="20"/>
                <w:szCs w:val="20"/>
              </w:rPr>
              <w:t>ленасочени програми за осигуряване на алтернативн</w:t>
            </w:r>
            <w:r w:rsidR="00D1686C" w:rsidRPr="00E15F8F">
              <w:rPr>
                <w:sz w:val="20"/>
                <w:szCs w:val="20"/>
              </w:rPr>
              <w:t>о</w:t>
            </w:r>
            <w:r w:rsidR="00712974" w:rsidRPr="00E15F8F">
              <w:rPr>
                <w:sz w:val="20"/>
                <w:szCs w:val="20"/>
              </w:rPr>
              <w:t xml:space="preserve"> и допълващ</w:t>
            </w:r>
            <w:r w:rsidR="00D1686C" w:rsidRPr="00E15F8F">
              <w:rPr>
                <w:sz w:val="20"/>
                <w:szCs w:val="20"/>
              </w:rPr>
              <w:t>о водоснабдяване в райони, за които е констатиран недостиг на вода</w:t>
            </w:r>
            <w:r w:rsidRPr="00E15F8F">
              <w:rPr>
                <w:sz w:val="20"/>
                <w:szCs w:val="20"/>
              </w:rPr>
              <w:t>.</w:t>
            </w:r>
          </w:p>
          <w:p w14:paraId="35849815" w14:textId="77777777" w:rsidR="00293C39" w:rsidRPr="00E15F8F" w:rsidRDefault="00293C39"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xml:space="preserve">Изграждане на нови пунктове </w:t>
            </w:r>
            <w:r w:rsidR="00AF6CF5" w:rsidRPr="00E15F8F">
              <w:rPr>
                <w:rFonts w:ascii="Times New Roman" w:hAnsi="Times New Roman" w:cs="Times New Roman"/>
                <w:sz w:val="20"/>
                <w:szCs w:val="20"/>
                <w:lang w:val="bg-BG" w:eastAsia="bg-BG"/>
              </w:rPr>
              <w:t xml:space="preserve">и разширяване на мрежата </w:t>
            </w:r>
            <w:r w:rsidRPr="00E15F8F">
              <w:rPr>
                <w:rFonts w:ascii="Times New Roman" w:hAnsi="Times New Roman" w:cs="Times New Roman"/>
                <w:sz w:val="20"/>
                <w:szCs w:val="20"/>
                <w:lang w:val="bg-BG" w:eastAsia="bg-BG"/>
              </w:rPr>
              <w:t>за мониторинг на количеството на повърхностните води</w:t>
            </w:r>
          </w:p>
          <w:p w14:paraId="39B6DC0D" w14:textId="50CB91AE" w:rsidR="00AF6CF5" w:rsidRPr="00E15F8F" w:rsidRDefault="00AF6CF5"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Целенасочени инвестиции в реконструкция и рехабилитация на водоснабдителна мрежа и системи за мониторинг и управление на водоподаването с цел намаляване на загубите.</w:t>
            </w:r>
          </w:p>
        </w:tc>
      </w:tr>
      <w:tr w:rsidR="00066EFE" w:rsidRPr="00E15F8F" w14:paraId="6DFE5071" w14:textId="77777777" w:rsidTr="004D101C">
        <w:tc>
          <w:tcPr>
            <w:tcW w:w="4315" w:type="dxa"/>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14:paraId="455C97B7" w14:textId="2F45A496" w:rsidR="00066EFE" w:rsidRPr="00E15F8F" w:rsidRDefault="00712974" w:rsidP="00E050A8">
            <w:pPr>
              <w:pStyle w:val="a"/>
              <w:numPr>
                <w:ilvl w:val="0"/>
                <w:numId w:val="0"/>
              </w:numPr>
              <w:spacing w:after="0" w:line="264" w:lineRule="auto"/>
              <w:textAlignment w:val="auto"/>
              <w:rPr>
                <w:sz w:val="20"/>
                <w:szCs w:val="20"/>
                <w:lang w:val="bg-BG"/>
              </w:rPr>
            </w:pPr>
            <w:r w:rsidRPr="00E15F8F">
              <w:rPr>
                <w:sz w:val="20"/>
                <w:szCs w:val="20"/>
                <w:lang w:val="bg-BG"/>
              </w:rPr>
              <w:t>Постигане на добро количествено състояние на подземните водни тела</w:t>
            </w:r>
          </w:p>
        </w:tc>
        <w:tc>
          <w:tcPr>
            <w:tcW w:w="5261"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6D3D701" w14:textId="0557C466" w:rsidR="00066EFE" w:rsidRPr="00E15F8F" w:rsidRDefault="00D40FC0" w:rsidP="00E050A8">
            <w:pPr>
              <w:pStyle w:val="a0"/>
              <w:spacing w:line="264" w:lineRule="auto"/>
              <w:rPr>
                <w:sz w:val="20"/>
                <w:szCs w:val="20"/>
              </w:rPr>
            </w:pPr>
            <w:r w:rsidRPr="00E15F8F">
              <w:rPr>
                <w:sz w:val="20"/>
                <w:szCs w:val="20"/>
              </w:rPr>
              <w:t xml:space="preserve">Изграждане на нови пунктове </w:t>
            </w:r>
            <w:r w:rsidR="00AF6CF5" w:rsidRPr="00E15F8F">
              <w:rPr>
                <w:sz w:val="20"/>
                <w:szCs w:val="20"/>
              </w:rPr>
              <w:t xml:space="preserve">и разширяване на мрежата </w:t>
            </w:r>
            <w:r w:rsidRPr="00E15F8F">
              <w:rPr>
                <w:sz w:val="20"/>
                <w:szCs w:val="20"/>
              </w:rPr>
              <w:t xml:space="preserve">за мониторинг на подземни води в райони с устоновен риск от </w:t>
            </w:r>
            <w:r w:rsidR="00C61707" w:rsidRPr="00E15F8F">
              <w:rPr>
                <w:sz w:val="20"/>
                <w:szCs w:val="20"/>
              </w:rPr>
              <w:t>недостиг на водни ресурси</w:t>
            </w:r>
          </w:p>
          <w:p w14:paraId="0C089DCF" w14:textId="1748C5BC" w:rsidR="00995D02" w:rsidRPr="00E15F8F" w:rsidRDefault="00C61707"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Създаване на регистър</w:t>
            </w:r>
            <w:r w:rsidR="00995D02" w:rsidRPr="00E15F8F">
              <w:rPr>
                <w:rFonts w:ascii="Times New Roman" w:hAnsi="Times New Roman" w:cs="Times New Roman"/>
                <w:sz w:val="20"/>
                <w:szCs w:val="20"/>
                <w:lang w:val="bg-BG" w:eastAsia="bg-BG"/>
              </w:rPr>
              <w:t xml:space="preserve"> на кладенците за задоволяване на собствените потребности на гражданите</w:t>
            </w:r>
          </w:p>
          <w:p w14:paraId="0C3525F8" w14:textId="1E1652E6" w:rsidR="00995D02" w:rsidRPr="00E15F8F" w:rsidRDefault="000F33FB" w:rsidP="00E050A8">
            <w:pPr>
              <w:spacing w:after="0" w:line="264" w:lineRule="auto"/>
              <w:rPr>
                <w:rFonts w:ascii="Times New Roman" w:hAnsi="Times New Roman" w:cs="Times New Roman"/>
                <w:lang w:val="bg-BG" w:eastAsia="bg-BG"/>
              </w:rPr>
            </w:pPr>
            <w:r w:rsidRPr="00E15F8F">
              <w:rPr>
                <w:rFonts w:ascii="Times New Roman" w:hAnsi="Times New Roman" w:cs="Times New Roman"/>
                <w:sz w:val="20"/>
                <w:szCs w:val="20"/>
                <w:lang w:val="bg-BG" w:eastAsia="bg-BG"/>
              </w:rPr>
              <w:t>Засилване к</w:t>
            </w:r>
            <w:r w:rsidR="00995D02" w:rsidRPr="00E15F8F">
              <w:rPr>
                <w:rFonts w:ascii="Times New Roman" w:hAnsi="Times New Roman" w:cs="Times New Roman"/>
                <w:sz w:val="20"/>
                <w:szCs w:val="20"/>
                <w:lang w:val="bg-BG" w:eastAsia="bg-BG"/>
              </w:rPr>
              <w:t>онтрол</w:t>
            </w:r>
            <w:r w:rsidRPr="00E15F8F">
              <w:rPr>
                <w:rFonts w:ascii="Times New Roman" w:hAnsi="Times New Roman" w:cs="Times New Roman"/>
                <w:sz w:val="20"/>
                <w:szCs w:val="20"/>
                <w:lang w:val="bg-BG" w:eastAsia="bg-BG"/>
              </w:rPr>
              <w:t>а</w:t>
            </w:r>
            <w:r w:rsidR="00995D02" w:rsidRPr="00E15F8F">
              <w:rPr>
                <w:rFonts w:ascii="Times New Roman" w:hAnsi="Times New Roman" w:cs="Times New Roman"/>
                <w:sz w:val="20"/>
                <w:szCs w:val="20"/>
                <w:lang w:val="bg-BG" w:eastAsia="bg-BG"/>
              </w:rPr>
              <w:t xml:space="preserve"> за спазване на изискванията за измерване на черпените количества подземни води</w:t>
            </w:r>
          </w:p>
        </w:tc>
      </w:tr>
      <w:tr w:rsidR="00066EFE" w:rsidRPr="00E15F8F" w14:paraId="30505ED9" w14:textId="77777777" w:rsidTr="00BB7E8B">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5060E57A" w14:textId="32DB3396" w:rsidR="00066EFE" w:rsidRPr="00E15F8F" w:rsidRDefault="00066EFE" w:rsidP="00E050A8">
            <w:pPr>
              <w:pStyle w:val="a"/>
              <w:numPr>
                <w:ilvl w:val="0"/>
                <w:numId w:val="0"/>
              </w:numPr>
              <w:spacing w:after="0" w:line="264" w:lineRule="auto"/>
              <w:ind w:left="360" w:hanging="360"/>
              <w:textAlignment w:val="auto"/>
              <w:rPr>
                <w:b/>
                <w:bCs/>
                <w:sz w:val="20"/>
                <w:szCs w:val="20"/>
                <w:lang w:val="bg-BG"/>
              </w:rPr>
            </w:pPr>
            <w:bookmarkStart w:id="53" w:name="_Hlk72812574"/>
            <w:bookmarkStart w:id="54" w:name="_Hlk72782995"/>
            <w:r w:rsidRPr="00E15F8F">
              <w:rPr>
                <w:b/>
                <w:bCs/>
                <w:sz w:val="20"/>
                <w:szCs w:val="20"/>
                <w:lang w:val="bg-BG"/>
              </w:rPr>
              <w:t>Качество на водите</w:t>
            </w:r>
          </w:p>
        </w:tc>
      </w:tr>
      <w:tr w:rsidR="00712974" w:rsidRPr="00E15F8F" w14:paraId="0D3F4B9B" w14:textId="77777777" w:rsidTr="004D101C">
        <w:tc>
          <w:tcPr>
            <w:tcW w:w="4315" w:type="dxa"/>
            <w:tcBorders>
              <w:top w:val="single" w:sz="4" w:space="0" w:color="000000"/>
              <w:left w:val="single" w:sz="4" w:space="0" w:color="000000"/>
              <w:bottom w:val="single" w:sz="4" w:space="0" w:color="000000"/>
              <w:right w:val="single" w:sz="4" w:space="0" w:color="auto"/>
            </w:tcBorders>
            <w:shd w:val="clear" w:color="auto" w:fill="D9E2F3" w:themeFill="accent1" w:themeFillTint="33"/>
            <w:tcMar>
              <w:top w:w="0" w:type="dxa"/>
              <w:left w:w="108" w:type="dxa"/>
              <w:bottom w:w="0" w:type="dxa"/>
              <w:right w:w="108" w:type="dxa"/>
            </w:tcMar>
          </w:tcPr>
          <w:p w14:paraId="42716985" w14:textId="77777777" w:rsidR="00712974" w:rsidRPr="00E15F8F" w:rsidRDefault="00712974" w:rsidP="00E050A8">
            <w:pPr>
              <w:spacing w:after="0" w:line="264" w:lineRule="auto"/>
              <w:jc w:val="both"/>
              <w:rPr>
                <w:rFonts w:ascii="Times New Roman" w:hAnsi="Times New Roman" w:cs="Times New Roman"/>
                <w:b/>
                <w:bCs/>
                <w:color w:val="000000" w:themeColor="text1"/>
                <w:sz w:val="20"/>
                <w:szCs w:val="20"/>
                <w:lang w:val="bg-BG"/>
              </w:rPr>
            </w:pPr>
            <w:r w:rsidRPr="00E15F8F">
              <w:rPr>
                <w:rFonts w:ascii="Times New Roman" w:hAnsi="Times New Roman" w:cs="Times New Roman"/>
                <w:b/>
                <w:bCs/>
                <w:color w:val="000000" w:themeColor="text1"/>
                <w:sz w:val="20"/>
                <w:szCs w:val="20"/>
                <w:lang w:val="bg-BG"/>
              </w:rPr>
              <w:t>Предизвикателства</w:t>
            </w:r>
          </w:p>
        </w:tc>
        <w:tc>
          <w:tcPr>
            <w:tcW w:w="5261" w:type="dxa"/>
            <w:tcBorders>
              <w:top w:val="single" w:sz="4" w:space="0" w:color="auto"/>
              <w:left w:val="single" w:sz="4" w:space="0" w:color="auto"/>
              <w:bottom w:val="single" w:sz="4" w:space="0" w:color="auto"/>
              <w:right w:val="single" w:sz="4" w:space="0" w:color="auto"/>
            </w:tcBorders>
            <w:shd w:val="clear" w:color="auto" w:fill="D9E2F3" w:themeFill="accent1" w:themeFillTint="33"/>
            <w:tcMar>
              <w:top w:w="0" w:type="dxa"/>
              <w:left w:w="108" w:type="dxa"/>
              <w:bottom w:w="0" w:type="dxa"/>
              <w:right w:w="108" w:type="dxa"/>
            </w:tcMar>
          </w:tcPr>
          <w:p w14:paraId="13E9D93A" w14:textId="77777777" w:rsidR="00712974" w:rsidRPr="00E15F8F" w:rsidRDefault="00712974" w:rsidP="00E050A8">
            <w:pPr>
              <w:pStyle w:val="a"/>
              <w:numPr>
                <w:ilvl w:val="0"/>
                <w:numId w:val="0"/>
              </w:numPr>
              <w:spacing w:after="0" w:line="264" w:lineRule="auto"/>
              <w:textAlignment w:val="auto"/>
              <w:rPr>
                <w:b/>
                <w:bCs/>
                <w:color w:val="000000" w:themeColor="text1"/>
                <w:sz w:val="20"/>
                <w:szCs w:val="20"/>
                <w:lang w:val="bg-BG"/>
              </w:rPr>
            </w:pPr>
            <w:r w:rsidRPr="00E15F8F">
              <w:rPr>
                <w:b/>
                <w:bCs/>
                <w:color w:val="000000" w:themeColor="text1"/>
                <w:sz w:val="20"/>
                <w:szCs w:val="20"/>
                <w:lang w:val="bg-BG"/>
              </w:rPr>
              <w:t>Препоръки</w:t>
            </w:r>
          </w:p>
        </w:tc>
      </w:tr>
      <w:bookmarkEnd w:id="53"/>
      <w:tr w:rsidR="00066EFE" w:rsidRPr="00E15F8F" w14:paraId="57AF101C" w14:textId="77777777" w:rsidTr="004D101C">
        <w:tc>
          <w:tcPr>
            <w:tcW w:w="43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F9D35F" w14:textId="11BE7AA4" w:rsidR="00066EFE" w:rsidRPr="00E15F8F" w:rsidRDefault="00712974" w:rsidP="00E050A8">
            <w:pPr>
              <w:pStyle w:val="a0"/>
              <w:spacing w:line="264" w:lineRule="auto"/>
              <w:rPr>
                <w:sz w:val="20"/>
                <w:szCs w:val="20"/>
              </w:rPr>
            </w:pPr>
            <w:r w:rsidRPr="00E15F8F">
              <w:rPr>
                <w:sz w:val="20"/>
                <w:szCs w:val="20"/>
              </w:rPr>
              <w:t>Постигане на добро химично състояние на всички водни тела (повърхностни и подземни)</w:t>
            </w:r>
          </w:p>
        </w:tc>
        <w:tc>
          <w:tcPr>
            <w:tcW w:w="526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27101" w14:textId="02031161" w:rsidR="00AF6CF5" w:rsidRPr="00E15F8F" w:rsidRDefault="000F33FB" w:rsidP="00E050A8">
            <w:pPr>
              <w:spacing w:after="0" w:line="264" w:lineRule="auto"/>
              <w:rPr>
                <w:rFonts w:ascii="Times New Roman" w:hAnsi="Times New Roman" w:cs="Times New Roman"/>
                <w:sz w:val="20"/>
                <w:szCs w:val="20"/>
                <w:lang w:val="bg-BG"/>
              </w:rPr>
            </w:pPr>
            <w:r w:rsidRPr="00E15F8F">
              <w:rPr>
                <w:rFonts w:ascii="Times New Roman" w:hAnsi="Times New Roman" w:cs="Times New Roman"/>
                <w:sz w:val="20"/>
                <w:szCs w:val="20"/>
                <w:lang w:val="bg-BG" w:eastAsia="bg-BG"/>
              </w:rPr>
              <w:t>Мобилизиране на ресурси и ускоряване на процеса на з</w:t>
            </w:r>
            <w:r w:rsidR="00262045" w:rsidRPr="00E15F8F">
              <w:rPr>
                <w:rFonts w:ascii="Times New Roman" w:hAnsi="Times New Roman" w:cs="Times New Roman"/>
                <w:sz w:val="20"/>
                <w:szCs w:val="20"/>
                <w:lang w:val="bg-BG" w:eastAsia="bg-BG"/>
              </w:rPr>
              <w:t>акриване и рекултивация на депа за производствени и неопасни отпадъци</w:t>
            </w:r>
            <w:r w:rsidRPr="00E15F8F">
              <w:rPr>
                <w:rFonts w:ascii="Times New Roman" w:hAnsi="Times New Roman" w:cs="Times New Roman"/>
                <w:sz w:val="20"/>
                <w:szCs w:val="20"/>
                <w:lang w:val="bg-BG" w:eastAsia="bg-BG"/>
              </w:rPr>
              <w:t>, о</w:t>
            </w:r>
            <w:r w:rsidR="00AF6CF5" w:rsidRPr="00E15F8F">
              <w:rPr>
                <w:rFonts w:ascii="Times New Roman" w:hAnsi="Times New Roman" w:cs="Times New Roman"/>
                <w:sz w:val="20"/>
                <w:szCs w:val="20"/>
                <w:lang w:val="bg-BG"/>
              </w:rPr>
              <w:t>сигуряване на подходящи условия за съхранение на опасни отпадъци при които не се допуска замърсяване на подземни и повърхностни води</w:t>
            </w:r>
          </w:p>
          <w:p w14:paraId="79DB3688" w14:textId="64240D46" w:rsidR="00262045" w:rsidRPr="00E15F8F" w:rsidRDefault="000F33FB"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Инвестиции във в</w:t>
            </w:r>
            <w:r w:rsidR="00D40FC0" w:rsidRPr="00E15F8F">
              <w:rPr>
                <w:rFonts w:ascii="Times New Roman" w:hAnsi="Times New Roman" w:cs="Times New Roman"/>
                <w:sz w:val="20"/>
                <w:szCs w:val="20"/>
                <w:lang w:val="bg-BG" w:eastAsia="bg-BG"/>
              </w:rPr>
              <w:t xml:space="preserve">ъзстановяване и /или рехабилитация на съществуващи </w:t>
            </w:r>
            <w:r w:rsidRPr="00E15F8F">
              <w:rPr>
                <w:rFonts w:ascii="Times New Roman" w:hAnsi="Times New Roman" w:cs="Times New Roman"/>
                <w:sz w:val="20"/>
                <w:szCs w:val="20"/>
                <w:lang w:val="bg-BG" w:eastAsia="bg-BG"/>
              </w:rPr>
              <w:t xml:space="preserve">и изграждане на нови </w:t>
            </w:r>
            <w:r w:rsidR="00D40FC0" w:rsidRPr="00E15F8F">
              <w:rPr>
                <w:rFonts w:ascii="Times New Roman" w:hAnsi="Times New Roman" w:cs="Times New Roman"/>
                <w:sz w:val="20"/>
                <w:szCs w:val="20"/>
                <w:lang w:val="bg-BG" w:eastAsia="bg-BG"/>
              </w:rPr>
              <w:t xml:space="preserve">пунктове за мониторинг на химичното състояние на </w:t>
            </w:r>
            <w:r w:rsidRPr="00E15F8F">
              <w:rPr>
                <w:rFonts w:ascii="Times New Roman" w:hAnsi="Times New Roman" w:cs="Times New Roman"/>
                <w:sz w:val="20"/>
                <w:szCs w:val="20"/>
                <w:lang w:val="bg-BG" w:eastAsia="bg-BG"/>
              </w:rPr>
              <w:t>водните тела.</w:t>
            </w:r>
          </w:p>
          <w:p w14:paraId="31CA0BD5" w14:textId="5A7484E3" w:rsidR="00D40FC0" w:rsidRPr="00E15F8F" w:rsidRDefault="00D40FC0"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Избор и прилагане на подходящ</w:t>
            </w:r>
            <w:r w:rsidR="00D71370" w:rsidRPr="00E15F8F">
              <w:rPr>
                <w:rFonts w:ascii="Times New Roman" w:hAnsi="Times New Roman" w:cs="Times New Roman"/>
                <w:sz w:val="20"/>
                <w:szCs w:val="20"/>
                <w:lang w:val="bg-BG" w:eastAsia="bg-BG"/>
              </w:rPr>
              <w:t>и</w:t>
            </w:r>
            <w:r w:rsidRPr="00E15F8F">
              <w:rPr>
                <w:rFonts w:ascii="Times New Roman" w:hAnsi="Times New Roman" w:cs="Times New Roman"/>
                <w:sz w:val="20"/>
                <w:szCs w:val="20"/>
                <w:lang w:val="bg-BG" w:eastAsia="bg-BG"/>
              </w:rPr>
              <w:t xml:space="preserve"> модел</w:t>
            </w:r>
            <w:r w:rsidR="00D71370" w:rsidRPr="00E15F8F">
              <w:rPr>
                <w:rFonts w:ascii="Times New Roman" w:hAnsi="Times New Roman" w:cs="Times New Roman"/>
                <w:sz w:val="20"/>
                <w:szCs w:val="20"/>
                <w:lang w:val="bg-BG" w:eastAsia="bg-BG"/>
              </w:rPr>
              <w:t>и</w:t>
            </w:r>
            <w:r w:rsidRPr="00E15F8F">
              <w:rPr>
                <w:rFonts w:ascii="Times New Roman" w:hAnsi="Times New Roman" w:cs="Times New Roman"/>
                <w:sz w:val="20"/>
                <w:szCs w:val="20"/>
                <w:lang w:val="bg-BG" w:eastAsia="bg-BG"/>
              </w:rPr>
              <w:t xml:space="preserve"> за количествена оценка на въздействието от идeнтифицирания натиск от дифузни източници</w:t>
            </w:r>
            <w:r w:rsidR="00D71370" w:rsidRPr="00E15F8F">
              <w:rPr>
                <w:rFonts w:ascii="Times New Roman" w:hAnsi="Times New Roman" w:cs="Times New Roman"/>
                <w:sz w:val="20"/>
                <w:szCs w:val="20"/>
                <w:lang w:val="bg-BG" w:eastAsia="bg-BG"/>
              </w:rPr>
              <w:t>.</w:t>
            </w:r>
          </w:p>
          <w:p w14:paraId="0E6B13BA" w14:textId="36F15374" w:rsidR="00995D02" w:rsidRPr="00E15F8F" w:rsidRDefault="00D71370"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xml:space="preserve">Осигуряване на актуална база данни за </w:t>
            </w:r>
            <w:r w:rsidR="00995D02" w:rsidRPr="00E15F8F">
              <w:rPr>
                <w:rFonts w:ascii="Times New Roman" w:hAnsi="Times New Roman" w:cs="Times New Roman"/>
                <w:sz w:val="20"/>
                <w:szCs w:val="20"/>
                <w:lang w:val="bg-BG" w:eastAsia="bg-BG"/>
              </w:rPr>
              <w:t xml:space="preserve"> нерегламентирани сметища и зауствания в общините</w:t>
            </w:r>
            <w:r w:rsidRPr="00E15F8F">
              <w:rPr>
                <w:rFonts w:ascii="Times New Roman" w:hAnsi="Times New Roman" w:cs="Times New Roman"/>
                <w:sz w:val="20"/>
                <w:szCs w:val="20"/>
                <w:lang w:val="bg-BG" w:eastAsia="bg-BG"/>
              </w:rPr>
              <w:t xml:space="preserve">, </w:t>
            </w:r>
            <w:r w:rsidR="00995D02" w:rsidRPr="00E15F8F">
              <w:rPr>
                <w:rFonts w:ascii="Times New Roman" w:hAnsi="Times New Roman" w:cs="Times New Roman"/>
                <w:sz w:val="20"/>
                <w:szCs w:val="20"/>
                <w:lang w:val="bg-BG" w:eastAsia="bg-BG"/>
              </w:rPr>
              <w:t>местоположението и текущото състоянието на складове за пестициди</w:t>
            </w:r>
            <w:r w:rsidRPr="00E15F8F">
              <w:rPr>
                <w:rFonts w:ascii="Times New Roman" w:hAnsi="Times New Roman" w:cs="Times New Roman"/>
                <w:sz w:val="20"/>
                <w:szCs w:val="20"/>
                <w:lang w:val="bg-BG" w:eastAsia="bg-BG"/>
              </w:rPr>
              <w:t xml:space="preserve"> и опасни отпадъци.</w:t>
            </w:r>
          </w:p>
          <w:p w14:paraId="7B7E1433" w14:textId="7C3D6AF1" w:rsidR="00995D02" w:rsidRPr="00E15F8F" w:rsidRDefault="00995D02"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Разработване на методи за анализ на приоритетни вещества в седименти и води</w:t>
            </w:r>
          </w:p>
          <w:p w14:paraId="0E07AE1C" w14:textId="5F121B4C" w:rsidR="00905B24" w:rsidRPr="00E15F8F" w:rsidRDefault="00D71370"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lastRenderedPageBreak/>
              <w:t>Осигуряване на надеждна и актуална</w:t>
            </w:r>
            <w:r w:rsidR="00995D02" w:rsidRPr="00E15F8F">
              <w:rPr>
                <w:rFonts w:ascii="Times New Roman" w:hAnsi="Times New Roman" w:cs="Times New Roman"/>
                <w:sz w:val="20"/>
                <w:szCs w:val="20"/>
                <w:lang w:val="bg-BG" w:eastAsia="bg-BG"/>
              </w:rPr>
              <w:t xml:space="preserve"> информация за оценка на тенденциите в изменение на концентрациите на замърсители в седимент и биота.</w:t>
            </w:r>
          </w:p>
        </w:tc>
      </w:tr>
      <w:tr w:rsidR="00712974" w:rsidRPr="00E15F8F" w14:paraId="7805C06B" w14:textId="77777777" w:rsidTr="004D101C">
        <w:tc>
          <w:tcPr>
            <w:tcW w:w="43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09E064" w14:textId="2CC9E79E" w:rsidR="00712974" w:rsidRPr="00E15F8F" w:rsidRDefault="00712974" w:rsidP="00E050A8">
            <w:pPr>
              <w:pStyle w:val="a0"/>
              <w:spacing w:line="264" w:lineRule="auto"/>
              <w:rPr>
                <w:sz w:val="20"/>
                <w:szCs w:val="20"/>
              </w:rPr>
            </w:pPr>
            <w:r w:rsidRPr="00E15F8F">
              <w:rPr>
                <w:sz w:val="20"/>
                <w:szCs w:val="20"/>
              </w:rPr>
              <w:lastRenderedPageBreak/>
              <w:t>Намаляване и превенция на замърсяването с нитрати</w:t>
            </w:r>
          </w:p>
        </w:tc>
        <w:tc>
          <w:tcPr>
            <w:tcW w:w="526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75850D" w14:textId="41AEA3BF" w:rsidR="00712974" w:rsidRPr="00E15F8F" w:rsidRDefault="00D71370" w:rsidP="00E050A8">
            <w:pPr>
              <w:spacing w:before="120"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И</w:t>
            </w:r>
            <w:r w:rsidR="006C58AA" w:rsidRPr="00E15F8F">
              <w:rPr>
                <w:rFonts w:ascii="Times New Roman" w:hAnsi="Times New Roman" w:cs="Times New Roman"/>
                <w:sz w:val="20"/>
                <w:szCs w:val="20"/>
                <w:lang w:val="bg-BG" w:eastAsia="bg-BG"/>
              </w:rPr>
              <w:t>зпълнението на програми от мерки за ограничаване и предотвратяване на замърсяването с нитрати от земеделски източници</w:t>
            </w:r>
            <w:r w:rsidRPr="00E15F8F">
              <w:rPr>
                <w:rFonts w:ascii="Times New Roman" w:hAnsi="Times New Roman" w:cs="Times New Roman"/>
                <w:sz w:val="20"/>
                <w:szCs w:val="20"/>
                <w:lang w:val="bg-BG" w:eastAsia="bg-BG"/>
              </w:rPr>
              <w:t>, включително:</w:t>
            </w:r>
          </w:p>
          <w:p w14:paraId="4D8DDA6A" w14:textId="1199902B" w:rsidR="006C58AA" w:rsidRPr="00E15F8F" w:rsidRDefault="00D71370" w:rsidP="00E050A8">
            <w:pPr>
              <w:spacing w:before="120"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п</w:t>
            </w:r>
            <w:r w:rsidR="006C58AA" w:rsidRPr="00E15F8F">
              <w:rPr>
                <w:rFonts w:ascii="Times New Roman" w:hAnsi="Times New Roman" w:cs="Times New Roman"/>
                <w:sz w:val="20"/>
                <w:szCs w:val="20"/>
                <w:lang w:val="bg-BG" w:eastAsia="bg-BG"/>
              </w:rPr>
              <w:t>рилагане на приетите правила за добра земеделска практика извън нитратно уязвими зони</w:t>
            </w:r>
            <w:r w:rsidRPr="00E15F8F">
              <w:rPr>
                <w:rFonts w:ascii="Times New Roman" w:hAnsi="Times New Roman" w:cs="Times New Roman"/>
                <w:sz w:val="20"/>
                <w:szCs w:val="20"/>
                <w:lang w:val="bg-BG" w:eastAsia="bg-BG"/>
              </w:rPr>
              <w:t>;</w:t>
            </w:r>
          </w:p>
          <w:p w14:paraId="0689B80F" w14:textId="77777777" w:rsidR="009057BA" w:rsidRPr="00E15F8F" w:rsidRDefault="00D71370" w:rsidP="00E050A8">
            <w:pPr>
              <w:spacing w:before="120"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засилен к</w:t>
            </w:r>
            <w:r w:rsidR="006C58AA" w:rsidRPr="00E15F8F">
              <w:rPr>
                <w:rFonts w:ascii="Times New Roman" w:hAnsi="Times New Roman" w:cs="Times New Roman"/>
                <w:sz w:val="20"/>
                <w:szCs w:val="20"/>
                <w:lang w:val="bg-BG" w:eastAsia="bg-BG"/>
              </w:rPr>
              <w:t>онтрол за спазване на изискванията за торене и съхранение на торове</w:t>
            </w:r>
            <w:r w:rsidRPr="00E15F8F">
              <w:rPr>
                <w:rFonts w:ascii="Times New Roman" w:hAnsi="Times New Roman" w:cs="Times New Roman"/>
                <w:sz w:val="20"/>
                <w:szCs w:val="20"/>
                <w:lang w:val="bg-BG" w:eastAsia="bg-BG"/>
              </w:rPr>
              <w:t xml:space="preserve">, </w:t>
            </w:r>
            <w:r w:rsidR="006C58AA" w:rsidRPr="00E15F8F">
              <w:rPr>
                <w:rFonts w:ascii="Times New Roman" w:hAnsi="Times New Roman" w:cs="Times New Roman"/>
                <w:sz w:val="20"/>
                <w:szCs w:val="20"/>
                <w:lang w:val="bg-BG" w:eastAsia="bg-BG"/>
              </w:rPr>
              <w:t xml:space="preserve">употреба на </w:t>
            </w:r>
            <w:r w:rsidRPr="00E15F8F">
              <w:rPr>
                <w:rFonts w:ascii="Times New Roman" w:hAnsi="Times New Roman" w:cs="Times New Roman"/>
                <w:sz w:val="20"/>
                <w:szCs w:val="20"/>
                <w:lang w:val="bg-BG" w:eastAsia="bg-BG"/>
              </w:rPr>
              <w:t xml:space="preserve">препарати за растителна защита, </w:t>
            </w:r>
            <w:r w:rsidR="006C58AA" w:rsidRPr="00E15F8F">
              <w:rPr>
                <w:rFonts w:ascii="Times New Roman" w:hAnsi="Times New Roman" w:cs="Times New Roman"/>
                <w:sz w:val="20"/>
                <w:szCs w:val="20"/>
                <w:lang w:val="bg-BG" w:eastAsia="bg-BG"/>
              </w:rPr>
              <w:t>ограниченията и забраните в границите на СОЗ и зоните за защита на питейни води</w:t>
            </w:r>
            <w:r w:rsidR="009057BA" w:rsidRPr="00E15F8F">
              <w:rPr>
                <w:rFonts w:ascii="Times New Roman" w:hAnsi="Times New Roman" w:cs="Times New Roman"/>
                <w:sz w:val="20"/>
                <w:szCs w:val="20"/>
                <w:lang w:val="bg-BG" w:eastAsia="bg-BG"/>
              </w:rPr>
              <w:t>;</w:t>
            </w:r>
          </w:p>
          <w:p w14:paraId="06ABB8F4" w14:textId="41BBF7E9" w:rsidR="006C58AA" w:rsidRPr="00E15F8F" w:rsidRDefault="009057BA" w:rsidP="00E050A8">
            <w:pPr>
              <w:spacing w:before="120"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xml:space="preserve">- контрол по спазване на изискванията за оползотворяване на утайките от пречиствателни станции и пречиствателни съоръжения за отпадъчни води при употребата им в земеделието </w:t>
            </w:r>
            <w:r w:rsidR="00D71370" w:rsidRPr="00E15F8F">
              <w:rPr>
                <w:rFonts w:ascii="Times New Roman" w:hAnsi="Times New Roman" w:cs="Times New Roman"/>
                <w:sz w:val="20"/>
                <w:szCs w:val="20"/>
                <w:lang w:val="bg-BG" w:eastAsia="bg-BG"/>
              </w:rPr>
              <w:t xml:space="preserve"> и др.</w:t>
            </w:r>
          </w:p>
          <w:p w14:paraId="1AD6AF13" w14:textId="5E678FAD" w:rsidR="006C58AA" w:rsidRPr="00E15F8F" w:rsidRDefault="006C58AA" w:rsidP="00E050A8">
            <w:pPr>
              <w:spacing w:before="120"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Разработване на система за пространствено организиране, поддържане и предоставяне на информацията за натиска от селскостопански източници (ГИС базирана информация)</w:t>
            </w:r>
            <w:r w:rsidR="00D71370" w:rsidRPr="00E15F8F">
              <w:rPr>
                <w:rFonts w:ascii="Times New Roman" w:hAnsi="Times New Roman" w:cs="Times New Roman"/>
                <w:sz w:val="20"/>
                <w:szCs w:val="20"/>
                <w:lang w:val="bg-BG" w:eastAsia="bg-BG"/>
              </w:rPr>
              <w:t>.</w:t>
            </w:r>
          </w:p>
          <w:p w14:paraId="2A091244" w14:textId="3FA1FC0D" w:rsidR="00262045" w:rsidRPr="00E15F8F" w:rsidRDefault="009057BA" w:rsidP="00E050A8">
            <w:pPr>
              <w:spacing w:before="120"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xml:space="preserve">Повишаване информираността </w:t>
            </w:r>
            <w:r w:rsidR="00262045" w:rsidRPr="00E15F8F">
              <w:rPr>
                <w:rFonts w:ascii="Times New Roman" w:hAnsi="Times New Roman" w:cs="Times New Roman"/>
                <w:sz w:val="20"/>
                <w:szCs w:val="20"/>
                <w:lang w:val="bg-BG" w:eastAsia="bg-BG"/>
              </w:rPr>
              <w:t>на селскостопански</w:t>
            </w:r>
            <w:r w:rsidRPr="00E15F8F">
              <w:rPr>
                <w:rFonts w:ascii="Times New Roman" w:hAnsi="Times New Roman" w:cs="Times New Roman"/>
                <w:sz w:val="20"/>
                <w:szCs w:val="20"/>
                <w:lang w:val="bg-BG" w:eastAsia="bg-BG"/>
              </w:rPr>
              <w:t>те</w:t>
            </w:r>
            <w:r w:rsidR="00262045" w:rsidRPr="00E15F8F">
              <w:rPr>
                <w:rFonts w:ascii="Times New Roman" w:hAnsi="Times New Roman" w:cs="Times New Roman"/>
                <w:sz w:val="20"/>
                <w:szCs w:val="20"/>
                <w:lang w:val="bg-BG" w:eastAsia="bg-BG"/>
              </w:rPr>
              <w:t xml:space="preserve"> производители и фермери за прилагане на добри земеделски практики</w:t>
            </w:r>
            <w:r w:rsidRPr="00E15F8F">
              <w:rPr>
                <w:rFonts w:ascii="Times New Roman" w:hAnsi="Times New Roman" w:cs="Times New Roman"/>
                <w:sz w:val="20"/>
                <w:szCs w:val="20"/>
                <w:lang w:val="bg-BG" w:eastAsia="bg-BG"/>
              </w:rPr>
              <w:t>, иновативни практики за повишаване на икономическа и екологична ефективност на стопанствата.</w:t>
            </w:r>
          </w:p>
          <w:p w14:paraId="1A70E4C9" w14:textId="7F81C18E" w:rsidR="00995D02" w:rsidRPr="00E15F8F" w:rsidRDefault="009057BA" w:rsidP="00E050A8">
            <w:pPr>
              <w:spacing w:before="120"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Разработване и въвеждане на и</w:t>
            </w:r>
            <w:r w:rsidR="00995D02" w:rsidRPr="00E15F8F">
              <w:rPr>
                <w:rFonts w:ascii="Times New Roman" w:hAnsi="Times New Roman" w:cs="Times New Roman"/>
                <w:sz w:val="20"/>
                <w:szCs w:val="20"/>
                <w:lang w:val="bg-BG" w:eastAsia="bg-BG"/>
              </w:rPr>
              <w:t>кономичски механизми за ограничаване на замърсяването на водите от дифузни източници от слеското стопанство</w:t>
            </w:r>
          </w:p>
        </w:tc>
      </w:tr>
      <w:tr w:rsidR="00712974" w:rsidRPr="00E15F8F" w14:paraId="794FEAFE" w14:textId="77777777" w:rsidTr="004D101C">
        <w:tc>
          <w:tcPr>
            <w:tcW w:w="43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2E1A3D" w14:textId="58C76C77" w:rsidR="00712974" w:rsidRPr="00E15F8F" w:rsidRDefault="00712974" w:rsidP="00E050A8">
            <w:pPr>
              <w:pStyle w:val="a0"/>
              <w:spacing w:line="264" w:lineRule="auto"/>
              <w:rPr>
                <w:sz w:val="20"/>
                <w:szCs w:val="20"/>
              </w:rPr>
            </w:pPr>
            <w:r w:rsidRPr="00E15F8F">
              <w:rPr>
                <w:sz w:val="20"/>
                <w:szCs w:val="20"/>
              </w:rPr>
              <w:t>Намаляване на натиска върху водите от заустване на непречиствани отпадъчни води</w:t>
            </w:r>
          </w:p>
        </w:tc>
        <w:tc>
          <w:tcPr>
            <w:tcW w:w="526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CB380" w14:textId="7CF02458" w:rsidR="009057BA" w:rsidRPr="00E15F8F" w:rsidRDefault="009057BA" w:rsidP="00E050A8">
            <w:pPr>
              <w:spacing w:before="120" w:after="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Премахване на заустването на необработени отпадъчни води в изкуствени и естествени водоприемници и в Черно море чрез изграждане, реконструкция и модернизация на системи за отвеждане и пречистване на отпадъчни води, включително:</w:t>
            </w:r>
          </w:p>
          <w:p w14:paraId="47F7C85C" w14:textId="0EF95747" w:rsidR="009057BA" w:rsidRPr="00E15F8F" w:rsidRDefault="009057BA" w:rsidP="00E050A8">
            <w:pPr>
              <w:spacing w:before="120" w:after="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 мерки за осигуряване на отвеждане и  подходящо пречистване на отпадъчни води от населени места с над 2000 е.ж., вкл. изграждане на подходяща канализационна система, ПСОВ, решения за съвместно пречистване.</w:t>
            </w:r>
          </w:p>
          <w:p w14:paraId="53E72579" w14:textId="2E746E61" w:rsidR="009057BA" w:rsidRPr="00E15F8F" w:rsidRDefault="009057BA" w:rsidP="00E050A8">
            <w:pPr>
              <w:spacing w:before="120" w:after="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 разработване и прилагане на алтернативни решения за осигуряване на пречистване на отпадъчни води от населени места под 2000 е.ж.</w:t>
            </w:r>
          </w:p>
          <w:p w14:paraId="2F5CE1D6" w14:textId="419A84C4" w:rsidR="009057BA" w:rsidRPr="00E15F8F" w:rsidRDefault="009057BA" w:rsidP="00E050A8">
            <w:pPr>
              <w:spacing w:before="120" w:after="0" w:line="264" w:lineRule="auto"/>
              <w:rPr>
                <w:rFonts w:ascii="Times New Roman" w:hAnsi="Times New Roman" w:cs="Times New Roman"/>
                <w:sz w:val="20"/>
                <w:szCs w:val="20"/>
                <w:lang w:val="bg-BG"/>
              </w:rPr>
            </w:pPr>
            <w:r w:rsidRPr="00E15F8F">
              <w:rPr>
                <w:rFonts w:ascii="Times New Roman" w:hAnsi="Times New Roman" w:cs="Times New Roman"/>
                <w:sz w:val="20"/>
                <w:szCs w:val="20"/>
                <w:lang w:val="bg-BG"/>
              </w:rPr>
              <w:t>Разширяване на изискванията за и</w:t>
            </w:r>
            <w:r w:rsidR="00293C39" w:rsidRPr="00E15F8F">
              <w:rPr>
                <w:rFonts w:ascii="Times New Roman" w:hAnsi="Times New Roman" w:cs="Times New Roman"/>
                <w:sz w:val="20"/>
                <w:szCs w:val="20"/>
                <w:lang w:val="bg-BG"/>
              </w:rPr>
              <w:t>зпълнение на собствен мониторинг за качеството на водите</w:t>
            </w:r>
            <w:r w:rsidRPr="00E15F8F">
              <w:rPr>
                <w:rFonts w:ascii="Times New Roman" w:hAnsi="Times New Roman" w:cs="Times New Roman"/>
                <w:sz w:val="20"/>
                <w:szCs w:val="20"/>
                <w:lang w:val="bg-BG"/>
              </w:rPr>
              <w:t>.</w:t>
            </w:r>
          </w:p>
          <w:p w14:paraId="2F91135D" w14:textId="3A8654C2" w:rsidR="00712974" w:rsidRPr="00E15F8F" w:rsidRDefault="009057BA" w:rsidP="00E050A8">
            <w:pPr>
              <w:spacing w:before="120" w:after="0" w:line="264" w:lineRule="auto"/>
              <w:rPr>
                <w:rFonts w:ascii="Times New Roman" w:hAnsi="Times New Roman" w:cs="Times New Roman"/>
                <w:sz w:val="20"/>
                <w:szCs w:val="20"/>
                <w:lang w:val="bg-BG"/>
              </w:rPr>
            </w:pPr>
            <w:r w:rsidRPr="00E15F8F">
              <w:rPr>
                <w:rFonts w:ascii="Times New Roman" w:hAnsi="Times New Roman" w:cs="Times New Roman"/>
                <w:sz w:val="20"/>
                <w:szCs w:val="20"/>
                <w:lang w:val="bg-BG"/>
              </w:rPr>
              <w:lastRenderedPageBreak/>
              <w:t xml:space="preserve">Подобряване на </w:t>
            </w:r>
            <w:r w:rsidR="00677412" w:rsidRPr="00E15F8F">
              <w:rPr>
                <w:rFonts w:ascii="Times New Roman" w:hAnsi="Times New Roman" w:cs="Times New Roman"/>
                <w:sz w:val="20"/>
                <w:szCs w:val="20"/>
                <w:lang w:val="bg-BG"/>
              </w:rPr>
              <w:t>мониторинга и управлението на водите</w:t>
            </w:r>
            <w:r w:rsidR="00293C39" w:rsidRPr="00E15F8F">
              <w:rPr>
                <w:rFonts w:ascii="Times New Roman" w:hAnsi="Times New Roman" w:cs="Times New Roman"/>
                <w:sz w:val="20"/>
                <w:szCs w:val="20"/>
                <w:lang w:val="bg-BG"/>
              </w:rPr>
              <w:t xml:space="preserve"> в акваторията </w:t>
            </w:r>
            <w:r w:rsidR="00677412" w:rsidRPr="00E15F8F">
              <w:rPr>
                <w:rFonts w:ascii="Times New Roman" w:hAnsi="Times New Roman" w:cs="Times New Roman"/>
                <w:sz w:val="20"/>
                <w:szCs w:val="20"/>
                <w:lang w:val="bg-BG"/>
              </w:rPr>
              <w:t>на</w:t>
            </w:r>
            <w:r w:rsidR="00293C39" w:rsidRPr="00E15F8F">
              <w:rPr>
                <w:rFonts w:ascii="Times New Roman" w:hAnsi="Times New Roman" w:cs="Times New Roman"/>
                <w:sz w:val="20"/>
                <w:szCs w:val="20"/>
                <w:lang w:val="bg-BG"/>
              </w:rPr>
              <w:t xml:space="preserve"> пристанищата</w:t>
            </w:r>
            <w:r w:rsidR="00677412" w:rsidRPr="00E15F8F">
              <w:rPr>
                <w:rFonts w:ascii="Times New Roman" w:hAnsi="Times New Roman" w:cs="Times New Roman"/>
                <w:sz w:val="20"/>
                <w:szCs w:val="20"/>
                <w:lang w:val="bg-BG"/>
              </w:rPr>
              <w:t>, включително чрез:</w:t>
            </w:r>
          </w:p>
          <w:p w14:paraId="4E6E6E71" w14:textId="6D0CED66" w:rsidR="00677412" w:rsidRPr="00E15F8F" w:rsidRDefault="00677412" w:rsidP="00E050A8">
            <w:pPr>
              <w:spacing w:before="120" w:after="0" w:line="264" w:lineRule="auto"/>
              <w:rPr>
                <w:rFonts w:ascii="Times New Roman" w:hAnsi="Times New Roman" w:cs="Times New Roman"/>
                <w:sz w:val="20"/>
                <w:szCs w:val="20"/>
                <w:lang w:val="bg-BG"/>
              </w:rPr>
            </w:pPr>
            <w:r w:rsidRPr="00E15F8F">
              <w:rPr>
                <w:rFonts w:ascii="Times New Roman" w:hAnsi="Times New Roman" w:cs="Times New Roman"/>
                <w:sz w:val="20"/>
                <w:szCs w:val="20"/>
                <w:lang w:val="bg-BG"/>
              </w:rPr>
              <w:t>- извършване на собствен мониторинг;</w:t>
            </w:r>
          </w:p>
          <w:p w14:paraId="63F8C51B" w14:textId="43264ACF" w:rsidR="00293C39" w:rsidRPr="00E15F8F" w:rsidRDefault="00677412" w:rsidP="00E050A8">
            <w:pPr>
              <w:spacing w:before="120" w:after="0" w:line="264" w:lineRule="auto"/>
              <w:rPr>
                <w:rFonts w:ascii="Times New Roman" w:hAnsi="Times New Roman" w:cs="Times New Roman"/>
                <w:sz w:val="20"/>
                <w:szCs w:val="20"/>
                <w:lang w:val="bg-BG"/>
              </w:rPr>
            </w:pPr>
            <w:r w:rsidRPr="00E15F8F">
              <w:rPr>
                <w:rFonts w:ascii="Times New Roman" w:hAnsi="Times New Roman" w:cs="Times New Roman"/>
                <w:sz w:val="20"/>
                <w:szCs w:val="20"/>
                <w:lang w:val="bg-BG"/>
              </w:rPr>
              <w:t>- о</w:t>
            </w:r>
            <w:r w:rsidR="00293C39" w:rsidRPr="00E15F8F">
              <w:rPr>
                <w:rFonts w:ascii="Times New Roman" w:hAnsi="Times New Roman" w:cs="Times New Roman"/>
                <w:sz w:val="20"/>
                <w:szCs w:val="20"/>
                <w:lang w:val="bg-BG"/>
              </w:rPr>
              <w:t>рганичаване на замърсяване на морските води чрез използване на подходящо оборудване при инцидентни разливи (скимъри, бонови заграждения и др.)</w:t>
            </w:r>
          </w:p>
          <w:p w14:paraId="6C0AE714" w14:textId="2930EA6F" w:rsidR="00293C39" w:rsidRPr="00E15F8F" w:rsidRDefault="00677412" w:rsidP="00E050A8">
            <w:pPr>
              <w:spacing w:before="120" w:after="0" w:line="264" w:lineRule="auto"/>
              <w:rPr>
                <w:rFonts w:ascii="Times New Roman" w:hAnsi="Times New Roman" w:cs="Times New Roman"/>
                <w:sz w:val="20"/>
                <w:szCs w:val="20"/>
                <w:lang w:val="bg-BG"/>
              </w:rPr>
            </w:pPr>
            <w:r w:rsidRPr="00E15F8F">
              <w:rPr>
                <w:rFonts w:ascii="Times New Roman" w:hAnsi="Times New Roman" w:cs="Times New Roman"/>
                <w:sz w:val="20"/>
                <w:szCs w:val="20"/>
                <w:lang w:val="bg-BG"/>
              </w:rPr>
              <w:t>- засилване</w:t>
            </w:r>
            <w:r w:rsidR="00293C39" w:rsidRPr="00E15F8F">
              <w:rPr>
                <w:rFonts w:ascii="Times New Roman" w:hAnsi="Times New Roman" w:cs="Times New Roman"/>
                <w:sz w:val="20"/>
                <w:szCs w:val="20"/>
                <w:lang w:val="bg-BG"/>
              </w:rPr>
              <w:t xml:space="preserve"> на контрол</w:t>
            </w:r>
            <w:r w:rsidRPr="00E15F8F">
              <w:rPr>
                <w:rFonts w:ascii="Times New Roman" w:hAnsi="Times New Roman" w:cs="Times New Roman"/>
                <w:sz w:val="20"/>
                <w:szCs w:val="20"/>
                <w:lang w:val="bg-BG"/>
              </w:rPr>
              <w:t>а</w:t>
            </w:r>
            <w:r w:rsidR="00293C39" w:rsidRPr="00E15F8F">
              <w:rPr>
                <w:rFonts w:ascii="Times New Roman" w:hAnsi="Times New Roman" w:cs="Times New Roman"/>
                <w:sz w:val="20"/>
                <w:szCs w:val="20"/>
                <w:lang w:val="bg-BG"/>
              </w:rPr>
              <w:t xml:space="preserve"> на дейности</w:t>
            </w:r>
            <w:r w:rsidRPr="00E15F8F">
              <w:rPr>
                <w:rFonts w:ascii="Times New Roman" w:hAnsi="Times New Roman" w:cs="Times New Roman"/>
                <w:sz w:val="20"/>
                <w:szCs w:val="20"/>
                <w:lang w:val="bg-BG"/>
              </w:rPr>
              <w:t>те</w:t>
            </w:r>
            <w:r w:rsidR="00293C39" w:rsidRPr="00E15F8F">
              <w:rPr>
                <w:rFonts w:ascii="Times New Roman" w:hAnsi="Times New Roman" w:cs="Times New Roman"/>
                <w:sz w:val="20"/>
                <w:szCs w:val="20"/>
                <w:lang w:val="bg-BG"/>
              </w:rPr>
              <w:t xml:space="preserve"> по събиране и транспортиране на корабни и битови корабни отпадъци, включително отпадъчни води</w:t>
            </w:r>
            <w:r w:rsidRPr="00E15F8F">
              <w:rPr>
                <w:rFonts w:ascii="Times New Roman" w:hAnsi="Times New Roman" w:cs="Times New Roman"/>
                <w:sz w:val="20"/>
                <w:szCs w:val="20"/>
                <w:lang w:val="bg-BG"/>
              </w:rPr>
              <w:t>.</w:t>
            </w:r>
          </w:p>
        </w:tc>
      </w:tr>
      <w:tr w:rsidR="00712974" w:rsidRPr="00E15F8F" w14:paraId="0CF9A6EF" w14:textId="77777777" w:rsidTr="004D101C">
        <w:tc>
          <w:tcPr>
            <w:tcW w:w="43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3242B6" w14:textId="606D790F" w:rsidR="00712974" w:rsidRPr="00E15F8F" w:rsidRDefault="00712974" w:rsidP="00E050A8">
            <w:pPr>
              <w:pStyle w:val="a0"/>
              <w:spacing w:line="264" w:lineRule="auto"/>
              <w:rPr>
                <w:sz w:val="20"/>
                <w:szCs w:val="20"/>
              </w:rPr>
            </w:pPr>
            <w:r w:rsidRPr="00E15F8F">
              <w:rPr>
                <w:sz w:val="20"/>
                <w:szCs w:val="20"/>
              </w:rPr>
              <w:lastRenderedPageBreak/>
              <w:t>Добро качество на водите за пиене</w:t>
            </w:r>
          </w:p>
        </w:tc>
        <w:tc>
          <w:tcPr>
            <w:tcW w:w="526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36020E" w14:textId="3280F98D" w:rsidR="00CB7A3D" w:rsidRPr="00E15F8F" w:rsidRDefault="00677412"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Мерки за о</w:t>
            </w:r>
            <w:r w:rsidR="00CB7A3D" w:rsidRPr="00E15F8F">
              <w:rPr>
                <w:rFonts w:ascii="Times New Roman" w:hAnsi="Times New Roman" w:cs="Times New Roman"/>
                <w:sz w:val="20"/>
                <w:szCs w:val="20"/>
                <w:lang w:val="bg-BG" w:eastAsia="bg-BG"/>
              </w:rPr>
              <w:t>граничаване, преустановяване или предписване на допълнителни изисквания към дейност</w:t>
            </w:r>
            <w:r w:rsidRPr="00E15F8F">
              <w:rPr>
                <w:rFonts w:ascii="Times New Roman" w:hAnsi="Times New Roman" w:cs="Times New Roman"/>
                <w:sz w:val="20"/>
                <w:szCs w:val="20"/>
                <w:lang w:val="bg-BG" w:eastAsia="bg-BG"/>
              </w:rPr>
              <w:t xml:space="preserve">и </w:t>
            </w:r>
            <w:r w:rsidR="00CB7A3D" w:rsidRPr="00E15F8F">
              <w:rPr>
                <w:rFonts w:ascii="Times New Roman" w:hAnsi="Times New Roman" w:cs="Times New Roman"/>
                <w:sz w:val="20"/>
                <w:szCs w:val="20"/>
                <w:lang w:val="bg-BG" w:eastAsia="bg-BG"/>
              </w:rPr>
              <w:t>създаващи риск за влошаване на състоянието на зони за защита на питейните води.</w:t>
            </w:r>
          </w:p>
        </w:tc>
      </w:tr>
      <w:tr w:rsidR="00712974" w:rsidRPr="00E15F8F" w14:paraId="05A62936" w14:textId="77777777" w:rsidTr="004D101C">
        <w:tc>
          <w:tcPr>
            <w:tcW w:w="43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475465" w14:textId="62CA1601" w:rsidR="00712974" w:rsidRPr="00E15F8F" w:rsidRDefault="00712974" w:rsidP="00E050A8">
            <w:pPr>
              <w:pStyle w:val="a0"/>
              <w:spacing w:line="264" w:lineRule="auto"/>
              <w:rPr>
                <w:sz w:val="20"/>
                <w:szCs w:val="20"/>
              </w:rPr>
            </w:pPr>
            <w:r w:rsidRPr="00E15F8F">
              <w:rPr>
                <w:sz w:val="20"/>
                <w:szCs w:val="20"/>
              </w:rPr>
              <w:t>Превенция на замърсяването на водите за къпане</w:t>
            </w:r>
          </w:p>
        </w:tc>
        <w:tc>
          <w:tcPr>
            <w:tcW w:w="526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59FFA" w14:textId="77777777" w:rsidR="00B84564" w:rsidRPr="00E15F8F" w:rsidRDefault="00DE211C"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xml:space="preserve">Определяне на конкретни мерки за опазване </w:t>
            </w:r>
            <w:r w:rsidR="00B84564" w:rsidRPr="00E15F8F">
              <w:rPr>
                <w:rFonts w:ascii="Times New Roman" w:hAnsi="Times New Roman" w:cs="Times New Roman"/>
                <w:sz w:val="20"/>
                <w:szCs w:val="20"/>
                <w:lang w:val="bg-BG" w:eastAsia="bg-BG"/>
              </w:rPr>
              <w:t>на водите за къпане в ПУРБ</w:t>
            </w:r>
          </w:p>
          <w:p w14:paraId="44121B17" w14:textId="64F4AC05" w:rsidR="00CB7A3D" w:rsidRPr="00E15F8F" w:rsidRDefault="00CB7A3D"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Контрол, мониторинг и оценка на качеството на водите за къпане</w:t>
            </w:r>
            <w:r w:rsidR="00B84564" w:rsidRPr="00E15F8F">
              <w:rPr>
                <w:rFonts w:ascii="Times New Roman" w:hAnsi="Times New Roman" w:cs="Times New Roman"/>
                <w:sz w:val="20"/>
                <w:szCs w:val="20"/>
                <w:lang w:val="bg-BG" w:eastAsia="bg-BG"/>
              </w:rPr>
              <w:t xml:space="preserve">, </w:t>
            </w:r>
            <w:r w:rsidRPr="00E15F8F">
              <w:rPr>
                <w:rFonts w:ascii="Times New Roman" w:hAnsi="Times New Roman" w:cs="Times New Roman"/>
                <w:sz w:val="20"/>
                <w:szCs w:val="20"/>
                <w:lang w:val="bg-BG" w:eastAsia="bg-BG"/>
              </w:rPr>
              <w:t>съобразно изискванията в заповедите за тяхното определяне</w:t>
            </w:r>
          </w:p>
        </w:tc>
      </w:tr>
      <w:tr w:rsidR="00712974" w:rsidRPr="00E15F8F" w14:paraId="170D599F" w14:textId="77777777" w:rsidTr="00BB7E8B">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350189B9" w14:textId="4D5E8343" w:rsidR="00712974" w:rsidRPr="00E15F8F" w:rsidRDefault="00712974" w:rsidP="00E050A8">
            <w:pPr>
              <w:pStyle w:val="a"/>
              <w:numPr>
                <w:ilvl w:val="0"/>
                <w:numId w:val="0"/>
              </w:numPr>
              <w:spacing w:after="0" w:line="264" w:lineRule="auto"/>
              <w:ind w:left="360" w:hanging="360"/>
              <w:textAlignment w:val="auto"/>
              <w:rPr>
                <w:b/>
                <w:bCs/>
                <w:sz w:val="20"/>
                <w:szCs w:val="20"/>
                <w:lang w:val="bg-BG"/>
              </w:rPr>
            </w:pPr>
            <w:r w:rsidRPr="00E15F8F">
              <w:rPr>
                <w:b/>
                <w:bCs/>
                <w:sz w:val="20"/>
                <w:szCs w:val="20"/>
                <w:lang w:val="bg-BG"/>
              </w:rPr>
              <w:t>Водни екосистеми и влажни зони</w:t>
            </w:r>
          </w:p>
        </w:tc>
      </w:tr>
      <w:tr w:rsidR="00712974" w:rsidRPr="00E15F8F" w14:paraId="169A3C34" w14:textId="77777777" w:rsidTr="004D101C">
        <w:tc>
          <w:tcPr>
            <w:tcW w:w="4315" w:type="dxa"/>
            <w:tcBorders>
              <w:top w:val="single" w:sz="4" w:space="0" w:color="000000"/>
              <w:left w:val="single" w:sz="4" w:space="0" w:color="000000"/>
              <w:bottom w:val="single" w:sz="4" w:space="0" w:color="000000"/>
              <w:right w:val="single" w:sz="4" w:space="0" w:color="auto"/>
            </w:tcBorders>
            <w:shd w:val="clear" w:color="auto" w:fill="D9E2F3" w:themeFill="accent1" w:themeFillTint="33"/>
            <w:tcMar>
              <w:top w:w="0" w:type="dxa"/>
              <w:left w:w="108" w:type="dxa"/>
              <w:bottom w:w="0" w:type="dxa"/>
              <w:right w:w="108" w:type="dxa"/>
            </w:tcMar>
          </w:tcPr>
          <w:p w14:paraId="5044425D" w14:textId="77777777" w:rsidR="00712974" w:rsidRPr="00E15F8F" w:rsidRDefault="00712974" w:rsidP="00E050A8">
            <w:pPr>
              <w:spacing w:after="0" w:line="264" w:lineRule="auto"/>
              <w:jc w:val="both"/>
              <w:rPr>
                <w:rFonts w:ascii="Times New Roman" w:hAnsi="Times New Roman" w:cs="Times New Roman"/>
                <w:b/>
                <w:bCs/>
                <w:color w:val="000000" w:themeColor="text1"/>
                <w:sz w:val="20"/>
                <w:szCs w:val="20"/>
                <w:lang w:val="bg-BG"/>
              </w:rPr>
            </w:pPr>
            <w:r w:rsidRPr="00E15F8F">
              <w:rPr>
                <w:rFonts w:ascii="Times New Roman" w:hAnsi="Times New Roman" w:cs="Times New Roman"/>
                <w:b/>
                <w:bCs/>
                <w:color w:val="000000" w:themeColor="text1"/>
                <w:sz w:val="20"/>
                <w:szCs w:val="20"/>
                <w:lang w:val="bg-BG"/>
              </w:rPr>
              <w:t>Предизвикателства</w:t>
            </w:r>
          </w:p>
        </w:tc>
        <w:tc>
          <w:tcPr>
            <w:tcW w:w="5261" w:type="dxa"/>
            <w:tcBorders>
              <w:top w:val="single" w:sz="4" w:space="0" w:color="auto"/>
              <w:left w:val="single" w:sz="4" w:space="0" w:color="auto"/>
              <w:bottom w:val="single" w:sz="4" w:space="0" w:color="auto"/>
              <w:right w:val="single" w:sz="4" w:space="0" w:color="auto"/>
            </w:tcBorders>
            <w:shd w:val="clear" w:color="auto" w:fill="D9E2F3" w:themeFill="accent1" w:themeFillTint="33"/>
            <w:tcMar>
              <w:top w:w="0" w:type="dxa"/>
              <w:left w:w="108" w:type="dxa"/>
              <w:bottom w:w="0" w:type="dxa"/>
              <w:right w:w="108" w:type="dxa"/>
            </w:tcMar>
          </w:tcPr>
          <w:p w14:paraId="65B2C772" w14:textId="77777777" w:rsidR="00712974" w:rsidRPr="00E15F8F" w:rsidRDefault="00712974" w:rsidP="00E050A8">
            <w:pPr>
              <w:pStyle w:val="a"/>
              <w:numPr>
                <w:ilvl w:val="0"/>
                <w:numId w:val="0"/>
              </w:numPr>
              <w:spacing w:after="0" w:line="264" w:lineRule="auto"/>
              <w:textAlignment w:val="auto"/>
              <w:rPr>
                <w:b/>
                <w:bCs/>
                <w:color w:val="000000" w:themeColor="text1"/>
                <w:sz w:val="20"/>
                <w:szCs w:val="20"/>
                <w:lang w:val="bg-BG"/>
              </w:rPr>
            </w:pPr>
            <w:r w:rsidRPr="00E15F8F">
              <w:rPr>
                <w:b/>
                <w:bCs/>
                <w:color w:val="000000" w:themeColor="text1"/>
                <w:sz w:val="20"/>
                <w:szCs w:val="20"/>
                <w:lang w:val="bg-BG"/>
              </w:rPr>
              <w:t>Препоръки</w:t>
            </w:r>
          </w:p>
        </w:tc>
      </w:tr>
      <w:tr w:rsidR="00712974" w:rsidRPr="00E15F8F" w14:paraId="189EF286" w14:textId="77777777" w:rsidTr="004D101C">
        <w:tc>
          <w:tcPr>
            <w:tcW w:w="43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87A6A7" w14:textId="1C00661F" w:rsidR="00712974" w:rsidRPr="00E15F8F" w:rsidRDefault="00712974" w:rsidP="00E050A8">
            <w:pPr>
              <w:spacing w:after="0" w:line="264" w:lineRule="auto"/>
              <w:rPr>
                <w:rFonts w:ascii="Times New Roman" w:hAnsi="Times New Roman" w:cs="Times New Roman"/>
                <w:sz w:val="20"/>
                <w:szCs w:val="20"/>
                <w:lang w:val="bg-BG"/>
              </w:rPr>
            </w:pPr>
            <w:bookmarkStart w:id="55" w:name="_Hlk72814314"/>
            <w:r w:rsidRPr="00E15F8F">
              <w:rPr>
                <w:rFonts w:ascii="Times New Roman" w:hAnsi="Times New Roman" w:cs="Times New Roman"/>
                <w:sz w:val="20"/>
                <w:szCs w:val="20"/>
                <w:lang w:val="bg-BG" w:eastAsia="bg-BG"/>
              </w:rPr>
              <w:t>Постигане на целите за добро екологично състояние на водните тела</w:t>
            </w:r>
          </w:p>
        </w:tc>
        <w:tc>
          <w:tcPr>
            <w:tcW w:w="526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85322F" w14:textId="3B89BCCD" w:rsidR="00293C39" w:rsidRPr="00E15F8F" w:rsidRDefault="00B84564"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Разработване и провеждане на програми за</w:t>
            </w:r>
            <w:r w:rsidR="00293C39" w:rsidRPr="00E15F8F">
              <w:rPr>
                <w:rFonts w:ascii="Times New Roman" w:hAnsi="Times New Roman" w:cs="Times New Roman"/>
                <w:sz w:val="20"/>
                <w:szCs w:val="20"/>
                <w:lang w:val="bg-BG" w:eastAsia="bg-BG"/>
              </w:rPr>
              <w:t xml:space="preserve"> проучвателен мониторинг за установяване източниците на натиск при установено влошаване на състоянието на водното тяло и неустановен източник на този натиск</w:t>
            </w:r>
            <w:r w:rsidRPr="00E15F8F">
              <w:rPr>
                <w:rFonts w:ascii="Times New Roman" w:hAnsi="Times New Roman" w:cs="Times New Roman"/>
                <w:sz w:val="20"/>
                <w:szCs w:val="20"/>
                <w:lang w:val="bg-BG" w:eastAsia="bg-BG"/>
              </w:rPr>
              <w:t>.</w:t>
            </w:r>
          </w:p>
          <w:p w14:paraId="131F1231" w14:textId="77777777" w:rsidR="00CB7A3D" w:rsidRPr="00E15F8F" w:rsidRDefault="00CB7A3D"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Определяне на изискванията към количеството и качеството на водите при разработване на плановете за управление на защитени зони и територии, зависими от повърхностните или от подземните води</w:t>
            </w:r>
          </w:p>
          <w:p w14:paraId="707F22E8" w14:textId="6CC4AC73" w:rsidR="007973B1" w:rsidRPr="00E15F8F" w:rsidRDefault="007973B1"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Прилагане на ефективни методи за оценка на натиска от рибовъдни дейности и капацитета на водните тела за сладководно рибовъдство.</w:t>
            </w:r>
          </w:p>
          <w:p w14:paraId="5018A911" w14:textId="00A0F0CC" w:rsidR="007973B1" w:rsidRPr="00E15F8F" w:rsidRDefault="007973B1"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Интегриране на мерки за подкрепа на устойчиво рибовъдство и технологични схеми, ограничаващи негативното въздействие върху водните тела в различни финансови инструменти, включително ПМДР и подхода ВОМР.</w:t>
            </w:r>
          </w:p>
          <w:p w14:paraId="629F697E" w14:textId="119819B6" w:rsidR="00D71370" w:rsidRPr="00E15F8F" w:rsidRDefault="00D71370" w:rsidP="00E050A8">
            <w:pPr>
              <w:spacing w:after="0" w:line="264" w:lineRule="auto"/>
              <w:rPr>
                <w:rFonts w:ascii="Times New Roman" w:hAnsi="Times New Roman" w:cs="Times New Roman"/>
                <w:sz w:val="20"/>
                <w:szCs w:val="20"/>
                <w:lang w:val="bg-BG" w:eastAsia="bg-BG"/>
              </w:rPr>
            </w:pPr>
          </w:p>
        </w:tc>
      </w:tr>
      <w:tr w:rsidR="00712974" w:rsidRPr="00E15F8F" w14:paraId="7493A8FE" w14:textId="77777777" w:rsidTr="004D101C">
        <w:tc>
          <w:tcPr>
            <w:tcW w:w="43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CAB9CD" w14:textId="1F6083C8" w:rsidR="00712974" w:rsidRPr="00E15F8F" w:rsidRDefault="00712974" w:rsidP="00E050A8">
            <w:pPr>
              <w:pStyle w:val="a1"/>
              <w:spacing w:line="264" w:lineRule="auto"/>
              <w:ind w:left="0"/>
              <w:textAlignment w:val="auto"/>
              <w:rPr>
                <w:iCs/>
                <w:sz w:val="20"/>
                <w:szCs w:val="20"/>
              </w:rPr>
            </w:pPr>
            <w:r w:rsidRPr="00E15F8F">
              <w:rPr>
                <w:sz w:val="20"/>
                <w:szCs w:val="20"/>
              </w:rPr>
              <w:t>Намаляване на натиска върху свързаните с водите екосистеми в резултат от инвазивни видове, замърсяване и хидроморфологични изменения</w:t>
            </w:r>
          </w:p>
        </w:tc>
        <w:tc>
          <w:tcPr>
            <w:tcW w:w="526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8DA3B5" w14:textId="77777777" w:rsidR="00712974" w:rsidRPr="00E15F8F" w:rsidRDefault="00293C39"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Проучване разпространението на инвазивни биологични видове и тяхното въздействие върху екологичното състояние (потенциал) на водните тела и природозащитния статус на защитените зони по Натура 2000</w:t>
            </w:r>
          </w:p>
          <w:p w14:paraId="02E3CC02" w14:textId="457D7390" w:rsidR="00293C39" w:rsidRPr="00E15F8F" w:rsidRDefault="007973B1"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xml:space="preserve">Въвеждане на изисквания </w:t>
            </w:r>
            <w:r w:rsidR="00293C39" w:rsidRPr="00E15F8F">
              <w:rPr>
                <w:rFonts w:ascii="Times New Roman" w:hAnsi="Times New Roman" w:cs="Times New Roman"/>
                <w:sz w:val="20"/>
                <w:szCs w:val="20"/>
                <w:lang w:val="bg-BG" w:eastAsia="bg-BG"/>
              </w:rPr>
              <w:t xml:space="preserve">за провеждане на собствен мониторинг </w:t>
            </w:r>
            <w:r w:rsidRPr="00E15F8F">
              <w:rPr>
                <w:rFonts w:ascii="Times New Roman" w:hAnsi="Times New Roman" w:cs="Times New Roman"/>
                <w:sz w:val="20"/>
                <w:szCs w:val="20"/>
                <w:lang w:val="bg-BG" w:eastAsia="bg-BG"/>
              </w:rPr>
              <w:t>за</w:t>
            </w:r>
            <w:r w:rsidR="00293C39" w:rsidRPr="00E15F8F">
              <w:rPr>
                <w:rFonts w:ascii="Times New Roman" w:hAnsi="Times New Roman" w:cs="Times New Roman"/>
                <w:sz w:val="20"/>
                <w:szCs w:val="20"/>
                <w:lang w:val="bg-BG" w:eastAsia="bg-BG"/>
              </w:rPr>
              <w:t xml:space="preserve"> оценка на натиска от различните форми на сладководно рибовъдство.</w:t>
            </w:r>
          </w:p>
          <w:p w14:paraId="3273DE2F" w14:textId="0643333C" w:rsidR="00D40FC0" w:rsidRPr="00E15F8F" w:rsidRDefault="007973B1"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lastRenderedPageBreak/>
              <w:t>Конкретни мерки за в</w:t>
            </w:r>
            <w:r w:rsidR="00D40FC0" w:rsidRPr="00E15F8F">
              <w:rPr>
                <w:rFonts w:ascii="Times New Roman" w:hAnsi="Times New Roman" w:cs="Times New Roman"/>
                <w:sz w:val="20"/>
                <w:szCs w:val="20"/>
                <w:lang w:val="bg-BG" w:eastAsia="bg-BG"/>
              </w:rPr>
              <w:t>ъзстановяване и разширяване на съществуващи влажни зони, възстановяване на ръкави и меандри</w:t>
            </w:r>
            <w:r w:rsidRPr="00E15F8F">
              <w:rPr>
                <w:rFonts w:ascii="Times New Roman" w:hAnsi="Times New Roman" w:cs="Times New Roman"/>
                <w:sz w:val="20"/>
                <w:szCs w:val="20"/>
                <w:lang w:val="bg-BG" w:eastAsia="bg-BG"/>
              </w:rPr>
              <w:t xml:space="preserve"> в ПУРБ</w:t>
            </w:r>
          </w:p>
          <w:p w14:paraId="70B1EB10" w14:textId="0442A0DE" w:rsidR="00D40FC0" w:rsidRPr="00E15F8F" w:rsidRDefault="00E61B75"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Разработване на методика за оценка на екосистемните услуги и критерии за тяхната приоритизация при управление на риска от наводнения</w:t>
            </w:r>
          </w:p>
        </w:tc>
      </w:tr>
      <w:bookmarkEnd w:id="55"/>
      <w:tr w:rsidR="00712974" w:rsidRPr="00E15F8F" w14:paraId="1CD1D23F" w14:textId="77777777" w:rsidTr="00BB7E8B">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3DDE8645" w14:textId="0E5745C1" w:rsidR="00712974" w:rsidRPr="00E15F8F" w:rsidRDefault="00712974" w:rsidP="00E050A8">
            <w:pPr>
              <w:pStyle w:val="a"/>
              <w:numPr>
                <w:ilvl w:val="0"/>
                <w:numId w:val="0"/>
              </w:numPr>
              <w:spacing w:after="0" w:line="264" w:lineRule="auto"/>
              <w:ind w:left="360" w:hanging="360"/>
              <w:textAlignment w:val="auto"/>
              <w:rPr>
                <w:b/>
                <w:bCs/>
                <w:sz w:val="20"/>
                <w:szCs w:val="20"/>
                <w:lang w:val="bg-BG"/>
              </w:rPr>
            </w:pPr>
            <w:r w:rsidRPr="00E15F8F">
              <w:rPr>
                <w:b/>
                <w:bCs/>
                <w:sz w:val="20"/>
                <w:szCs w:val="20"/>
                <w:lang w:val="bg-BG"/>
              </w:rPr>
              <w:lastRenderedPageBreak/>
              <w:t>Хидроморфологичен натиск</w:t>
            </w:r>
          </w:p>
        </w:tc>
      </w:tr>
      <w:tr w:rsidR="00712974" w:rsidRPr="00E15F8F" w14:paraId="2A064C25" w14:textId="77777777" w:rsidTr="004D101C">
        <w:tc>
          <w:tcPr>
            <w:tcW w:w="4315" w:type="dxa"/>
            <w:tcBorders>
              <w:top w:val="single" w:sz="4" w:space="0" w:color="000000"/>
              <w:left w:val="single" w:sz="4" w:space="0" w:color="000000"/>
              <w:bottom w:val="single" w:sz="4" w:space="0" w:color="000000"/>
              <w:right w:val="single" w:sz="4" w:space="0" w:color="auto"/>
            </w:tcBorders>
            <w:shd w:val="clear" w:color="auto" w:fill="D9E2F3" w:themeFill="accent1" w:themeFillTint="33"/>
            <w:tcMar>
              <w:top w:w="0" w:type="dxa"/>
              <w:left w:w="108" w:type="dxa"/>
              <w:bottom w:w="0" w:type="dxa"/>
              <w:right w:w="108" w:type="dxa"/>
            </w:tcMar>
          </w:tcPr>
          <w:p w14:paraId="36045DEC" w14:textId="77777777" w:rsidR="00712974" w:rsidRPr="00E15F8F" w:rsidRDefault="00712974" w:rsidP="00E050A8">
            <w:pPr>
              <w:spacing w:after="0" w:line="264" w:lineRule="auto"/>
              <w:jc w:val="both"/>
              <w:rPr>
                <w:rFonts w:ascii="Times New Roman" w:hAnsi="Times New Roman" w:cs="Times New Roman"/>
                <w:b/>
                <w:bCs/>
                <w:color w:val="000000" w:themeColor="text1"/>
                <w:sz w:val="20"/>
                <w:szCs w:val="20"/>
                <w:lang w:val="bg-BG"/>
              </w:rPr>
            </w:pPr>
            <w:r w:rsidRPr="00E15F8F">
              <w:rPr>
                <w:rFonts w:ascii="Times New Roman" w:hAnsi="Times New Roman" w:cs="Times New Roman"/>
                <w:b/>
                <w:bCs/>
                <w:color w:val="000000" w:themeColor="text1"/>
                <w:sz w:val="20"/>
                <w:szCs w:val="20"/>
                <w:lang w:val="bg-BG"/>
              </w:rPr>
              <w:t>Предизвикателства</w:t>
            </w:r>
          </w:p>
        </w:tc>
        <w:tc>
          <w:tcPr>
            <w:tcW w:w="5261" w:type="dxa"/>
            <w:tcBorders>
              <w:top w:val="single" w:sz="4" w:space="0" w:color="auto"/>
              <w:left w:val="single" w:sz="4" w:space="0" w:color="auto"/>
              <w:bottom w:val="single" w:sz="4" w:space="0" w:color="auto"/>
              <w:right w:val="single" w:sz="4" w:space="0" w:color="auto"/>
            </w:tcBorders>
            <w:shd w:val="clear" w:color="auto" w:fill="D9E2F3" w:themeFill="accent1" w:themeFillTint="33"/>
            <w:tcMar>
              <w:top w:w="0" w:type="dxa"/>
              <w:left w:w="108" w:type="dxa"/>
              <w:bottom w:w="0" w:type="dxa"/>
              <w:right w:w="108" w:type="dxa"/>
            </w:tcMar>
          </w:tcPr>
          <w:p w14:paraId="60940811" w14:textId="77777777" w:rsidR="00712974" w:rsidRPr="00E15F8F" w:rsidRDefault="00712974" w:rsidP="00E050A8">
            <w:pPr>
              <w:pStyle w:val="a"/>
              <w:numPr>
                <w:ilvl w:val="0"/>
                <w:numId w:val="0"/>
              </w:numPr>
              <w:spacing w:after="0" w:line="264" w:lineRule="auto"/>
              <w:textAlignment w:val="auto"/>
              <w:rPr>
                <w:b/>
                <w:bCs/>
                <w:color w:val="000000" w:themeColor="text1"/>
                <w:sz w:val="20"/>
                <w:szCs w:val="20"/>
                <w:lang w:val="bg-BG"/>
              </w:rPr>
            </w:pPr>
            <w:r w:rsidRPr="00E15F8F">
              <w:rPr>
                <w:b/>
                <w:bCs/>
                <w:color w:val="000000" w:themeColor="text1"/>
                <w:sz w:val="20"/>
                <w:szCs w:val="20"/>
                <w:lang w:val="bg-BG"/>
              </w:rPr>
              <w:t>Препоръки</w:t>
            </w:r>
          </w:p>
        </w:tc>
      </w:tr>
      <w:tr w:rsidR="00712974" w:rsidRPr="00E15F8F" w14:paraId="00874E96" w14:textId="77777777" w:rsidTr="004D101C">
        <w:tc>
          <w:tcPr>
            <w:tcW w:w="43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DE6BC" w14:textId="50297B2F" w:rsidR="00712974" w:rsidRPr="00E15F8F" w:rsidRDefault="00712974" w:rsidP="00E050A8">
            <w:pPr>
              <w:spacing w:after="0" w:line="264" w:lineRule="auto"/>
              <w:rPr>
                <w:rFonts w:ascii="Times New Roman" w:hAnsi="Times New Roman" w:cs="Times New Roman"/>
                <w:sz w:val="20"/>
                <w:szCs w:val="20"/>
                <w:lang w:val="bg-BG"/>
              </w:rPr>
            </w:pPr>
            <w:r w:rsidRPr="00E15F8F">
              <w:rPr>
                <w:rFonts w:ascii="Times New Roman" w:hAnsi="Times New Roman" w:cs="Times New Roman"/>
                <w:sz w:val="20"/>
                <w:szCs w:val="20"/>
                <w:lang w:val="bg-BG" w:eastAsia="bg-BG"/>
              </w:rPr>
              <w:t>Намаляване на риска от наводнения в резултат на хидроморфологичен натиск</w:t>
            </w:r>
          </w:p>
        </w:tc>
        <w:tc>
          <w:tcPr>
            <w:tcW w:w="526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AED93C" w14:textId="0675672B" w:rsidR="00321A29" w:rsidRPr="00E15F8F" w:rsidRDefault="00321A29" w:rsidP="00E050A8">
            <w:pPr>
              <w:spacing w:after="0" w:line="264" w:lineRule="auto"/>
              <w:jc w:val="both"/>
              <w:rPr>
                <w:rFonts w:ascii="Times New Roman" w:hAnsi="Times New Roman" w:cs="Times New Roman"/>
                <w:sz w:val="20"/>
                <w:szCs w:val="20"/>
                <w:lang w:val="bg-BG"/>
              </w:rPr>
            </w:pPr>
            <w:r w:rsidRPr="00E15F8F">
              <w:rPr>
                <w:rFonts w:ascii="Times New Roman" w:hAnsi="Times New Roman" w:cs="Times New Roman"/>
                <w:sz w:val="20"/>
                <w:szCs w:val="20"/>
                <w:lang w:val="bg-BG"/>
              </w:rPr>
              <w:t>Прилагане на ясен подход при оценка и избор на мерки в ПУРБ, включително използването на анализ на разходите и ползите.</w:t>
            </w:r>
          </w:p>
          <w:p w14:paraId="42DACC0C" w14:textId="1C692AAD" w:rsidR="00905B24" w:rsidRPr="00E15F8F" w:rsidRDefault="00905B24"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Насърчаване на междуобщинското и регионално сътрудничество за изграждане на системи за мониторинг и ранно предупреждение за риск от наводнения</w:t>
            </w:r>
            <w:r w:rsidR="007973B1" w:rsidRPr="00E15F8F">
              <w:rPr>
                <w:rFonts w:ascii="Times New Roman" w:hAnsi="Times New Roman" w:cs="Times New Roman"/>
                <w:sz w:val="20"/>
                <w:szCs w:val="20"/>
                <w:lang w:val="bg-BG" w:eastAsia="bg-BG"/>
              </w:rPr>
              <w:t>.</w:t>
            </w:r>
          </w:p>
          <w:p w14:paraId="245D7260" w14:textId="2A596E65" w:rsidR="00905B24" w:rsidRPr="00E15F8F" w:rsidRDefault="007973B1"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Подкрепа за р</w:t>
            </w:r>
            <w:r w:rsidR="00905B24" w:rsidRPr="00E15F8F">
              <w:rPr>
                <w:rFonts w:ascii="Times New Roman" w:hAnsi="Times New Roman" w:cs="Times New Roman"/>
                <w:sz w:val="20"/>
                <w:szCs w:val="20"/>
                <w:lang w:val="bg-BG" w:eastAsia="bg-BG"/>
              </w:rPr>
              <w:t>азработване и въвеждане на алтернативни решения за отвеждане на дъждовни води</w:t>
            </w:r>
            <w:r w:rsidR="001D23BD" w:rsidRPr="00E15F8F">
              <w:rPr>
                <w:rFonts w:ascii="Times New Roman" w:hAnsi="Times New Roman" w:cs="Times New Roman"/>
                <w:sz w:val="20"/>
                <w:szCs w:val="20"/>
                <w:lang w:val="bg-BG" w:eastAsia="bg-BG"/>
              </w:rPr>
              <w:t xml:space="preserve"> в урбанизираните територии.</w:t>
            </w:r>
          </w:p>
          <w:p w14:paraId="2EC16062" w14:textId="43ECE32C" w:rsidR="00905B24" w:rsidRPr="00E15F8F" w:rsidRDefault="00905B24"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Законодателни и методически инициативи за недопускане на строителство в заливаемите зони, осъвременяане на практиките на проектиране и строителство</w:t>
            </w:r>
            <w:r w:rsidR="001D23BD" w:rsidRPr="00E15F8F">
              <w:rPr>
                <w:rFonts w:ascii="Times New Roman" w:hAnsi="Times New Roman" w:cs="Times New Roman"/>
                <w:sz w:val="20"/>
                <w:szCs w:val="20"/>
                <w:lang w:val="bg-BG" w:eastAsia="bg-BG"/>
              </w:rPr>
              <w:t>.</w:t>
            </w:r>
          </w:p>
          <w:p w14:paraId="68111F81" w14:textId="77777777" w:rsidR="00905B24" w:rsidRPr="00E15F8F" w:rsidRDefault="00905B24"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Информиране и осигуряване на широк достъп до прогнози за водните нива, оттока и опасноста от струпвания на лед.</w:t>
            </w:r>
          </w:p>
          <w:p w14:paraId="20A515E3" w14:textId="1E4800E8" w:rsidR="00905B24" w:rsidRPr="00E15F8F" w:rsidRDefault="00905B24"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xml:space="preserve">Подобряване на съществуващата хидроложка информационна система за получаване на данни в реално време </w:t>
            </w:r>
            <w:r w:rsidR="001D23BD" w:rsidRPr="00E15F8F">
              <w:rPr>
                <w:rFonts w:ascii="Times New Roman" w:hAnsi="Times New Roman" w:cs="Times New Roman"/>
                <w:sz w:val="20"/>
                <w:szCs w:val="20"/>
                <w:lang w:val="bg-BG" w:eastAsia="bg-BG"/>
              </w:rPr>
              <w:t xml:space="preserve">на ниво </w:t>
            </w:r>
            <w:r w:rsidRPr="00E15F8F">
              <w:rPr>
                <w:rFonts w:ascii="Times New Roman" w:hAnsi="Times New Roman" w:cs="Times New Roman"/>
                <w:sz w:val="20"/>
                <w:szCs w:val="20"/>
                <w:lang w:val="bg-BG" w:eastAsia="bg-BG"/>
              </w:rPr>
              <w:t>басейн</w:t>
            </w:r>
            <w:r w:rsidR="001D23BD" w:rsidRPr="00E15F8F">
              <w:rPr>
                <w:rFonts w:ascii="Times New Roman" w:hAnsi="Times New Roman" w:cs="Times New Roman"/>
                <w:sz w:val="20"/>
                <w:szCs w:val="20"/>
                <w:lang w:val="bg-BG" w:eastAsia="bg-BG"/>
              </w:rPr>
              <w:t xml:space="preserve"> за управление</w:t>
            </w:r>
            <w:r w:rsidRPr="00E15F8F">
              <w:rPr>
                <w:rFonts w:ascii="Times New Roman" w:hAnsi="Times New Roman" w:cs="Times New Roman"/>
                <w:sz w:val="20"/>
                <w:szCs w:val="20"/>
                <w:lang w:val="bg-BG" w:eastAsia="bg-BG"/>
              </w:rPr>
              <w:t>.</w:t>
            </w:r>
          </w:p>
          <w:p w14:paraId="1659726C" w14:textId="6153810B" w:rsidR="00E61B75" w:rsidRPr="00E15F8F" w:rsidRDefault="00E61B75"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Целенасочени партньорства с научни институции за разработване и въвеждане на системи за прогнозно моделиране на речните и морски наводнения, метеорологични и хидрологични ситуации</w:t>
            </w:r>
          </w:p>
        </w:tc>
      </w:tr>
      <w:tr w:rsidR="00712974" w:rsidRPr="00E15F8F" w14:paraId="2135CBB1" w14:textId="77777777" w:rsidTr="004D101C">
        <w:tc>
          <w:tcPr>
            <w:tcW w:w="43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DE908E" w14:textId="336FFA51" w:rsidR="00712974" w:rsidRPr="00E15F8F" w:rsidRDefault="00712974" w:rsidP="00E050A8">
            <w:pPr>
              <w:pStyle w:val="a1"/>
              <w:spacing w:line="264" w:lineRule="auto"/>
              <w:ind w:left="0"/>
              <w:textAlignment w:val="auto"/>
              <w:rPr>
                <w:iCs/>
                <w:sz w:val="20"/>
                <w:szCs w:val="20"/>
              </w:rPr>
            </w:pPr>
            <w:r w:rsidRPr="00E15F8F">
              <w:rPr>
                <w:iCs/>
                <w:sz w:val="20"/>
                <w:szCs w:val="20"/>
              </w:rPr>
              <w:t>Постигане на добро хидроморфологично състояние (като част от екологичното състояние) на водните тела</w:t>
            </w:r>
          </w:p>
        </w:tc>
        <w:tc>
          <w:tcPr>
            <w:tcW w:w="526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B0466" w14:textId="7D9B71F7" w:rsidR="00712974" w:rsidRPr="00E15F8F" w:rsidRDefault="001D23BD"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Планиране и изпълнение на конкретни мерки за и</w:t>
            </w:r>
            <w:r w:rsidR="00293C39" w:rsidRPr="00E15F8F">
              <w:rPr>
                <w:rFonts w:ascii="Times New Roman" w:hAnsi="Times New Roman" w:cs="Times New Roman"/>
                <w:sz w:val="20"/>
                <w:szCs w:val="20"/>
                <w:lang w:val="bg-BG" w:eastAsia="bg-BG"/>
              </w:rPr>
              <w:t>зграждане на съоръжения за осигуряване на непрекъснатостта на реката (рибни проходи, байпаси и др.)</w:t>
            </w:r>
            <w:r w:rsidRPr="00E15F8F">
              <w:rPr>
                <w:rFonts w:ascii="Times New Roman" w:hAnsi="Times New Roman" w:cs="Times New Roman"/>
                <w:sz w:val="20"/>
                <w:szCs w:val="20"/>
                <w:lang w:val="bg-BG" w:eastAsia="bg-BG"/>
              </w:rPr>
              <w:t>, премахване на нефункциониращите миграционни бариери и др. в ПУРБ</w:t>
            </w:r>
          </w:p>
          <w:p w14:paraId="1D1A3115" w14:textId="1188AA16" w:rsidR="00995D02" w:rsidRPr="00E15F8F" w:rsidRDefault="00995D02"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 xml:space="preserve">Прилагане на </w:t>
            </w:r>
            <w:r w:rsidR="001D23BD" w:rsidRPr="00E15F8F">
              <w:rPr>
                <w:rFonts w:ascii="Times New Roman" w:hAnsi="Times New Roman" w:cs="Times New Roman"/>
                <w:sz w:val="20"/>
                <w:szCs w:val="20"/>
                <w:lang w:val="bg-BG" w:eastAsia="bg-BG"/>
              </w:rPr>
              <w:t>инструменти за оценка на въздействие върху околната среда</w:t>
            </w:r>
            <w:r w:rsidRPr="00E15F8F">
              <w:rPr>
                <w:rFonts w:ascii="Times New Roman" w:hAnsi="Times New Roman" w:cs="Times New Roman"/>
                <w:sz w:val="20"/>
                <w:szCs w:val="20"/>
                <w:lang w:val="bg-BG" w:eastAsia="bg-BG"/>
              </w:rPr>
              <w:t xml:space="preserve"> за инвестиционни предложения/проекти, свързани с ново изменение на физичните характеристики на повърхностни водни тела</w:t>
            </w:r>
            <w:r w:rsidR="001D23BD" w:rsidRPr="00E15F8F">
              <w:rPr>
                <w:rFonts w:ascii="Times New Roman" w:hAnsi="Times New Roman" w:cs="Times New Roman"/>
                <w:sz w:val="20"/>
                <w:szCs w:val="20"/>
                <w:lang w:val="bg-BG" w:eastAsia="bg-BG"/>
              </w:rPr>
              <w:t>.</w:t>
            </w:r>
          </w:p>
          <w:p w14:paraId="4E0C29F2" w14:textId="42F1CEBB" w:rsidR="00995D02" w:rsidRPr="00E15F8F" w:rsidRDefault="00995D02"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Оценка на въздействието на всички миграционни бариери по речен басейн, включително оценка на състоянието на същите</w:t>
            </w:r>
            <w:r w:rsidR="001D23BD" w:rsidRPr="00E15F8F">
              <w:rPr>
                <w:rFonts w:ascii="Times New Roman" w:hAnsi="Times New Roman" w:cs="Times New Roman"/>
                <w:sz w:val="20"/>
                <w:szCs w:val="20"/>
                <w:lang w:val="bg-BG" w:eastAsia="bg-BG"/>
              </w:rPr>
              <w:t>.</w:t>
            </w:r>
          </w:p>
          <w:p w14:paraId="457A8BA6" w14:textId="77777777" w:rsidR="00905B24" w:rsidRPr="00E15F8F" w:rsidRDefault="00995D02"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Разработване на методика за оценка на хидроморфологичните елементи за качество, като част от оценката на екологичното състояние и потенциал</w:t>
            </w:r>
            <w:r w:rsidR="001D23BD" w:rsidRPr="00E15F8F">
              <w:rPr>
                <w:rFonts w:ascii="Times New Roman" w:hAnsi="Times New Roman" w:cs="Times New Roman"/>
                <w:sz w:val="20"/>
                <w:szCs w:val="20"/>
                <w:lang w:val="bg-BG" w:eastAsia="bg-BG"/>
              </w:rPr>
              <w:t>.</w:t>
            </w:r>
          </w:p>
          <w:p w14:paraId="325C7D0B" w14:textId="6B458C85" w:rsidR="00A6097C" w:rsidRPr="00E15F8F" w:rsidRDefault="00E10BD2" w:rsidP="00E050A8">
            <w:pPr>
              <w:spacing w:after="0" w:line="264" w:lineRule="auto"/>
              <w:rPr>
                <w:rFonts w:ascii="Times New Roman" w:hAnsi="Times New Roman" w:cs="Times New Roman"/>
                <w:sz w:val="20"/>
                <w:szCs w:val="20"/>
                <w:lang w:val="bg-BG" w:eastAsia="bg-BG"/>
              </w:rPr>
            </w:pPr>
            <w:r w:rsidRPr="00E15F8F">
              <w:rPr>
                <w:rFonts w:ascii="Times New Roman" w:hAnsi="Times New Roman" w:cs="Times New Roman"/>
                <w:sz w:val="20"/>
                <w:szCs w:val="20"/>
                <w:lang w:val="bg-BG" w:eastAsia="bg-BG"/>
              </w:rPr>
              <w:t>Разработване и прилагане на програми за мониторинг на хидро</w:t>
            </w:r>
            <w:r w:rsidR="00A6097C" w:rsidRPr="00E15F8F">
              <w:rPr>
                <w:rFonts w:ascii="Times New Roman" w:hAnsi="Times New Roman" w:cs="Times New Roman"/>
                <w:sz w:val="20"/>
                <w:szCs w:val="20"/>
                <w:lang w:val="bg-BG" w:eastAsia="bg-BG"/>
              </w:rPr>
              <w:t>морфологичния натиск.</w:t>
            </w:r>
          </w:p>
        </w:tc>
      </w:tr>
      <w:bookmarkEnd w:id="51"/>
      <w:bookmarkEnd w:id="54"/>
    </w:tbl>
    <w:p w14:paraId="30A9B041" w14:textId="77777777" w:rsidR="00066EFE" w:rsidRPr="00E15F8F" w:rsidRDefault="00066EFE" w:rsidP="00E050A8">
      <w:pPr>
        <w:spacing w:after="0" w:line="264" w:lineRule="auto"/>
        <w:rPr>
          <w:rFonts w:ascii="Times New Roman" w:hAnsi="Times New Roman" w:cs="Times New Roman"/>
          <w:lang w:val="bg-BG"/>
        </w:rPr>
      </w:pPr>
    </w:p>
    <w:sectPr w:rsidR="00066EFE" w:rsidRPr="00E15F8F" w:rsidSect="006F34D7">
      <w:headerReference w:type="default" r:id="rId38"/>
      <w:footerReference w:type="default" r:id="rId39"/>
      <w:pgSz w:w="12240" w:h="15840"/>
      <w:pgMar w:top="1440" w:right="1440" w:bottom="1440" w:left="1440" w:header="426" w:footer="60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6DA9E5" w14:textId="77777777" w:rsidR="006F34E3" w:rsidRDefault="006F34E3" w:rsidP="000532D9">
      <w:pPr>
        <w:spacing w:after="0" w:line="240" w:lineRule="auto"/>
      </w:pPr>
      <w:r>
        <w:separator/>
      </w:r>
    </w:p>
  </w:endnote>
  <w:endnote w:type="continuationSeparator" w:id="0">
    <w:p w14:paraId="22C507DA" w14:textId="77777777" w:rsidR="006F34E3" w:rsidRDefault="006F34E3" w:rsidP="000532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Times New Roman,Bold">
    <w:altName w:val="MS Gothic"/>
    <w:panose1 w:val="00000000000000000000"/>
    <w:charset w:val="80"/>
    <w:family w:val="auto"/>
    <w:notTrueType/>
    <w:pitch w:val="default"/>
    <w:sig w:usb0="00000000" w:usb1="08070000" w:usb2="00000010" w:usb3="00000000" w:csb0="00020004"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9730758"/>
      <w:docPartObj>
        <w:docPartGallery w:val="Page Numbers (Bottom of Page)"/>
        <w:docPartUnique/>
      </w:docPartObj>
    </w:sdtPr>
    <w:sdtEndPr/>
    <w:sdtContent>
      <w:p w14:paraId="78EB5E33" w14:textId="0D375F36" w:rsidR="001B1B03" w:rsidRDefault="001B1B03" w:rsidP="006F34D7">
        <w:pPr>
          <w:pStyle w:val="Footer"/>
          <w:jc w:val="right"/>
          <w:rPr>
            <w:rFonts w:ascii="Times New Roman" w:hAnsi="Times New Roman" w:cs="Times New Roman"/>
            <w:color w:val="000000" w:themeColor="text1"/>
          </w:rPr>
        </w:pPr>
        <w:r>
          <w:rPr>
            <w:rFonts w:ascii="Times New Roman" w:hAnsi="Times New Roman" w:cs="Times New Roman"/>
            <w:color w:val="000000" w:themeColor="text1"/>
          </w:rPr>
          <w:fldChar w:fldCharType="begin"/>
        </w:r>
        <w:r>
          <w:rPr>
            <w:rFonts w:ascii="Times New Roman" w:hAnsi="Times New Roman" w:cs="Times New Roman"/>
            <w:color w:val="000000" w:themeColor="text1"/>
          </w:rPr>
          <w:instrText xml:space="preserve"> PAGE   \* MERGEFORMAT </w:instrText>
        </w:r>
        <w:r>
          <w:rPr>
            <w:rFonts w:ascii="Times New Roman" w:hAnsi="Times New Roman" w:cs="Times New Roman"/>
            <w:color w:val="000000" w:themeColor="text1"/>
          </w:rPr>
          <w:fldChar w:fldCharType="separate"/>
        </w:r>
        <w:r>
          <w:rPr>
            <w:rFonts w:ascii="Times New Roman" w:hAnsi="Times New Roman" w:cs="Times New Roman"/>
            <w:noProof/>
            <w:color w:val="000000" w:themeColor="text1"/>
          </w:rPr>
          <w:t>1</w:t>
        </w:r>
        <w:r>
          <w:rPr>
            <w:rFonts w:ascii="Times New Roman" w:hAnsi="Times New Roman" w:cs="Times New Roman"/>
            <w:noProof/>
            <w:color w:val="000000" w:themeColor="text1"/>
          </w:rPr>
          <w:fldChar w:fldCharType="end"/>
        </w:r>
      </w:p>
    </w:sdtContent>
  </w:sdt>
  <w:p w14:paraId="355DA728" w14:textId="06E574FC" w:rsidR="001B1B03" w:rsidRPr="008663D3" w:rsidRDefault="008663D3" w:rsidP="008663D3">
    <w:pPr>
      <w:spacing w:line="240" w:lineRule="auto"/>
      <w:jc w:val="center"/>
      <w:rPr>
        <w:rFonts w:ascii="Times New Roman" w:hAnsi="Times New Roman" w:cs="Times New Roman"/>
        <w:sz w:val="16"/>
        <w:szCs w:val="16"/>
      </w:rPr>
    </w:pPr>
    <w:proofErr w:type="spellStart"/>
    <w:r w:rsidRPr="008663D3">
      <w:rPr>
        <w:rFonts w:ascii="Times New Roman" w:hAnsi="Times New Roman" w:cs="Times New Roman"/>
        <w:i/>
        <w:iCs/>
        <w:sz w:val="16"/>
        <w:szCs w:val="16"/>
      </w:rPr>
      <w:t>Документът</w:t>
    </w:r>
    <w:proofErr w:type="spellEnd"/>
    <w:r w:rsidRPr="008663D3">
      <w:rPr>
        <w:rFonts w:ascii="Times New Roman" w:hAnsi="Times New Roman" w:cs="Times New Roman"/>
        <w:i/>
        <w:iCs/>
        <w:sz w:val="16"/>
        <w:szCs w:val="16"/>
      </w:rPr>
      <w:t xml:space="preserve"> е </w:t>
    </w:r>
    <w:proofErr w:type="spellStart"/>
    <w:r w:rsidRPr="008663D3">
      <w:rPr>
        <w:rFonts w:ascii="Times New Roman" w:hAnsi="Times New Roman" w:cs="Times New Roman"/>
        <w:i/>
        <w:iCs/>
        <w:sz w:val="16"/>
        <w:szCs w:val="16"/>
      </w:rPr>
      <w:t>изготвен</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по</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проект</w:t>
    </w:r>
    <w:proofErr w:type="spellEnd"/>
    <w:r w:rsidRPr="008663D3">
      <w:rPr>
        <w:rFonts w:ascii="Times New Roman" w:hAnsi="Times New Roman" w:cs="Times New Roman"/>
        <w:i/>
        <w:iCs/>
        <w:sz w:val="16"/>
        <w:szCs w:val="16"/>
      </w:rPr>
      <w:t>  „</w:t>
    </w:r>
    <w:proofErr w:type="spellStart"/>
    <w:r w:rsidRPr="008663D3">
      <w:rPr>
        <w:rFonts w:ascii="Times New Roman" w:hAnsi="Times New Roman" w:cs="Times New Roman"/>
        <w:i/>
        <w:iCs/>
        <w:sz w:val="16"/>
        <w:szCs w:val="16"/>
      </w:rPr>
      <w:t>Разработване</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на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Национална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стратегия</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за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околна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среда</w:t>
    </w:r>
    <w:proofErr w:type="spellEnd"/>
    <w:r w:rsidRPr="008663D3">
      <w:rPr>
        <w:rFonts w:ascii="Times New Roman" w:hAnsi="Times New Roman" w:cs="Times New Roman"/>
        <w:i/>
        <w:iCs/>
        <w:sz w:val="16"/>
        <w:szCs w:val="16"/>
      </w:rPr>
      <w:t xml:space="preserve"> и </w:t>
    </w:r>
    <w:proofErr w:type="spellStart"/>
    <w:r w:rsidRPr="008663D3">
      <w:rPr>
        <w:rFonts w:ascii="Times New Roman" w:hAnsi="Times New Roman" w:cs="Times New Roman"/>
        <w:i/>
        <w:iCs/>
        <w:sz w:val="16"/>
        <w:szCs w:val="16"/>
      </w:rPr>
      <w:t>План</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за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действие</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към</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нея</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който</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се</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осъществява</w:t>
    </w:r>
    <w:proofErr w:type="spellEnd"/>
    <w:r w:rsidRPr="008663D3">
      <w:rPr>
        <w:rFonts w:ascii="Times New Roman" w:hAnsi="Times New Roman" w:cs="Times New Roman"/>
        <w:i/>
        <w:iCs/>
        <w:sz w:val="16"/>
        <w:szCs w:val="16"/>
      </w:rPr>
      <w:t xml:space="preserve"> с </w:t>
    </w:r>
    <w:proofErr w:type="spellStart"/>
    <w:r w:rsidRPr="008663D3">
      <w:rPr>
        <w:rFonts w:ascii="Times New Roman" w:hAnsi="Times New Roman" w:cs="Times New Roman"/>
        <w:i/>
        <w:iCs/>
        <w:sz w:val="16"/>
        <w:szCs w:val="16"/>
      </w:rPr>
      <w:t>финансовата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подкрепа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на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Оперативна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програма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Добро</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управление</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съфинансирана</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от</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Европейския</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съюз</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чрез</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Европейския</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социален</w:t>
    </w:r>
    <w:proofErr w:type="spellEnd"/>
    <w:r w:rsidRPr="008663D3">
      <w:rPr>
        <w:rFonts w:ascii="Times New Roman" w:hAnsi="Times New Roman" w:cs="Times New Roman"/>
        <w:i/>
        <w:iCs/>
        <w:sz w:val="16"/>
        <w:szCs w:val="16"/>
      </w:rPr>
      <w:t xml:space="preserve"> </w:t>
    </w:r>
    <w:proofErr w:type="spellStart"/>
    <w:r w:rsidRPr="008663D3">
      <w:rPr>
        <w:rFonts w:ascii="Times New Roman" w:hAnsi="Times New Roman" w:cs="Times New Roman"/>
        <w:i/>
        <w:iCs/>
        <w:sz w:val="16"/>
        <w:szCs w:val="16"/>
      </w:rPr>
      <w:t>фонд</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6F6165" w14:textId="77777777" w:rsidR="006F34E3" w:rsidRDefault="006F34E3" w:rsidP="000532D9">
      <w:pPr>
        <w:spacing w:after="0" w:line="240" w:lineRule="auto"/>
      </w:pPr>
      <w:r>
        <w:separator/>
      </w:r>
    </w:p>
  </w:footnote>
  <w:footnote w:type="continuationSeparator" w:id="0">
    <w:p w14:paraId="73CCB333" w14:textId="77777777" w:rsidR="006F34E3" w:rsidRDefault="006F34E3" w:rsidP="000532D9">
      <w:pPr>
        <w:spacing w:after="0" w:line="240" w:lineRule="auto"/>
      </w:pPr>
      <w:r>
        <w:continuationSeparator/>
      </w:r>
    </w:p>
  </w:footnote>
  <w:footnote w:id="1">
    <w:p w14:paraId="6BB966BF" w14:textId="77777777" w:rsidR="001B1B03" w:rsidRPr="00E15F8F" w:rsidRDefault="001B1B03" w:rsidP="000532D9">
      <w:pPr>
        <w:pStyle w:val="FootnoteText"/>
        <w:rPr>
          <w:rFonts w:ascii="Times New Roman" w:hAnsi="Times New Roman" w:cs="Times New Roman"/>
          <w:sz w:val="16"/>
          <w:szCs w:val="16"/>
        </w:rPr>
      </w:pPr>
      <w:r w:rsidRPr="00E15F8F">
        <w:rPr>
          <w:rStyle w:val="FootnoteReference"/>
          <w:rFonts w:ascii="Times New Roman" w:hAnsi="Times New Roman" w:cs="Times New Roman"/>
          <w:sz w:val="16"/>
          <w:szCs w:val="16"/>
        </w:rPr>
        <w:footnoteRef/>
      </w:r>
      <w:r w:rsidRPr="00E15F8F">
        <w:rPr>
          <w:rFonts w:ascii="Times New Roman" w:hAnsi="Times New Roman" w:cs="Times New Roman"/>
          <w:sz w:val="16"/>
          <w:szCs w:val="16"/>
        </w:rPr>
        <w:t xml:space="preserve"> European Environment Agency, 2019, The European environment – State and outlook 2020. Knowledge for transition to a sustainable Europe</w:t>
      </w:r>
    </w:p>
  </w:footnote>
  <w:footnote w:id="2">
    <w:p w14:paraId="1C2B278E" w14:textId="159A92ED" w:rsidR="001B1B03" w:rsidRPr="00E15F8F" w:rsidRDefault="001B1B03">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rPr>
        <w:footnoteRef/>
      </w:r>
      <w:r w:rsidRPr="00E15F8F">
        <w:rPr>
          <w:rFonts w:ascii="Times New Roman" w:hAnsi="Times New Roman" w:cs="Times New Roman"/>
          <w:sz w:val="16"/>
          <w:szCs w:val="16"/>
        </w:rPr>
        <w:t xml:space="preserve"> </w:t>
      </w:r>
      <w:r w:rsidRPr="00E15F8F">
        <w:rPr>
          <w:rFonts w:ascii="Times New Roman" w:hAnsi="Times New Roman" w:cs="Times New Roman"/>
          <w:sz w:val="16"/>
          <w:szCs w:val="16"/>
          <w:lang w:val="bg-BG"/>
        </w:rPr>
        <w:t>Национален доклад за състоянието и опазването на околната среда в РБългария, 2018 г., ИАОС</w:t>
      </w:r>
    </w:p>
  </w:footnote>
  <w:footnote w:id="3">
    <w:p w14:paraId="61F5D55C" w14:textId="434FC219" w:rsidR="001B1B03" w:rsidRPr="00E15F8F" w:rsidRDefault="001B1B03" w:rsidP="00D33B4E">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rPr>
        <w:footnoteRef/>
      </w:r>
      <w:r w:rsidRPr="00E15F8F">
        <w:rPr>
          <w:rFonts w:ascii="Times New Roman" w:hAnsi="Times New Roman" w:cs="Times New Roman"/>
          <w:sz w:val="16"/>
          <w:szCs w:val="16"/>
        </w:rPr>
        <w:t xml:space="preserve"> </w:t>
      </w:r>
      <w:hyperlink r:id="rId1" w:history="1">
        <w:r w:rsidRPr="00E15F8F">
          <w:rPr>
            <w:rStyle w:val="Hyperlink"/>
            <w:rFonts w:ascii="Times New Roman" w:hAnsi="Times New Roman" w:cs="Times New Roman"/>
            <w:sz w:val="16"/>
            <w:szCs w:val="16"/>
          </w:rPr>
          <w:t>http</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www</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bd</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dunav</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org</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uploads</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content</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files</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upravlenie</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na</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vodite</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PURB</w:t>
        </w:r>
        <w:r w:rsidRPr="00E15F8F">
          <w:rPr>
            <w:rStyle w:val="Hyperlink"/>
            <w:rFonts w:ascii="Times New Roman" w:hAnsi="Times New Roman" w:cs="Times New Roman"/>
            <w:sz w:val="16"/>
            <w:szCs w:val="16"/>
            <w:lang w:val="bg-BG"/>
          </w:rPr>
          <w:t>-2016-2021-</w:t>
        </w:r>
        <w:r w:rsidRPr="00E15F8F">
          <w:rPr>
            <w:rStyle w:val="Hyperlink"/>
            <w:rFonts w:ascii="Times New Roman" w:hAnsi="Times New Roman" w:cs="Times New Roman"/>
            <w:sz w:val="16"/>
            <w:szCs w:val="16"/>
          </w:rPr>
          <w:t>final</w:t>
        </w:r>
        <w:r w:rsidRPr="00E15F8F">
          <w:rPr>
            <w:rStyle w:val="Hyperlink"/>
            <w:rFonts w:ascii="Times New Roman" w:hAnsi="Times New Roman" w:cs="Times New Roman"/>
            <w:sz w:val="16"/>
            <w:szCs w:val="16"/>
            <w:lang w:val="bg-BG"/>
          </w:rPr>
          <w:t>/</w:t>
        </w:r>
        <w:r w:rsidRPr="00E15F8F">
          <w:rPr>
            <w:rStyle w:val="Hyperlink"/>
            <w:rFonts w:ascii="Times New Roman" w:hAnsi="Times New Roman" w:cs="Times New Roman"/>
            <w:sz w:val="16"/>
            <w:szCs w:val="16"/>
          </w:rPr>
          <w:t>Razdel</w:t>
        </w:r>
        <w:r w:rsidRPr="00E15F8F">
          <w:rPr>
            <w:rStyle w:val="Hyperlink"/>
            <w:rFonts w:ascii="Times New Roman" w:hAnsi="Times New Roman" w:cs="Times New Roman"/>
            <w:sz w:val="16"/>
            <w:szCs w:val="16"/>
            <w:lang w:val="bg-BG"/>
          </w:rPr>
          <w:t>-1/</w:t>
        </w:r>
        <w:r w:rsidRPr="00E15F8F">
          <w:rPr>
            <w:rStyle w:val="Hyperlink"/>
            <w:rFonts w:ascii="Times New Roman" w:hAnsi="Times New Roman" w:cs="Times New Roman"/>
            <w:sz w:val="16"/>
            <w:szCs w:val="16"/>
          </w:rPr>
          <w:t>Razdel</w:t>
        </w:r>
        <w:r w:rsidRPr="00E15F8F">
          <w:rPr>
            <w:rStyle w:val="Hyperlink"/>
            <w:rFonts w:ascii="Times New Roman" w:hAnsi="Times New Roman" w:cs="Times New Roman"/>
            <w:sz w:val="16"/>
            <w:szCs w:val="16"/>
            <w:lang w:val="bg-BG"/>
          </w:rPr>
          <w:t>_1.</w:t>
        </w:r>
        <w:r w:rsidRPr="00E15F8F">
          <w:rPr>
            <w:rStyle w:val="Hyperlink"/>
            <w:rFonts w:ascii="Times New Roman" w:hAnsi="Times New Roman" w:cs="Times New Roman"/>
            <w:sz w:val="16"/>
            <w:szCs w:val="16"/>
          </w:rPr>
          <w:t>pdf</w:t>
        </w:r>
      </w:hyperlink>
      <w:r w:rsidRPr="00E15F8F">
        <w:rPr>
          <w:rStyle w:val="Hyperlink"/>
          <w:rFonts w:ascii="Times New Roman" w:hAnsi="Times New Roman" w:cs="Times New Roman"/>
          <w:sz w:val="16"/>
          <w:szCs w:val="16"/>
          <w:lang w:val="bg-BG"/>
        </w:rPr>
        <w:t>, стр. 4</w:t>
      </w:r>
    </w:p>
  </w:footnote>
  <w:footnote w:id="4">
    <w:p w14:paraId="2F0721A2" w14:textId="77777777" w:rsidR="001B1B03" w:rsidRPr="001C204F" w:rsidRDefault="001B1B03" w:rsidP="00D33B4E">
      <w:pPr>
        <w:pStyle w:val="FootnoteText"/>
        <w:rPr>
          <w:lang w:val="bg-BG"/>
        </w:rPr>
      </w:pPr>
    </w:p>
  </w:footnote>
  <w:footnote w:id="5">
    <w:p w14:paraId="3FA21D51" w14:textId="77777777" w:rsidR="001B1B03" w:rsidRPr="00E15F8F" w:rsidRDefault="001B1B03" w:rsidP="00D33B4E">
      <w:pPr>
        <w:pStyle w:val="CommentText"/>
        <w:spacing w:after="0"/>
        <w:rPr>
          <w:rFonts w:ascii="Times New Roman" w:hAnsi="Times New Roman" w:cs="Times New Roman"/>
          <w:sz w:val="16"/>
          <w:szCs w:val="16"/>
          <w:lang w:val="bg-BG"/>
        </w:rPr>
      </w:pPr>
      <w:r w:rsidRPr="00E15F8F">
        <w:rPr>
          <w:rStyle w:val="FootnoteReference"/>
          <w:rFonts w:ascii="Times New Roman" w:hAnsi="Times New Roman" w:cs="Times New Roman"/>
          <w:sz w:val="16"/>
          <w:szCs w:val="16"/>
        </w:rPr>
        <w:footnoteRef/>
      </w:r>
      <w:r w:rsidRPr="00E15F8F">
        <w:rPr>
          <w:rFonts w:ascii="Times New Roman" w:hAnsi="Times New Roman" w:cs="Times New Roman"/>
          <w:sz w:val="16"/>
          <w:szCs w:val="16"/>
        </w:rPr>
        <w:t xml:space="preserve"> </w:t>
      </w:r>
      <w:hyperlink r:id="rId2" w:history="1">
        <w:r w:rsidRPr="00E15F8F">
          <w:rPr>
            <w:rStyle w:val="Hyperlink"/>
            <w:rFonts w:ascii="Times New Roman" w:hAnsi="Times New Roman" w:cs="Times New Roman"/>
            <w:b w:val="0"/>
            <w:bCs/>
            <w:sz w:val="16"/>
            <w:szCs w:val="16"/>
          </w:rPr>
          <w:t>https</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www</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bsbd</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org</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UserFiles</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File</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PURB</w:t>
        </w:r>
        <w:r w:rsidRPr="00E15F8F">
          <w:rPr>
            <w:rStyle w:val="Hyperlink"/>
            <w:rFonts w:ascii="Times New Roman" w:hAnsi="Times New Roman" w:cs="Times New Roman"/>
            <w:b w:val="0"/>
            <w:bCs/>
            <w:sz w:val="16"/>
            <w:szCs w:val="16"/>
            <w:lang w:val="ru-RU"/>
          </w:rPr>
          <w:t>/2016_2021/</w:t>
        </w:r>
        <w:r w:rsidRPr="00E15F8F">
          <w:rPr>
            <w:rStyle w:val="Hyperlink"/>
            <w:rFonts w:ascii="Times New Roman" w:hAnsi="Times New Roman" w:cs="Times New Roman"/>
            <w:b w:val="0"/>
            <w:bCs/>
            <w:sz w:val="16"/>
            <w:szCs w:val="16"/>
          </w:rPr>
          <w:t>R</w:t>
        </w:r>
        <w:r w:rsidRPr="00E15F8F">
          <w:rPr>
            <w:rStyle w:val="Hyperlink"/>
            <w:rFonts w:ascii="Times New Roman" w:hAnsi="Times New Roman" w:cs="Times New Roman"/>
            <w:b w:val="0"/>
            <w:bCs/>
            <w:sz w:val="16"/>
            <w:szCs w:val="16"/>
            <w:lang w:val="ru-RU"/>
          </w:rPr>
          <w:t>1/Раздел%201.</w:t>
        </w:r>
        <w:r w:rsidRPr="00E15F8F">
          <w:rPr>
            <w:rStyle w:val="Hyperlink"/>
            <w:rFonts w:ascii="Times New Roman" w:hAnsi="Times New Roman" w:cs="Times New Roman"/>
            <w:b w:val="0"/>
            <w:bCs/>
            <w:sz w:val="16"/>
            <w:szCs w:val="16"/>
          </w:rPr>
          <w:t>pdf</w:t>
        </w:r>
      </w:hyperlink>
      <w:r w:rsidRPr="00E15F8F">
        <w:rPr>
          <w:rFonts w:ascii="Times New Roman" w:hAnsi="Times New Roman" w:cs="Times New Roman"/>
          <w:b w:val="0"/>
          <w:bCs/>
          <w:sz w:val="16"/>
          <w:szCs w:val="16"/>
          <w:lang w:val="bg-BG"/>
        </w:rPr>
        <w:t xml:space="preserve"> , стр. 11</w:t>
      </w:r>
    </w:p>
  </w:footnote>
  <w:footnote w:id="6">
    <w:p w14:paraId="70B87864" w14:textId="2BA25944" w:rsidR="001B1B03" w:rsidRPr="00E15F8F" w:rsidRDefault="001B1B03" w:rsidP="00E15F8F">
      <w:pPr>
        <w:pStyle w:val="CommentText"/>
        <w:spacing w:after="0"/>
        <w:rPr>
          <w:rFonts w:ascii="Times New Roman" w:hAnsi="Times New Roman" w:cs="Times New Roman"/>
          <w:b w:val="0"/>
          <w:bCs/>
          <w:sz w:val="16"/>
          <w:szCs w:val="16"/>
          <w:lang w:val="ru-RU"/>
        </w:rPr>
      </w:pPr>
      <w:r w:rsidRPr="00E15F8F">
        <w:rPr>
          <w:rStyle w:val="FootnoteReference"/>
          <w:rFonts w:ascii="Times New Roman" w:hAnsi="Times New Roman" w:cs="Times New Roman"/>
          <w:sz w:val="16"/>
          <w:szCs w:val="16"/>
        </w:rPr>
        <w:footnoteRef/>
      </w:r>
      <w:r w:rsidRPr="00E15F8F">
        <w:rPr>
          <w:rFonts w:ascii="Times New Roman" w:hAnsi="Times New Roman" w:cs="Times New Roman"/>
          <w:sz w:val="16"/>
          <w:szCs w:val="16"/>
        </w:rPr>
        <w:t xml:space="preserve"> </w:t>
      </w:r>
      <w:hyperlink r:id="rId3" w:history="1">
        <w:r w:rsidRPr="00E15F8F">
          <w:rPr>
            <w:rStyle w:val="Hyperlink"/>
            <w:rFonts w:ascii="Times New Roman" w:hAnsi="Times New Roman" w:cs="Times New Roman"/>
            <w:b w:val="0"/>
            <w:bCs/>
            <w:sz w:val="16"/>
            <w:szCs w:val="16"/>
          </w:rPr>
          <w:t>https</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www</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bsbd</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org</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UserFiles</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File</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PURB</w:t>
        </w:r>
        <w:r w:rsidRPr="00E15F8F">
          <w:rPr>
            <w:rStyle w:val="Hyperlink"/>
            <w:rFonts w:ascii="Times New Roman" w:hAnsi="Times New Roman" w:cs="Times New Roman"/>
            <w:b w:val="0"/>
            <w:bCs/>
            <w:sz w:val="16"/>
            <w:szCs w:val="16"/>
            <w:lang w:val="ru-RU"/>
          </w:rPr>
          <w:t>/2016_2021/</w:t>
        </w:r>
        <w:r w:rsidRPr="00E15F8F">
          <w:rPr>
            <w:rStyle w:val="Hyperlink"/>
            <w:rFonts w:ascii="Times New Roman" w:hAnsi="Times New Roman" w:cs="Times New Roman"/>
            <w:b w:val="0"/>
            <w:bCs/>
            <w:sz w:val="16"/>
            <w:szCs w:val="16"/>
          </w:rPr>
          <w:t>R</w:t>
        </w:r>
        <w:r w:rsidRPr="00E15F8F">
          <w:rPr>
            <w:rStyle w:val="Hyperlink"/>
            <w:rFonts w:ascii="Times New Roman" w:hAnsi="Times New Roman" w:cs="Times New Roman"/>
            <w:b w:val="0"/>
            <w:bCs/>
            <w:sz w:val="16"/>
            <w:szCs w:val="16"/>
            <w:lang w:val="ru-RU"/>
          </w:rPr>
          <w:t>1/Раздел%201.</w:t>
        </w:r>
        <w:r w:rsidRPr="00E15F8F">
          <w:rPr>
            <w:rStyle w:val="Hyperlink"/>
            <w:rFonts w:ascii="Times New Roman" w:hAnsi="Times New Roman" w:cs="Times New Roman"/>
            <w:b w:val="0"/>
            <w:bCs/>
            <w:sz w:val="16"/>
            <w:szCs w:val="16"/>
          </w:rPr>
          <w:t>pdf</w:t>
        </w:r>
      </w:hyperlink>
      <w:r w:rsidRPr="00E15F8F">
        <w:rPr>
          <w:rFonts w:ascii="Times New Roman" w:hAnsi="Times New Roman" w:cs="Times New Roman"/>
          <w:b w:val="0"/>
          <w:bCs/>
          <w:sz w:val="16"/>
          <w:szCs w:val="16"/>
          <w:lang w:val="bg-BG"/>
        </w:rPr>
        <w:t>, стр. 14</w:t>
      </w:r>
    </w:p>
  </w:footnote>
  <w:footnote w:id="7">
    <w:p w14:paraId="6FEF870A" w14:textId="77777777" w:rsidR="001B1B03" w:rsidRPr="00E15F8F" w:rsidRDefault="001B1B03" w:rsidP="0047737A">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rPr>
        <w:footnoteRef/>
      </w:r>
      <w:r w:rsidRPr="00E15F8F">
        <w:rPr>
          <w:rFonts w:ascii="Times New Roman" w:hAnsi="Times New Roman" w:cs="Times New Roman"/>
          <w:sz w:val="16"/>
          <w:szCs w:val="16"/>
        </w:rPr>
        <w:t xml:space="preserve"> </w:t>
      </w:r>
      <w:hyperlink r:id="rId4" w:history="1">
        <w:r w:rsidRPr="00E15F8F">
          <w:rPr>
            <w:rStyle w:val="Hyperlink"/>
            <w:rFonts w:ascii="Times New Roman" w:hAnsi="Times New Roman" w:cs="Times New Roman"/>
            <w:bCs/>
            <w:sz w:val="16"/>
            <w:szCs w:val="16"/>
          </w:rPr>
          <w:t>https</w:t>
        </w:r>
        <w:r w:rsidRPr="00E15F8F">
          <w:rPr>
            <w:rStyle w:val="Hyperlink"/>
            <w:rFonts w:ascii="Times New Roman" w:hAnsi="Times New Roman" w:cs="Times New Roman"/>
            <w:bCs/>
            <w:sz w:val="16"/>
            <w:szCs w:val="16"/>
            <w:lang w:val="ru-RU"/>
          </w:rPr>
          <w:t>://</w:t>
        </w:r>
        <w:r w:rsidRPr="00E15F8F">
          <w:rPr>
            <w:rStyle w:val="Hyperlink"/>
            <w:rFonts w:ascii="Times New Roman" w:hAnsi="Times New Roman" w:cs="Times New Roman"/>
            <w:bCs/>
            <w:sz w:val="16"/>
            <w:szCs w:val="16"/>
          </w:rPr>
          <w:t>www</w:t>
        </w:r>
        <w:r w:rsidRPr="00E15F8F">
          <w:rPr>
            <w:rStyle w:val="Hyperlink"/>
            <w:rFonts w:ascii="Times New Roman" w:hAnsi="Times New Roman" w:cs="Times New Roman"/>
            <w:bCs/>
            <w:sz w:val="16"/>
            <w:szCs w:val="16"/>
            <w:lang w:val="ru-RU"/>
          </w:rPr>
          <w:t>.</w:t>
        </w:r>
        <w:r w:rsidRPr="00E15F8F">
          <w:rPr>
            <w:rStyle w:val="Hyperlink"/>
            <w:rFonts w:ascii="Times New Roman" w:hAnsi="Times New Roman" w:cs="Times New Roman"/>
            <w:bCs/>
            <w:sz w:val="16"/>
            <w:szCs w:val="16"/>
          </w:rPr>
          <w:t>bsbd</w:t>
        </w:r>
        <w:r w:rsidRPr="00E15F8F">
          <w:rPr>
            <w:rStyle w:val="Hyperlink"/>
            <w:rFonts w:ascii="Times New Roman" w:hAnsi="Times New Roman" w:cs="Times New Roman"/>
            <w:bCs/>
            <w:sz w:val="16"/>
            <w:szCs w:val="16"/>
            <w:lang w:val="ru-RU"/>
          </w:rPr>
          <w:t>.</w:t>
        </w:r>
        <w:r w:rsidRPr="00E15F8F">
          <w:rPr>
            <w:rStyle w:val="Hyperlink"/>
            <w:rFonts w:ascii="Times New Roman" w:hAnsi="Times New Roman" w:cs="Times New Roman"/>
            <w:bCs/>
            <w:sz w:val="16"/>
            <w:szCs w:val="16"/>
          </w:rPr>
          <w:t>org</w:t>
        </w:r>
        <w:r w:rsidRPr="00E15F8F">
          <w:rPr>
            <w:rStyle w:val="Hyperlink"/>
            <w:rFonts w:ascii="Times New Roman" w:hAnsi="Times New Roman" w:cs="Times New Roman"/>
            <w:bCs/>
            <w:sz w:val="16"/>
            <w:szCs w:val="16"/>
            <w:lang w:val="ru-RU"/>
          </w:rPr>
          <w:t>/</w:t>
        </w:r>
        <w:r w:rsidRPr="00E15F8F">
          <w:rPr>
            <w:rStyle w:val="Hyperlink"/>
            <w:rFonts w:ascii="Times New Roman" w:hAnsi="Times New Roman" w:cs="Times New Roman"/>
            <w:bCs/>
            <w:sz w:val="16"/>
            <w:szCs w:val="16"/>
          </w:rPr>
          <w:t>UserFiles</w:t>
        </w:r>
        <w:r w:rsidRPr="00E15F8F">
          <w:rPr>
            <w:rStyle w:val="Hyperlink"/>
            <w:rFonts w:ascii="Times New Roman" w:hAnsi="Times New Roman" w:cs="Times New Roman"/>
            <w:bCs/>
            <w:sz w:val="16"/>
            <w:szCs w:val="16"/>
            <w:lang w:val="ru-RU"/>
          </w:rPr>
          <w:t>/</w:t>
        </w:r>
        <w:r w:rsidRPr="00E15F8F">
          <w:rPr>
            <w:rStyle w:val="Hyperlink"/>
            <w:rFonts w:ascii="Times New Roman" w:hAnsi="Times New Roman" w:cs="Times New Roman"/>
            <w:bCs/>
            <w:sz w:val="16"/>
            <w:szCs w:val="16"/>
          </w:rPr>
          <w:t>File</w:t>
        </w:r>
        <w:r w:rsidRPr="00E15F8F">
          <w:rPr>
            <w:rStyle w:val="Hyperlink"/>
            <w:rFonts w:ascii="Times New Roman" w:hAnsi="Times New Roman" w:cs="Times New Roman"/>
            <w:bCs/>
            <w:sz w:val="16"/>
            <w:szCs w:val="16"/>
            <w:lang w:val="ru-RU"/>
          </w:rPr>
          <w:t>/</w:t>
        </w:r>
        <w:r w:rsidRPr="00E15F8F">
          <w:rPr>
            <w:rStyle w:val="Hyperlink"/>
            <w:rFonts w:ascii="Times New Roman" w:hAnsi="Times New Roman" w:cs="Times New Roman"/>
            <w:bCs/>
            <w:sz w:val="16"/>
            <w:szCs w:val="16"/>
          </w:rPr>
          <w:t>PURB</w:t>
        </w:r>
        <w:r w:rsidRPr="00E15F8F">
          <w:rPr>
            <w:rStyle w:val="Hyperlink"/>
            <w:rFonts w:ascii="Times New Roman" w:hAnsi="Times New Roman" w:cs="Times New Roman"/>
            <w:bCs/>
            <w:sz w:val="16"/>
            <w:szCs w:val="16"/>
            <w:lang w:val="ru-RU"/>
          </w:rPr>
          <w:t>/2016_2021/</w:t>
        </w:r>
        <w:r w:rsidRPr="00E15F8F">
          <w:rPr>
            <w:rStyle w:val="Hyperlink"/>
            <w:rFonts w:ascii="Times New Roman" w:hAnsi="Times New Roman" w:cs="Times New Roman"/>
            <w:bCs/>
            <w:sz w:val="16"/>
            <w:szCs w:val="16"/>
          </w:rPr>
          <w:t>R</w:t>
        </w:r>
        <w:r w:rsidRPr="00E15F8F">
          <w:rPr>
            <w:rStyle w:val="Hyperlink"/>
            <w:rFonts w:ascii="Times New Roman" w:hAnsi="Times New Roman" w:cs="Times New Roman"/>
            <w:bCs/>
            <w:sz w:val="16"/>
            <w:szCs w:val="16"/>
            <w:lang w:val="ru-RU"/>
          </w:rPr>
          <w:t>1/Раздел%201.</w:t>
        </w:r>
        <w:r w:rsidRPr="00E15F8F">
          <w:rPr>
            <w:rStyle w:val="Hyperlink"/>
            <w:rFonts w:ascii="Times New Roman" w:hAnsi="Times New Roman" w:cs="Times New Roman"/>
            <w:bCs/>
            <w:sz w:val="16"/>
            <w:szCs w:val="16"/>
          </w:rPr>
          <w:t>pdf</w:t>
        </w:r>
      </w:hyperlink>
      <w:r w:rsidRPr="00E15F8F">
        <w:rPr>
          <w:rStyle w:val="Hyperlink"/>
          <w:rFonts w:ascii="Times New Roman" w:hAnsi="Times New Roman" w:cs="Times New Roman"/>
          <w:bCs/>
          <w:sz w:val="16"/>
          <w:szCs w:val="16"/>
          <w:lang w:val="bg-BG"/>
        </w:rPr>
        <w:t xml:space="preserve">, </w:t>
      </w:r>
      <w:r w:rsidRPr="00E15F8F">
        <w:rPr>
          <w:rFonts w:ascii="Times New Roman" w:hAnsi="Times New Roman" w:cs="Times New Roman"/>
          <w:bCs/>
          <w:sz w:val="16"/>
          <w:szCs w:val="16"/>
          <w:lang w:val="bg-BG"/>
        </w:rPr>
        <w:t>стр. 11</w:t>
      </w:r>
    </w:p>
  </w:footnote>
  <w:footnote w:id="8">
    <w:p w14:paraId="531C8E6E" w14:textId="52184013" w:rsidR="001B1B03" w:rsidRPr="00E15F8F" w:rsidRDefault="001B1B03" w:rsidP="0047737A">
      <w:pPr>
        <w:pStyle w:val="CommentText"/>
        <w:rPr>
          <w:rFonts w:ascii="Times New Roman" w:hAnsi="Times New Roman" w:cs="Times New Roman"/>
          <w:sz w:val="16"/>
          <w:szCs w:val="16"/>
          <w:lang w:val="bg-BG"/>
        </w:rPr>
      </w:pPr>
      <w:r w:rsidRPr="00E15F8F">
        <w:rPr>
          <w:rStyle w:val="FootnoteReference"/>
          <w:rFonts w:ascii="Times New Roman" w:hAnsi="Times New Roman" w:cs="Times New Roman"/>
          <w:b w:val="0"/>
          <w:bCs/>
          <w:sz w:val="16"/>
          <w:szCs w:val="16"/>
        </w:rPr>
        <w:footnoteRef/>
      </w:r>
      <w:r w:rsidRPr="00E15F8F">
        <w:rPr>
          <w:rFonts w:ascii="Times New Roman" w:hAnsi="Times New Roman" w:cs="Times New Roman"/>
          <w:b w:val="0"/>
          <w:bCs/>
          <w:sz w:val="16"/>
          <w:szCs w:val="16"/>
          <w:lang w:val="ru-RU"/>
        </w:rPr>
        <w:t xml:space="preserve"> </w:t>
      </w:r>
      <w:hyperlink r:id="rId5" w:history="1">
        <w:r w:rsidRPr="00E15F8F">
          <w:rPr>
            <w:rStyle w:val="Hyperlink"/>
            <w:rFonts w:ascii="Times New Roman" w:hAnsi="Times New Roman" w:cs="Times New Roman"/>
            <w:b w:val="0"/>
            <w:bCs/>
            <w:sz w:val="16"/>
            <w:szCs w:val="16"/>
          </w:rPr>
          <w:t>https</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earbd</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bg</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files</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File</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PURB</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PURB</w:t>
        </w:r>
        <w:r w:rsidRPr="00E15F8F">
          <w:rPr>
            <w:rStyle w:val="Hyperlink"/>
            <w:rFonts w:ascii="Times New Roman" w:hAnsi="Times New Roman" w:cs="Times New Roman"/>
            <w:b w:val="0"/>
            <w:bCs/>
            <w:sz w:val="16"/>
            <w:szCs w:val="16"/>
            <w:lang w:val="ru-RU"/>
          </w:rPr>
          <w:t>%202016-2021%20</w:t>
        </w:r>
        <w:r w:rsidRPr="00E15F8F">
          <w:rPr>
            <w:rStyle w:val="Hyperlink"/>
            <w:rFonts w:ascii="Times New Roman" w:hAnsi="Times New Roman" w:cs="Times New Roman"/>
            <w:b w:val="0"/>
            <w:bCs/>
            <w:sz w:val="16"/>
            <w:szCs w:val="16"/>
          </w:rPr>
          <w:t>FINAL</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Razdeli</w:t>
        </w:r>
        <w:r w:rsidRPr="00E15F8F">
          <w:rPr>
            <w:rStyle w:val="Hyperlink"/>
            <w:rFonts w:ascii="Times New Roman" w:hAnsi="Times New Roman" w:cs="Times New Roman"/>
            <w:b w:val="0"/>
            <w:bCs/>
            <w:sz w:val="16"/>
            <w:szCs w:val="16"/>
            <w:lang w:val="ru-RU"/>
          </w:rPr>
          <w:t>_</w:t>
        </w:r>
        <w:r w:rsidRPr="00E15F8F">
          <w:rPr>
            <w:rStyle w:val="Hyperlink"/>
            <w:rFonts w:ascii="Times New Roman" w:hAnsi="Times New Roman" w:cs="Times New Roman"/>
            <w:b w:val="0"/>
            <w:bCs/>
            <w:sz w:val="16"/>
            <w:szCs w:val="16"/>
          </w:rPr>
          <w:t>pdf</w:t>
        </w:r>
        <w:r w:rsidRPr="00E15F8F">
          <w:rPr>
            <w:rStyle w:val="Hyperlink"/>
            <w:rFonts w:ascii="Times New Roman" w:hAnsi="Times New Roman" w:cs="Times New Roman"/>
            <w:b w:val="0"/>
            <w:bCs/>
            <w:sz w:val="16"/>
            <w:szCs w:val="16"/>
            <w:lang w:val="ru-RU"/>
          </w:rPr>
          <w:t>/</w:t>
        </w:r>
        <w:r w:rsidRPr="00E15F8F">
          <w:rPr>
            <w:rStyle w:val="Hyperlink"/>
            <w:rFonts w:ascii="Times New Roman" w:hAnsi="Times New Roman" w:cs="Times New Roman"/>
            <w:b w:val="0"/>
            <w:bCs/>
            <w:sz w:val="16"/>
            <w:szCs w:val="16"/>
          </w:rPr>
          <w:t>PART</w:t>
        </w:r>
        <w:r w:rsidRPr="00E15F8F">
          <w:rPr>
            <w:rStyle w:val="Hyperlink"/>
            <w:rFonts w:ascii="Times New Roman" w:hAnsi="Times New Roman" w:cs="Times New Roman"/>
            <w:b w:val="0"/>
            <w:bCs/>
            <w:sz w:val="16"/>
            <w:szCs w:val="16"/>
            <w:lang w:val="ru-RU"/>
          </w:rPr>
          <w:t>%2001.</w:t>
        </w:r>
        <w:r w:rsidRPr="00E15F8F">
          <w:rPr>
            <w:rStyle w:val="Hyperlink"/>
            <w:rFonts w:ascii="Times New Roman" w:hAnsi="Times New Roman" w:cs="Times New Roman"/>
            <w:b w:val="0"/>
            <w:bCs/>
            <w:sz w:val="16"/>
            <w:szCs w:val="16"/>
          </w:rPr>
          <w:t>pdf</w:t>
        </w:r>
      </w:hyperlink>
      <w:r w:rsidRPr="00E15F8F">
        <w:rPr>
          <w:rStyle w:val="Hyperlink"/>
          <w:rFonts w:ascii="Times New Roman" w:hAnsi="Times New Roman" w:cs="Times New Roman"/>
          <w:b w:val="0"/>
          <w:bCs/>
          <w:sz w:val="16"/>
          <w:szCs w:val="16"/>
          <w:lang w:val="bg-BG"/>
        </w:rPr>
        <w:t>, стр. 1</w:t>
      </w:r>
    </w:p>
  </w:footnote>
  <w:footnote w:id="9">
    <w:p w14:paraId="0990FF49" w14:textId="77777777" w:rsidR="001B1B03" w:rsidRPr="001C204F" w:rsidRDefault="001B1B03" w:rsidP="0047737A">
      <w:pPr>
        <w:pStyle w:val="FootnoteText"/>
        <w:rPr>
          <w:rFonts w:ascii="Times New Roman" w:hAnsi="Times New Roman" w:cs="Times New Roman"/>
          <w:sz w:val="16"/>
          <w:szCs w:val="16"/>
          <w:lang w:val="bg-BG"/>
        </w:rPr>
      </w:pPr>
      <w:r w:rsidRPr="001C204F">
        <w:rPr>
          <w:rStyle w:val="FootnoteReference"/>
          <w:rFonts w:ascii="Times New Roman" w:hAnsi="Times New Roman" w:cs="Times New Roman"/>
          <w:sz w:val="16"/>
          <w:szCs w:val="16"/>
        </w:rPr>
        <w:footnoteRef/>
      </w:r>
      <w:r w:rsidRPr="001C204F">
        <w:rPr>
          <w:rFonts w:ascii="Times New Roman" w:hAnsi="Times New Roman" w:cs="Times New Roman"/>
          <w:sz w:val="16"/>
          <w:szCs w:val="16"/>
        </w:rPr>
        <w:t xml:space="preserve"> </w:t>
      </w:r>
      <w:hyperlink r:id="rId6" w:history="1">
        <w:r w:rsidRPr="001C204F">
          <w:rPr>
            <w:rStyle w:val="Hyperlink"/>
            <w:rFonts w:ascii="Times New Roman" w:hAnsi="Times New Roman" w:cs="Times New Roman"/>
            <w:sz w:val="16"/>
            <w:szCs w:val="16"/>
          </w:rPr>
          <w:t>https</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earbd</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bg</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files</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File</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PURB</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PURB</w:t>
        </w:r>
        <w:r w:rsidRPr="001C204F">
          <w:rPr>
            <w:rStyle w:val="Hyperlink"/>
            <w:rFonts w:ascii="Times New Roman" w:hAnsi="Times New Roman" w:cs="Times New Roman"/>
            <w:sz w:val="16"/>
            <w:szCs w:val="16"/>
            <w:lang w:val="ru-RU"/>
          </w:rPr>
          <w:t>%202016-2021%20</w:t>
        </w:r>
        <w:r w:rsidRPr="001C204F">
          <w:rPr>
            <w:rStyle w:val="Hyperlink"/>
            <w:rFonts w:ascii="Times New Roman" w:hAnsi="Times New Roman" w:cs="Times New Roman"/>
            <w:sz w:val="16"/>
            <w:szCs w:val="16"/>
          </w:rPr>
          <w:t>FINAL</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Razdeli</w:t>
        </w:r>
        <w:r w:rsidRPr="001C204F">
          <w:rPr>
            <w:rStyle w:val="Hyperlink"/>
            <w:rFonts w:ascii="Times New Roman" w:hAnsi="Times New Roman" w:cs="Times New Roman"/>
            <w:sz w:val="16"/>
            <w:szCs w:val="16"/>
            <w:lang w:val="ru-RU"/>
          </w:rPr>
          <w:t>_</w:t>
        </w:r>
        <w:r w:rsidRPr="001C204F">
          <w:rPr>
            <w:rStyle w:val="Hyperlink"/>
            <w:rFonts w:ascii="Times New Roman" w:hAnsi="Times New Roman" w:cs="Times New Roman"/>
            <w:sz w:val="16"/>
            <w:szCs w:val="16"/>
          </w:rPr>
          <w:t>pdf</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PART</w:t>
        </w:r>
        <w:r w:rsidRPr="001C204F">
          <w:rPr>
            <w:rStyle w:val="Hyperlink"/>
            <w:rFonts w:ascii="Times New Roman" w:hAnsi="Times New Roman" w:cs="Times New Roman"/>
            <w:sz w:val="16"/>
            <w:szCs w:val="16"/>
            <w:lang w:val="ru-RU"/>
          </w:rPr>
          <w:t>%2001.</w:t>
        </w:r>
        <w:r w:rsidRPr="001C204F">
          <w:rPr>
            <w:rStyle w:val="Hyperlink"/>
            <w:rFonts w:ascii="Times New Roman" w:hAnsi="Times New Roman" w:cs="Times New Roman"/>
            <w:sz w:val="16"/>
            <w:szCs w:val="16"/>
          </w:rPr>
          <w:t>pdf</w:t>
        </w:r>
      </w:hyperlink>
      <w:r w:rsidRPr="001C204F">
        <w:rPr>
          <w:rStyle w:val="Hyperlink"/>
          <w:rFonts w:ascii="Times New Roman" w:hAnsi="Times New Roman" w:cs="Times New Roman"/>
          <w:sz w:val="16"/>
          <w:szCs w:val="16"/>
          <w:lang w:val="bg-BG"/>
        </w:rPr>
        <w:t>, стр. 10 - 11</w:t>
      </w:r>
    </w:p>
  </w:footnote>
  <w:footnote w:id="10">
    <w:p w14:paraId="1A9E4786" w14:textId="77777777" w:rsidR="001B1B03" w:rsidRPr="001C204F" w:rsidRDefault="001B1B03" w:rsidP="0047737A">
      <w:pPr>
        <w:pStyle w:val="FootnoteText"/>
        <w:rPr>
          <w:rFonts w:ascii="Times New Roman" w:hAnsi="Times New Roman" w:cs="Times New Roman"/>
          <w:sz w:val="16"/>
          <w:szCs w:val="16"/>
          <w:lang w:val="bg-BG"/>
        </w:rPr>
      </w:pPr>
      <w:r w:rsidRPr="001C204F">
        <w:rPr>
          <w:rStyle w:val="FootnoteReference"/>
          <w:rFonts w:ascii="Times New Roman" w:hAnsi="Times New Roman" w:cs="Times New Roman"/>
          <w:sz w:val="16"/>
          <w:szCs w:val="16"/>
        </w:rPr>
        <w:footnoteRef/>
      </w:r>
      <w:r w:rsidRPr="001C204F">
        <w:rPr>
          <w:rFonts w:ascii="Times New Roman" w:hAnsi="Times New Roman" w:cs="Times New Roman"/>
          <w:sz w:val="16"/>
          <w:szCs w:val="16"/>
        </w:rPr>
        <w:t xml:space="preserve"> </w:t>
      </w:r>
      <w:hyperlink r:id="rId7" w:history="1">
        <w:r w:rsidRPr="001C204F">
          <w:rPr>
            <w:rStyle w:val="Hyperlink"/>
            <w:rFonts w:ascii="Times New Roman" w:hAnsi="Times New Roman" w:cs="Times New Roman"/>
            <w:sz w:val="16"/>
            <w:szCs w:val="16"/>
          </w:rPr>
          <w:t>https</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earbd</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bg</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files</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File</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PURB</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PURB</w:t>
        </w:r>
        <w:r w:rsidRPr="001C204F">
          <w:rPr>
            <w:rStyle w:val="Hyperlink"/>
            <w:rFonts w:ascii="Times New Roman" w:hAnsi="Times New Roman" w:cs="Times New Roman"/>
            <w:sz w:val="16"/>
            <w:szCs w:val="16"/>
            <w:lang w:val="ru-RU"/>
          </w:rPr>
          <w:t>%202016-2021%20</w:t>
        </w:r>
        <w:r w:rsidRPr="001C204F">
          <w:rPr>
            <w:rStyle w:val="Hyperlink"/>
            <w:rFonts w:ascii="Times New Roman" w:hAnsi="Times New Roman" w:cs="Times New Roman"/>
            <w:sz w:val="16"/>
            <w:szCs w:val="16"/>
          </w:rPr>
          <w:t>FINAL</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Razdeli</w:t>
        </w:r>
        <w:r w:rsidRPr="001C204F">
          <w:rPr>
            <w:rStyle w:val="Hyperlink"/>
            <w:rFonts w:ascii="Times New Roman" w:hAnsi="Times New Roman" w:cs="Times New Roman"/>
            <w:sz w:val="16"/>
            <w:szCs w:val="16"/>
            <w:lang w:val="ru-RU"/>
          </w:rPr>
          <w:t>_</w:t>
        </w:r>
        <w:r w:rsidRPr="001C204F">
          <w:rPr>
            <w:rStyle w:val="Hyperlink"/>
            <w:rFonts w:ascii="Times New Roman" w:hAnsi="Times New Roman" w:cs="Times New Roman"/>
            <w:sz w:val="16"/>
            <w:szCs w:val="16"/>
          </w:rPr>
          <w:t>pdf</w:t>
        </w:r>
        <w:r w:rsidRPr="001C204F">
          <w:rPr>
            <w:rStyle w:val="Hyperlink"/>
            <w:rFonts w:ascii="Times New Roman" w:hAnsi="Times New Roman" w:cs="Times New Roman"/>
            <w:sz w:val="16"/>
            <w:szCs w:val="16"/>
            <w:lang w:val="ru-RU"/>
          </w:rPr>
          <w:t>/</w:t>
        </w:r>
        <w:r w:rsidRPr="001C204F">
          <w:rPr>
            <w:rStyle w:val="Hyperlink"/>
            <w:rFonts w:ascii="Times New Roman" w:hAnsi="Times New Roman" w:cs="Times New Roman"/>
            <w:sz w:val="16"/>
            <w:szCs w:val="16"/>
          </w:rPr>
          <w:t>PART</w:t>
        </w:r>
        <w:r w:rsidRPr="001C204F">
          <w:rPr>
            <w:rStyle w:val="Hyperlink"/>
            <w:rFonts w:ascii="Times New Roman" w:hAnsi="Times New Roman" w:cs="Times New Roman"/>
            <w:sz w:val="16"/>
            <w:szCs w:val="16"/>
            <w:lang w:val="ru-RU"/>
          </w:rPr>
          <w:t>%2001.</w:t>
        </w:r>
        <w:r w:rsidRPr="001C204F">
          <w:rPr>
            <w:rStyle w:val="Hyperlink"/>
            <w:rFonts w:ascii="Times New Roman" w:hAnsi="Times New Roman" w:cs="Times New Roman"/>
            <w:sz w:val="16"/>
            <w:szCs w:val="16"/>
          </w:rPr>
          <w:t>pdf</w:t>
        </w:r>
      </w:hyperlink>
      <w:r w:rsidRPr="001C204F">
        <w:rPr>
          <w:rStyle w:val="Hyperlink"/>
          <w:rFonts w:ascii="Times New Roman" w:hAnsi="Times New Roman" w:cs="Times New Roman"/>
          <w:sz w:val="16"/>
          <w:szCs w:val="16"/>
          <w:lang w:val="bg-BG"/>
        </w:rPr>
        <w:t>, стр. 2</w:t>
      </w:r>
    </w:p>
  </w:footnote>
  <w:footnote w:id="11">
    <w:p w14:paraId="452A9567" w14:textId="77777777" w:rsidR="001B1B03" w:rsidRPr="001C204F" w:rsidRDefault="001B1B03" w:rsidP="0047737A">
      <w:pPr>
        <w:pStyle w:val="CommentText"/>
        <w:rPr>
          <w:rFonts w:ascii="Times New Roman" w:hAnsi="Times New Roman" w:cs="Times New Roman"/>
          <w:b w:val="0"/>
          <w:bCs/>
          <w:sz w:val="16"/>
          <w:szCs w:val="16"/>
          <w:lang w:val="bg-BG"/>
        </w:rPr>
      </w:pPr>
      <w:r w:rsidRPr="001C204F">
        <w:rPr>
          <w:rStyle w:val="FootnoteReference"/>
          <w:rFonts w:ascii="Times New Roman" w:hAnsi="Times New Roman" w:cs="Times New Roman"/>
          <w:b w:val="0"/>
          <w:bCs/>
          <w:sz w:val="16"/>
          <w:szCs w:val="16"/>
        </w:rPr>
        <w:footnoteRef/>
      </w:r>
      <w:r w:rsidRPr="001C204F">
        <w:rPr>
          <w:rFonts w:ascii="Times New Roman" w:hAnsi="Times New Roman" w:cs="Times New Roman"/>
          <w:b w:val="0"/>
          <w:bCs/>
          <w:sz w:val="16"/>
          <w:szCs w:val="16"/>
        </w:rPr>
        <w:t xml:space="preserve"> </w:t>
      </w:r>
      <w:hyperlink r:id="rId8" w:history="1">
        <w:r w:rsidRPr="001C204F">
          <w:rPr>
            <w:rStyle w:val="Hyperlink"/>
            <w:rFonts w:ascii="Times New Roman" w:hAnsi="Times New Roman" w:cs="Times New Roman"/>
            <w:b w:val="0"/>
            <w:bCs/>
            <w:sz w:val="16"/>
            <w:szCs w:val="16"/>
          </w:rPr>
          <w:t>https</w:t>
        </w:r>
        <w:r w:rsidRPr="001C204F">
          <w:rPr>
            <w:rStyle w:val="Hyperlink"/>
            <w:rFonts w:ascii="Times New Roman" w:hAnsi="Times New Roman" w:cs="Times New Roman"/>
            <w:b w:val="0"/>
            <w:bCs/>
            <w:sz w:val="16"/>
            <w:szCs w:val="16"/>
            <w:lang w:val="ru-RU"/>
          </w:rPr>
          <w:t>://</w:t>
        </w:r>
        <w:r w:rsidRPr="001C204F">
          <w:rPr>
            <w:rStyle w:val="Hyperlink"/>
            <w:rFonts w:ascii="Times New Roman" w:hAnsi="Times New Roman" w:cs="Times New Roman"/>
            <w:b w:val="0"/>
            <w:bCs/>
            <w:sz w:val="16"/>
            <w:szCs w:val="16"/>
          </w:rPr>
          <w:t>wabd</w:t>
        </w:r>
        <w:r w:rsidRPr="001C204F">
          <w:rPr>
            <w:rStyle w:val="Hyperlink"/>
            <w:rFonts w:ascii="Times New Roman" w:hAnsi="Times New Roman" w:cs="Times New Roman"/>
            <w:b w:val="0"/>
            <w:bCs/>
            <w:sz w:val="16"/>
            <w:szCs w:val="16"/>
            <w:lang w:val="ru-RU"/>
          </w:rPr>
          <w:t>.</w:t>
        </w:r>
        <w:r w:rsidRPr="001C204F">
          <w:rPr>
            <w:rStyle w:val="Hyperlink"/>
            <w:rFonts w:ascii="Times New Roman" w:hAnsi="Times New Roman" w:cs="Times New Roman"/>
            <w:b w:val="0"/>
            <w:bCs/>
            <w:sz w:val="16"/>
            <w:szCs w:val="16"/>
          </w:rPr>
          <w:t>bg</w:t>
        </w:r>
        <w:r w:rsidRPr="001C204F">
          <w:rPr>
            <w:rStyle w:val="Hyperlink"/>
            <w:rFonts w:ascii="Times New Roman" w:hAnsi="Times New Roman" w:cs="Times New Roman"/>
            <w:b w:val="0"/>
            <w:bCs/>
            <w:sz w:val="16"/>
            <w:szCs w:val="16"/>
            <w:lang w:val="ru-RU"/>
          </w:rPr>
          <w:t>/</w:t>
        </w:r>
        <w:r w:rsidRPr="001C204F">
          <w:rPr>
            <w:rStyle w:val="Hyperlink"/>
            <w:rFonts w:ascii="Times New Roman" w:hAnsi="Times New Roman" w:cs="Times New Roman"/>
            <w:b w:val="0"/>
            <w:bCs/>
            <w:sz w:val="16"/>
            <w:szCs w:val="16"/>
          </w:rPr>
          <w:t>docs</w:t>
        </w:r>
        <w:r w:rsidRPr="001C204F">
          <w:rPr>
            <w:rStyle w:val="Hyperlink"/>
            <w:rFonts w:ascii="Times New Roman" w:hAnsi="Times New Roman" w:cs="Times New Roman"/>
            <w:b w:val="0"/>
            <w:bCs/>
            <w:sz w:val="16"/>
            <w:szCs w:val="16"/>
            <w:lang w:val="ru-RU"/>
          </w:rPr>
          <w:t>/</w:t>
        </w:r>
        <w:r w:rsidRPr="001C204F">
          <w:rPr>
            <w:rStyle w:val="Hyperlink"/>
            <w:rFonts w:ascii="Times New Roman" w:hAnsi="Times New Roman" w:cs="Times New Roman"/>
            <w:b w:val="0"/>
            <w:bCs/>
            <w:sz w:val="16"/>
            <w:szCs w:val="16"/>
          </w:rPr>
          <w:t>plans</w:t>
        </w:r>
        <w:r w:rsidRPr="001C204F">
          <w:rPr>
            <w:rStyle w:val="Hyperlink"/>
            <w:rFonts w:ascii="Times New Roman" w:hAnsi="Times New Roman" w:cs="Times New Roman"/>
            <w:b w:val="0"/>
            <w:bCs/>
            <w:sz w:val="16"/>
            <w:szCs w:val="16"/>
            <w:lang w:val="ru-RU"/>
          </w:rPr>
          <w:t>/</w:t>
        </w:r>
        <w:r w:rsidRPr="001C204F">
          <w:rPr>
            <w:rStyle w:val="Hyperlink"/>
            <w:rFonts w:ascii="Times New Roman" w:hAnsi="Times New Roman" w:cs="Times New Roman"/>
            <w:b w:val="0"/>
            <w:bCs/>
            <w:sz w:val="16"/>
            <w:szCs w:val="16"/>
          </w:rPr>
          <w:t>purb</w:t>
        </w:r>
        <w:r w:rsidRPr="001C204F">
          <w:rPr>
            <w:rStyle w:val="Hyperlink"/>
            <w:rFonts w:ascii="Times New Roman" w:hAnsi="Times New Roman" w:cs="Times New Roman"/>
            <w:b w:val="0"/>
            <w:bCs/>
            <w:sz w:val="16"/>
            <w:szCs w:val="16"/>
            <w:lang w:val="ru-RU"/>
          </w:rPr>
          <w:t>1621/01_</w:t>
        </w:r>
        <w:r w:rsidRPr="001C204F">
          <w:rPr>
            <w:rStyle w:val="Hyperlink"/>
            <w:rFonts w:ascii="Times New Roman" w:hAnsi="Times New Roman" w:cs="Times New Roman"/>
            <w:b w:val="0"/>
            <w:bCs/>
            <w:sz w:val="16"/>
            <w:szCs w:val="16"/>
          </w:rPr>
          <w:t>Razdel</w:t>
        </w:r>
        <w:r w:rsidRPr="001C204F">
          <w:rPr>
            <w:rStyle w:val="Hyperlink"/>
            <w:rFonts w:ascii="Times New Roman" w:hAnsi="Times New Roman" w:cs="Times New Roman"/>
            <w:b w:val="0"/>
            <w:bCs/>
            <w:sz w:val="16"/>
            <w:szCs w:val="16"/>
            <w:lang w:val="ru-RU"/>
          </w:rPr>
          <w:t>_1_</w:t>
        </w:r>
        <w:r w:rsidRPr="001C204F">
          <w:rPr>
            <w:rStyle w:val="Hyperlink"/>
            <w:rFonts w:ascii="Times New Roman" w:hAnsi="Times New Roman" w:cs="Times New Roman"/>
            <w:b w:val="0"/>
            <w:bCs/>
            <w:sz w:val="16"/>
            <w:szCs w:val="16"/>
          </w:rPr>
          <w:t>Harakteristiki</w:t>
        </w:r>
        <w:r w:rsidRPr="001C204F">
          <w:rPr>
            <w:rStyle w:val="Hyperlink"/>
            <w:rFonts w:ascii="Times New Roman" w:hAnsi="Times New Roman" w:cs="Times New Roman"/>
            <w:b w:val="0"/>
            <w:bCs/>
            <w:sz w:val="16"/>
            <w:szCs w:val="16"/>
            <w:lang w:val="ru-RU"/>
          </w:rPr>
          <w:t>_</w:t>
        </w:r>
        <w:r w:rsidRPr="001C204F">
          <w:rPr>
            <w:rStyle w:val="Hyperlink"/>
            <w:rFonts w:ascii="Times New Roman" w:hAnsi="Times New Roman" w:cs="Times New Roman"/>
            <w:b w:val="0"/>
            <w:bCs/>
            <w:sz w:val="16"/>
            <w:szCs w:val="16"/>
          </w:rPr>
          <w:t>ZBR</w:t>
        </w:r>
        <w:r w:rsidRPr="001C204F">
          <w:rPr>
            <w:rStyle w:val="Hyperlink"/>
            <w:rFonts w:ascii="Times New Roman" w:hAnsi="Times New Roman" w:cs="Times New Roman"/>
            <w:b w:val="0"/>
            <w:bCs/>
            <w:sz w:val="16"/>
            <w:szCs w:val="16"/>
            <w:lang w:val="ru-RU"/>
          </w:rPr>
          <w:t>.</w:t>
        </w:r>
        <w:r w:rsidRPr="001C204F">
          <w:rPr>
            <w:rStyle w:val="Hyperlink"/>
            <w:rFonts w:ascii="Times New Roman" w:hAnsi="Times New Roman" w:cs="Times New Roman"/>
            <w:b w:val="0"/>
            <w:bCs/>
            <w:sz w:val="16"/>
            <w:szCs w:val="16"/>
          </w:rPr>
          <w:t>pdf</w:t>
        </w:r>
      </w:hyperlink>
      <w:r w:rsidRPr="001C204F">
        <w:rPr>
          <w:rStyle w:val="Hyperlink"/>
          <w:rFonts w:ascii="Times New Roman" w:hAnsi="Times New Roman" w:cs="Times New Roman"/>
          <w:b w:val="0"/>
          <w:bCs/>
          <w:sz w:val="16"/>
          <w:szCs w:val="16"/>
          <w:lang w:val="bg-BG"/>
        </w:rPr>
        <w:t xml:space="preserve">, </w:t>
      </w:r>
      <w:r w:rsidRPr="001C204F">
        <w:rPr>
          <w:rFonts w:ascii="Times New Roman" w:hAnsi="Times New Roman" w:cs="Times New Roman"/>
          <w:b w:val="0"/>
          <w:bCs/>
          <w:sz w:val="16"/>
          <w:szCs w:val="16"/>
          <w:lang w:val="bg-BG"/>
        </w:rPr>
        <w:t xml:space="preserve">стр. 13 </w:t>
      </w:r>
    </w:p>
  </w:footnote>
  <w:footnote w:id="12">
    <w:p w14:paraId="156A2ACC" w14:textId="3F3EF381" w:rsidR="001B1B03" w:rsidRPr="001B1B03" w:rsidRDefault="001B1B03">
      <w:pPr>
        <w:pStyle w:val="FootnoteText"/>
        <w:rPr>
          <w:rFonts w:ascii="Times New Roman" w:hAnsi="Times New Roman" w:cs="Times New Roman"/>
          <w:sz w:val="16"/>
          <w:szCs w:val="16"/>
        </w:rPr>
      </w:pPr>
      <w:r w:rsidRPr="001B1B03">
        <w:rPr>
          <w:rStyle w:val="FootnoteReference"/>
          <w:rFonts w:ascii="Times New Roman" w:hAnsi="Times New Roman" w:cs="Times New Roman"/>
          <w:sz w:val="16"/>
          <w:szCs w:val="16"/>
        </w:rPr>
        <w:footnoteRef/>
      </w:r>
      <w:r w:rsidRPr="001B1B03">
        <w:rPr>
          <w:rFonts w:ascii="Times New Roman" w:hAnsi="Times New Roman" w:cs="Times New Roman"/>
          <w:sz w:val="16"/>
          <w:szCs w:val="16"/>
        </w:rPr>
        <w:t xml:space="preserve"> COM (2021) 400, Communication from the Commission to the European Parliament, the Council, the European Economic and Social Committee and the Committee of the Regions, Pathway to a Healthy Planet for All. EU Action Plan: “Towards Zero Pollution for Air, Water and Soil”, https://ec.europa.eu/environment/pdf/zero-pollution-action-plan/communication_en.pdf</w:t>
      </w:r>
    </w:p>
  </w:footnote>
  <w:footnote w:id="13">
    <w:p w14:paraId="16D827E9" w14:textId="77777777" w:rsidR="001B1B03" w:rsidRPr="001B1B03" w:rsidRDefault="001B1B03" w:rsidP="004E05D3">
      <w:pPr>
        <w:pStyle w:val="FootnoteText"/>
        <w:rPr>
          <w:rFonts w:ascii="Times New Roman" w:hAnsi="Times New Roman" w:cs="Times New Roman"/>
          <w:sz w:val="16"/>
          <w:szCs w:val="16"/>
          <w:lang w:val="bg-BG"/>
        </w:rPr>
      </w:pPr>
      <w:r w:rsidRPr="001B1B03">
        <w:rPr>
          <w:rStyle w:val="FootnoteReference"/>
          <w:rFonts w:ascii="Times New Roman" w:hAnsi="Times New Roman" w:cs="Times New Roman"/>
          <w:sz w:val="16"/>
          <w:szCs w:val="16"/>
        </w:rPr>
        <w:footnoteRef/>
      </w:r>
      <w:r w:rsidRPr="001B1B03">
        <w:rPr>
          <w:rFonts w:ascii="Times New Roman" w:hAnsi="Times New Roman" w:cs="Times New Roman"/>
          <w:sz w:val="16"/>
          <w:szCs w:val="16"/>
        </w:rPr>
        <w:t xml:space="preserve"> </w:t>
      </w:r>
      <w:r w:rsidRPr="001B1B03">
        <w:rPr>
          <w:rFonts w:ascii="Times New Roman" w:hAnsi="Times New Roman" w:cs="Times New Roman"/>
          <w:sz w:val="16"/>
          <w:szCs w:val="16"/>
          <w:lang w:val="bg-BG"/>
        </w:rPr>
        <w:t>Програма за развитие на селските райони 2014 – 2020, https://www.dfz.bg/bg/prsr-2014-2020/prsr--2014-2020/</w:t>
      </w:r>
    </w:p>
  </w:footnote>
  <w:footnote w:id="14">
    <w:p w14:paraId="74F3B386" w14:textId="77777777" w:rsidR="001B1B03" w:rsidRPr="00A61194" w:rsidRDefault="001B1B03" w:rsidP="000532D9">
      <w:pPr>
        <w:pStyle w:val="FootnoteText"/>
        <w:rPr>
          <w:rFonts w:ascii="Times New Roman" w:hAnsi="Times New Roman" w:cs="Times New Roman"/>
          <w:sz w:val="16"/>
          <w:szCs w:val="16"/>
          <w:lang w:val="bg-BG"/>
        </w:rPr>
      </w:pPr>
      <w:r w:rsidRPr="00A61194">
        <w:rPr>
          <w:rStyle w:val="FootnoteReference"/>
          <w:rFonts w:ascii="Times New Roman" w:hAnsi="Times New Roman" w:cs="Times New Roman"/>
          <w:sz w:val="16"/>
          <w:szCs w:val="16"/>
          <w:lang w:val="bg-BG"/>
        </w:rPr>
        <w:footnoteRef/>
      </w:r>
      <w:r w:rsidRPr="00A61194">
        <w:rPr>
          <w:rFonts w:ascii="Times New Roman" w:hAnsi="Times New Roman" w:cs="Times New Roman"/>
          <w:sz w:val="16"/>
          <w:szCs w:val="16"/>
          <w:lang w:val="bg-BG"/>
        </w:rPr>
        <w:t xml:space="preserve"> Данни на НСИ за 2018 г.</w:t>
      </w:r>
    </w:p>
  </w:footnote>
  <w:footnote w:id="15">
    <w:p w14:paraId="443B0ED8" w14:textId="77777777" w:rsidR="001B1B03" w:rsidRPr="00A677EF" w:rsidRDefault="001B1B03" w:rsidP="000532D9">
      <w:pPr>
        <w:pStyle w:val="FootnoteText"/>
        <w:rPr>
          <w:rFonts w:ascii="Times New Roman" w:hAnsi="Times New Roman" w:cs="Times New Roman"/>
          <w:sz w:val="16"/>
          <w:szCs w:val="16"/>
          <w:lang w:val="bg-BG"/>
        </w:rPr>
      </w:pPr>
      <w:r w:rsidRPr="00A61194">
        <w:rPr>
          <w:rStyle w:val="FootnoteReference"/>
          <w:rFonts w:ascii="Times New Roman" w:hAnsi="Times New Roman" w:cs="Times New Roman"/>
          <w:sz w:val="16"/>
          <w:szCs w:val="16"/>
        </w:rPr>
        <w:footnoteRef/>
      </w:r>
      <w:r w:rsidRPr="00A61194">
        <w:rPr>
          <w:rFonts w:ascii="Times New Roman" w:hAnsi="Times New Roman" w:cs="Times New Roman"/>
          <w:sz w:val="16"/>
          <w:szCs w:val="16"/>
        </w:rPr>
        <w:t xml:space="preserve"> </w:t>
      </w:r>
      <w:r w:rsidRPr="00A61194">
        <w:rPr>
          <w:rFonts w:ascii="Times New Roman" w:hAnsi="Times New Roman" w:cs="Times New Roman"/>
          <w:sz w:val="16"/>
          <w:szCs w:val="16"/>
          <w:lang w:val="bg-BG"/>
        </w:rPr>
        <w:t>Данни на НСИ</w:t>
      </w:r>
    </w:p>
  </w:footnote>
  <w:footnote w:id="16">
    <w:p w14:paraId="28B5555A" w14:textId="77777777" w:rsidR="001B1B03" w:rsidRPr="00E15F8F" w:rsidRDefault="001B1B03" w:rsidP="000532D9">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lang w:val="bg-BG"/>
        </w:rPr>
        <w:footnoteRef/>
      </w:r>
      <w:r w:rsidRPr="00E15F8F">
        <w:rPr>
          <w:rFonts w:ascii="Times New Roman" w:hAnsi="Times New Roman" w:cs="Times New Roman"/>
          <w:sz w:val="16"/>
          <w:szCs w:val="16"/>
          <w:lang w:val="bg-BG"/>
        </w:rPr>
        <w:t xml:space="preserve"> Проект на Програма „Околна среда 2021 – 2027 г.“, версия 3</w:t>
      </w:r>
    </w:p>
  </w:footnote>
  <w:footnote w:id="17">
    <w:p w14:paraId="4F983237" w14:textId="77777777" w:rsidR="001B1B03" w:rsidRPr="006F34D7" w:rsidRDefault="001B1B03" w:rsidP="000532D9">
      <w:pPr>
        <w:pStyle w:val="FootnoteText"/>
        <w:rPr>
          <w:rFonts w:ascii="Times New Roman" w:hAnsi="Times New Roman" w:cs="Times New Roman"/>
          <w:sz w:val="16"/>
          <w:szCs w:val="16"/>
          <w:lang w:val="bg-BG"/>
        </w:rPr>
      </w:pPr>
      <w:r w:rsidRPr="006F34D7">
        <w:rPr>
          <w:rStyle w:val="FootnoteReference"/>
          <w:rFonts w:ascii="Times New Roman" w:hAnsi="Times New Roman" w:cs="Times New Roman"/>
          <w:sz w:val="16"/>
          <w:szCs w:val="16"/>
          <w:lang w:val="bg-BG"/>
        </w:rPr>
        <w:footnoteRef/>
      </w:r>
      <w:r w:rsidRPr="006F34D7">
        <w:rPr>
          <w:rFonts w:ascii="Times New Roman" w:hAnsi="Times New Roman" w:cs="Times New Roman"/>
          <w:sz w:val="16"/>
          <w:szCs w:val="16"/>
          <w:lang w:val="bg-BG"/>
        </w:rPr>
        <w:t xml:space="preserve"> Национална програма за развитие България 2030</w:t>
      </w:r>
    </w:p>
  </w:footnote>
  <w:footnote w:id="18">
    <w:p w14:paraId="29378E7F" w14:textId="77777777" w:rsidR="001B1B03" w:rsidRPr="001C204F" w:rsidRDefault="001B1B03" w:rsidP="0047737A">
      <w:pPr>
        <w:pStyle w:val="FootnoteText"/>
        <w:rPr>
          <w:rFonts w:ascii="Times New Roman" w:hAnsi="Times New Roman" w:cs="Times New Roman"/>
          <w:bCs/>
          <w:sz w:val="16"/>
          <w:szCs w:val="16"/>
          <w:lang w:val="bg-BG"/>
        </w:rPr>
      </w:pPr>
      <w:r w:rsidRPr="006F34D7">
        <w:rPr>
          <w:rStyle w:val="FootnoteReference"/>
          <w:rFonts w:ascii="Times New Roman" w:hAnsi="Times New Roman" w:cs="Times New Roman"/>
          <w:bCs/>
          <w:sz w:val="16"/>
          <w:szCs w:val="16"/>
          <w:lang w:val="bg-BG"/>
        </w:rPr>
        <w:footnoteRef/>
      </w:r>
      <w:r w:rsidRPr="006F34D7">
        <w:rPr>
          <w:rFonts w:ascii="Times New Roman" w:hAnsi="Times New Roman" w:cs="Times New Roman"/>
          <w:bCs/>
          <w:sz w:val="16"/>
          <w:szCs w:val="16"/>
          <w:lang w:val="bg-BG"/>
        </w:rPr>
        <w:t xml:space="preserve"> Национален доклад за състоянието на околната среда, 2018</w:t>
      </w:r>
    </w:p>
  </w:footnote>
  <w:footnote w:id="19">
    <w:p w14:paraId="53625C2D" w14:textId="77777777" w:rsidR="001B1B03" w:rsidRPr="00E15F8F" w:rsidRDefault="001B1B03" w:rsidP="0047737A">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lang w:val="bg-BG"/>
        </w:rPr>
        <w:footnoteRef/>
      </w:r>
      <w:r w:rsidRPr="00E15F8F">
        <w:rPr>
          <w:rFonts w:ascii="Times New Roman" w:hAnsi="Times New Roman" w:cs="Times New Roman"/>
          <w:sz w:val="16"/>
          <w:szCs w:val="16"/>
          <w:lang w:val="bg-BG"/>
        </w:rPr>
        <w:t xml:space="preserve"> Пак там</w:t>
      </w:r>
    </w:p>
  </w:footnote>
  <w:footnote w:id="20">
    <w:p w14:paraId="7F771378" w14:textId="77777777" w:rsidR="001B1B03" w:rsidRPr="00E15F8F" w:rsidRDefault="001B1B03" w:rsidP="0047737A">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lang w:val="bg-BG"/>
        </w:rPr>
        <w:footnoteRef/>
      </w:r>
      <w:r w:rsidRPr="00E15F8F">
        <w:rPr>
          <w:rFonts w:ascii="Times New Roman" w:hAnsi="Times New Roman" w:cs="Times New Roman"/>
          <w:sz w:val="16"/>
          <w:szCs w:val="16"/>
          <w:lang w:val="bg-BG"/>
        </w:rPr>
        <w:t xml:space="preserve"> Националния регистър на обектите за бутилиране на натурални минерални, изворни и трапезни води, МЗ, https://www.mh.government.bg/bg/administrativni-uslugi/registri/</w:t>
      </w:r>
      <w:r w:rsidRPr="00E15F8F" w:rsidDel="00B3473F">
        <w:rPr>
          <w:rFonts w:ascii="Times New Roman" w:hAnsi="Times New Roman" w:cs="Times New Roman"/>
          <w:sz w:val="16"/>
          <w:szCs w:val="16"/>
          <w:lang w:val="bg-BG"/>
        </w:rPr>
        <w:t xml:space="preserve"> </w:t>
      </w:r>
    </w:p>
  </w:footnote>
  <w:footnote w:id="21">
    <w:p w14:paraId="1632DCBB" w14:textId="77777777" w:rsidR="001B1B03" w:rsidRPr="00E15F8F" w:rsidRDefault="001B1B03" w:rsidP="0047737A">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lang w:val="bg-BG"/>
        </w:rPr>
        <w:footnoteRef/>
      </w:r>
      <w:r w:rsidRPr="00E15F8F">
        <w:rPr>
          <w:rFonts w:ascii="Times New Roman" w:hAnsi="Times New Roman" w:cs="Times New Roman"/>
          <w:sz w:val="16"/>
          <w:szCs w:val="16"/>
          <w:lang w:val="bg-BG"/>
        </w:rPr>
        <w:t xml:space="preserve"> Христов Владимир, Използване на геотермалната енергия и минералните води в България: състояние и перспективи, Институт по геология, БАН 2020</w:t>
      </w:r>
    </w:p>
  </w:footnote>
  <w:footnote w:id="22">
    <w:p w14:paraId="384AA868" w14:textId="77777777" w:rsidR="001B1B03" w:rsidRPr="00E15F8F" w:rsidRDefault="001B1B03" w:rsidP="0047737A">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lang w:val="bg-BG"/>
        </w:rPr>
        <w:footnoteRef/>
      </w:r>
      <w:r w:rsidRPr="00E15F8F">
        <w:rPr>
          <w:rFonts w:ascii="Times New Roman" w:hAnsi="Times New Roman" w:cs="Times New Roman"/>
          <w:sz w:val="16"/>
          <w:szCs w:val="16"/>
          <w:lang w:val="bg-BG"/>
        </w:rPr>
        <w:t xml:space="preserve"> Национален доверителен екофонд, https://ecofund-bg.org</w:t>
      </w:r>
    </w:p>
  </w:footnote>
  <w:footnote w:id="23">
    <w:p w14:paraId="232B79A5" w14:textId="77777777" w:rsidR="001B1B03" w:rsidRPr="00E15F8F" w:rsidRDefault="001B1B03" w:rsidP="0047737A">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lang w:val="bg-BG"/>
        </w:rPr>
        <w:footnoteRef/>
      </w:r>
      <w:r w:rsidRPr="00E15F8F">
        <w:rPr>
          <w:rFonts w:ascii="Times New Roman" w:hAnsi="Times New Roman" w:cs="Times New Roman"/>
          <w:sz w:val="16"/>
          <w:szCs w:val="16"/>
          <w:lang w:val="bg-BG"/>
        </w:rPr>
        <w:t xml:space="preserve"> Финансов механизъм на ЕИП, https://www.eeagrants.bg/</w:t>
      </w:r>
    </w:p>
  </w:footnote>
  <w:footnote w:id="24">
    <w:p w14:paraId="55E67CF1" w14:textId="77777777" w:rsidR="001B1B03" w:rsidRPr="000968B8" w:rsidRDefault="001B1B03" w:rsidP="0047737A">
      <w:pPr>
        <w:pStyle w:val="FootnoteText"/>
        <w:rPr>
          <w:rFonts w:ascii="Times New Roman" w:hAnsi="Times New Roman"/>
          <w:sz w:val="16"/>
          <w:szCs w:val="16"/>
        </w:rPr>
      </w:pPr>
      <w:r w:rsidRPr="000968B8">
        <w:rPr>
          <w:rStyle w:val="FootnoteReference"/>
          <w:rFonts w:ascii="Times New Roman" w:hAnsi="Times New Roman"/>
          <w:sz w:val="16"/>
          <w:szCs w:val="16"/>
        </w:rPr>
        <w:footnoteRef/>
      </w:r>
      <w:r w:rsidRPr="000968B8">
        <w:rPr>
          <w:rFonts w:ascii="Times New Roman" w:hAnsi="Times New Roman"/>
          <w:sz w:val="16"/>
          <w:szCs w:val="16"/>
        </w:rPr>
        <w:t xml:space="preserve"> https://www.moew.government.bg/bg/vodi/planove-za-upravlenie/planove-za-upravlenie-na-riska-ot-navodneniya-purn/planove-za-upravlenie-na-riska-ot-navodneniya-2022-2027/</w:t>
      </w:r>
    </w:p>
  </w:footnote>
  <w:footnote w:id="25">
    <w:p w14:paraId="6AA2BF6D" w14:textId="77777777" w:rsidR="001B1B03" w:rsidRPr="001B249A" w:rsidRDefault="001B1B03" w:rsidP="00066EFE">
      <w:pPr>
        <w:autoSpaceDE w:val="0"/>
        <w:autoSpaceDN w:val="0"/>
        <w:adjustRightInd w:val="0"/>
        <w:spacing w:after="0" w:line="240" w:lineRule="auto"/>
        <w:rPr>
          <w:rFonts w:ascii="Times New Roman" w:hAnsi="Times New Roman" w:cs="Times New Roman"/>
          <w:sz w:val="20"/>
          <w:szCs w:val="20"/>
          <w:lang w:val="bg-BG"/>
        </w:rPr>
      </w:pPr>
      <w:r w:rsidRPr="001B249A">
        <w:rPr>
          <w:rStyle w:val="FootnoteReference"/>
          <w:rFonts w:ascii="Times New Roman" w:hAnsi="Times New Roman" w:cs="Times New Roman"/>
          <w:lang w:val="bg-BG"/>
        </w:rPr>
        <w:footnoteRef/>
      </w:r>
      <w:r w:rsidRPr="001B249A">
        <w:rPr>
          <w:rFonts w:ascii="Times New Roman" w:hAnsi="Times New Roman" w:cs="Times New Roman"/>
          <w:sz w:val="20"/>
          <w:szCs w:val="20"/>
          <w:lang w:val="bg-BG"/>
        </w:rPr>
        <w:t xml:space="preserve"> </w:t>
      </w:r>
      <w:r w:rsidRPr="001B249A">
        <w:rPr>
          <w:rFonts w:ascii="Times New Roman" w:hAnsi="Times New Roman" w:cs="Times New Roman"/>
          <w:color w:val="404040"/>
          <w:sz w:val="20"/>
          <w:szCs w:val="20"/>
          <w:lang w:val="bg-BG"/>
        </w:rPr>
        <w:t xml:space="preserve">EEA Report No 7/2018, </w:t>
      </w:r>
      <w:r w:rsidRPr="001B249A">
        <w:rPr>
          <w:rFonts w:ascii="Times New Roman" w:hAnsi="Times New Roman" w:cs="Times New Roman"/>
          <w:sz w:val="20"/>
          <w:szCs w:val="20"/>
          <w:lang w:val="bg-BG"/>
        </w:rPr>
        <w:t>European waters: Assessment of status and pressures 2018</w:t>
      </w:r>
    </w:p>
  </w:footnote>
  <w:footnote w:id="26">
    <w:p w14:paraId="0096BA61" w14:textId="77777777" w:rsidR="001B1B03" w:rsidRPr="00E15F8F" w:rsidRDefault="001B1B03" w:rsidP="00066EFE">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lang w:val="bg-BG"/>
        </w:rPr>
        <w:footnoteRef/>
      </w:r>
      <w:r w:rsidRPr="00E15F8F">
        <w:rPr>
          <w:rFonts w:ascii="Times New Roman" w:hAnsi="Times New Roman" w:cs="Times New Roman"/>
          <w:sz w:val="16"/>
          <w:szCs w:val="16"/>
          <w:lang w:val="bg-BG"/>
        </w:rPr>
        <w:t xml:space="preserve"> Indicator assessment. Use of freshwater resources in Europe, https://www.eea.europa.eu/data-and-maps/indicators/use-of-freshwater-resources-3/assessment-4</w:t>
      </w:r>
    </w:p>
  </w:footnote>
  <w:footnote w:id="27">
    <w:p w14:paraId="65360D2A" w14:textId="77777777" w:rsidR="001B1B03" w:rsidRPr="00E15F8F" w:rsidRDefault="001B1B03" w:rsidP="000532D9">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rPr>
        <w:footnoteRef/>
      </w:r>
      <w:r w:rsidRPr="00E15F8F">
        <w:rPr>
          <w:rFonts w:ascii="Times New Roman" w:hAnsi="Times New Roman" w:cs="Times New Roman"/>
          <w:sz w:val="16"/>
          <w:szCs w:val="16"/>
        </w:rPr>
        <w:t xml:space="preserve"> </w:t>
      </w:r>
      <w:r w:rsidRPr="00E15F8F">
        <w:rPr>
          <w:rFonts w:ascii="Times New Roman" w:hAnsi="Times New Roman" w:cs="Times New Roman"/>
          <w:sz w:val="16"/>
          <w:szCs w:val="16"/>
          <w:lang w:val="bg-BG"/>
        </w:rPr>
        <w:t>Данни на НСИ</w:t>
      </w:r>
    </w:p>
  </w:footnote>
  <w:footnote w:id="28">
    <w:p w14:paraId="65A3FD91" w14:textId="77777777" w:rsidR="001B1B03" w:rsidRPr="00E15F8F" w:rsidRDefault="001B1B03" w:rsidP="000532D9">
      <w:pPr>
        <w:pStyle w:val="FootnoteText"/>
        <w:rPr>
          <w:rFonts w:ascii="Times New Roman" w:hAnsi="Times New Roman" w:cs="Times New Roman"/>
          <w:sz w:val="16"/>
          <w:szCs w:val="16"/>
          <w:lang w:val="bg-BG"/>
        </w:rPr>
      </w:pPr>
      <w:r w:rsidRPr="00E15F8F">
        <w:rPr>
          <w:rStyle w:val="FootnoteReference"/>
          <w:rFonts w:ascii="Times New Roman" w:hAnsi="Times New Roman" w:cs="Times New Roman"/>
          <w:sz w:val="16"/>
          <w:szCs w:val="16"/>
          <w:lang w:val="bg-BG"/>
        </w:rPr>
        <w:footnoteRef/>
      </w:r>
      <w:r w:rsidRPr="00E15F8F">
        <w:rPr>
          <w:rFonts w:ascii="Times New Roman" w:hAnsi="Times New Roman" w:cs="Times New Roman"/>
          <w:sz w:val="16"/>
          <w:szCs w:val="16"/>
          <w:lang w:val="bg-BG"/>
        </w:rPr>
        <w:t xml:space="preserve"> Национален доклад за състоянието и опазването на околната среда. ИАОС, 2018</w:t>
      </w:r>
    </w:p>
  </w:footnote>
  <w:footnote w:id="29">
    <w:p w14:paraId="5F43806F" w14:textId="77777777" w:rsidR="001B1B03" w:rsidRPr="00456BFA" w:rsidRDefault="001B1B03" w:rsidP="000532D9">
      <w:pPr>
        <w:pStyle w:val="FootnoteText"/>
        <w:rPr>
          <w:rFonts w:ascii="Times New Roman" w:hAnsi="Times New Roman" w:cs="Times New Roman"/>
          <w:sz w:val="16"/>
          <w:szCs w:val="16"/>
          <w:lang w:val="bg-BG"/>
        </w:rPr>
      </w:pPr>
      <w:r w:rsidRPr="00456BFA">
        <w:rPr>
          <w:rStyle w:val="FootnoteReference"/>
          <w:rFonts w:ascii="Times New Roman" w:hAnsi="Times New Roman" w:cs="Times New Roman"/>
          <w:sz w:val="16"/>
          <w:szCs w:val="16"/>
          <w:lang w:val="bg-BG"/>
        </w:rPr>
        <w:footnoteRef/>
      </w:r>
      <w:r w:rsidRPr="00456BFA">
        <w:rPr>
          <w:rFonts w:ascii="Times New Roman" w:hAnsi="Times New Roman" w:cs="Times New Roman"/>
          <w:sz w:val="16"/>
          <w:szCs w:val="16"/>
          <w:lang w:val="bg-BG"/>
        </w:rPr>
        <w:t xml:space="preserve"> Indicator Assessment. Use of fresh water resources in Europe, EEA, https://www.eea.europa.eu/data-and-maps/indicators/use-of-freshwater-resources-3/assessment-4</w:t>
      </w:r>
    </w:p>
  </w:footnote>
  <w:footnote w:id="30">
    <w:p w14:paraId="3BA31D95" w14:textId="77777777" w:rsidR="001B1B03" w:rsidRPr="00E050A8" w:rsidRDefault="001B1B03" w:rsidP="000532D9">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rPr>
        <w:footnoteRef/>
      </w:r>
      <w:r w:rsidRPr="00E050A8">
        <w:rPr>
          <w:rFonts w:ascii="Times New Roman" w:hAnsi="Times New Roman" w:cs="Times New Roman"/>
          <w:sz w:val="16"/>
          <w:szCs w:val="16"/>
        </w:rPr>
        <w:t xml:space="preserve"> The EU Blue Economy Report 2020, </w:t>
      </w:r>
      <w:hyperlink r:id="rId9" w:history="1">
        <w:r w:rsidRPr="00E050A8">
          <w:rPr>
            <w:rStyle w:val="Hyperlink"/>
            <w:rFonts w:ascii="Times New Roman" w:hAnsi="Times New Roman" w:cs="Times New Roman"/>
            <w:sz w:val="16"/>
            <w:szCs w:val="16"/>
          </w:rPr>
          <w:t>https://blueindicators.ec.europa.eu/published-reports_en</w:t>
        </w:r>
      </w:hyperlink>
      <w:r w:rsidRPr="00E050A8">
        <w:rPr>
          <w:rFonts w:ascii="Times New Roman" w:hAnsi="Times New Roman" w:cs="Times New Roman"/>
          <w:sz w:val="16"/>
          <w:szCs w:val="16"/>
        </w:rPr>
        <w:t xml:space="preserve"> </w:t>
      </w:r>
    </w:p>
  </w:footnote>
  <w:footnote w:id="31">
    <w:p w14:paraId="7BB2AF3F" w14:textId="77777777" w:rsidR="001B1B03" w:rsidRPr="00E050A8" w:rsidRDefault="001B1B03" w:rsidP="00E050A8">
      <w:pPr>
        <w:pStyle w:val="FootnoteText"/>
        <w:jc w:val="both"/>
        <w:rPr>
          <w:rFonts w:ascii="Times New Roman" w:hAnsi="Times New Roman" w:cs="Times New Roman"/>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World Bank 2020. Bulgaria Blue Economy Policy Note. Toward a Blue Economy development</w:t>
      </w:r>
    </w:p>
  </w:footnote>
  <w:footnote w:id="32">
    <w:p w14:paraId="10FA0717" w14:textId="77777777" w:rsidR="001B1B03" w:rsidRPr="00E050A8" w:rsidRDefault="001B1B03" w:rsidP="00E050A8">
      <w:pPr>
        <w:pStyle w:val="FootnoteText"/>
        <w:jc w:val="both"/>
        <w:rPr>
          <w:rFonts w:ascii="Times New Roman" w:hAnsi="Times New Roman" w:cs="Times New Roman"/>
          <w:sz w:val="16"/>
          <w:szCs w:val="16"/>
          <w:lang w:val="bg-BG"/>
        </w:rPr>
      </w:pPr>
      <w:r w:rsidRPr="00E050A8">
        <w:rPr>
          <w:rStyle w:val="FootnoteReference"/>
          <w:rFonts w:ascii="Times New Roman" w:hAnsi="Times New Roman" w:cs="Times New Roman"/>
          <w:sz w:val="16"/>
          <w:szCs w:val="16"/>
        </w:rPr>
        <w:footnoteRef/>
      </w:r>
      <w:r w:rsidRPr="00E050A8">
        <w:rPr>
          <w:rFonts w:ascii="Times New Roman" w:hAnsi="Times New Roman" w:cs="Times New Roman"/>
          <w:sz w:val="16"/>
          <w:szCs w:val="16"/>
        </w:rPr>
        <w:t xml:space="preserve"> Eurostat database, https://ec.europa.eu/eurostat/databrowser/view/fish_fleet_alt/default/table?lang=en</w:t>
      </w:r>
    </w:p>
  </w:footnote>
  <w:footnote w:id="33">
    <w:p w14:paraId="62EEB2ED" w14:textId="77777777" w:rsidR="001B1B03" w:rsidRPr="00E050A8" w:rsidRDefault="001B1B03" w:rsidP="00E050A8">
      <w:pPr>
        <w:pStyle w:val="FootnoteText"/>
        <w:jc w:val="both"/>
        <w:rPr>
          <w:rFonts w:ascii="Times New Roman" w:hAnsi="Times New Roman" w:cs="Times New Roman"/>
          <w:sz w:val="16"/>
          <w:szCs w:val="16"/>
          <w:lang w:val="bg-BG"/>
        </w:rPr>
      </w:pPr>
      <w:r w:rsidRPr="00E050A8">
        <w:rPr>
          <w:rStyle w:val="FootnoteReference"/>
          <w:rFonts w:ascii="Times New Roman" w:hAnsi="Times New Roman" w:cs="Times New Roman"/>
          <w:sz w:val="16"/>
          <w:szCs w:val="16"/>
        </w:rPr>
        <w:footnoteRef/>
      </w:r>
      <w:r w:rsidRPr="00E050A8">
        <w:rPr>
          <w:rFonts w:ascii="Times New Roman" w:hAnsi="Times New Roman" w:cs="Times New Roman"/>
          <w:sz w:val="16"/>
          <w:szCs w:val="16"/>
        </w:rPr>
        <w:t xml:space="preserve"> </w:t>
      </w:r>
      <w:r w:rsidRPr="00E050A8">
        <w:rPr>
          <w:rFonts w:ascii="Times New Roman" w:hAnsi="Times New Roman" w:cs="Times New Roman"/>
          <w:sz w:val="16"/>
          <w:szCs w:val="16"/>
          <w:lang w:val="bg-BG"/>
        </w:rPr>
        <w:t xml:space="preserve">Проучвателни дейности </w:t>
      </w:r>
      <w:r w:rsidRPr="00E050A8">
        <w:rPr>
          <w:rFonts w:ascii="Times New Roman" w:hAnsi="Times New Roman" w:cs="Times New Roman"/>
          <w:sz w:val="16"/>
          <w:szCs w:val="16"/>
        </w:rPr>
        <w:t xml:space="preserve">в „Блок 1-14 Хан Кубрат“ </w:t>
      </w:r>
      <w:r w:rsidRPr="00E050A8">
        <w:rPr>
          <w:rFonts w:ascii="Times New Roman" w:hAnsi="Times New Roman" w:cs="Times New Roman"/>
          <w:sz w:val="16"/>
          <w:szCs w:val="16"/>
          <w:lang w:val="bg-BG"/>
        </w:rPr>
        <w:t xml:space="preserve">и „Блок 1-21 Хан Аспарух“ </w:t>
      </w:r>
      <w:r w:rsidRPr="00E050A8" w:rsidDel="00472AEC">
        <w:rPr>
          <w:rFonts w:ascii="Times New Roman" w:hAnsi="Times New Roman" w:cs="Times New Roman"/>
          <w:b/>
          <w:bCs/>
          <w:color w:val="833C0B" w:themeColor="accent2" w:themeShade="80"/>
          <w:sz w:val="16"/>
          <w:szCs w:val="16"/>
          <w:lang w:val="bg-BG"/>
        </w:rPr>
        <w:t>в изключителната икономическа зона (ИИЗ) на Черно море</w:t>
      </w:r>
    </w:p>
  </w:footnote>
  <w:footnote w:id="34">
    <w:p w14:paraId="7A53296D" w14:textId="77777777" w:rsidR="001B1B03" w:rsidRPr="00E050A8" w:rsidRDefault="001B1B03" w:rsidP="00E050A8">
      <w:pPr>
        <w:pStyle w:val="FootnoteText"/>
        <w:jc w:val="both"/>
        <w:rPr>
          <w:rFonts w:ascii="Times New Roman" w:hAnsi="Times New Roman" w:cs="Times New Roman"/>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Проект MARSPLAN – BS II, http://www.marsplan.ro/bg/despre-proiectul-marsplan-%E2%80%93-bs-bg.html</w:t>
      </w:r>
    </w:p>
  </w:footnote>
  <w:footnote w:id="35">
    <w:p w14:paraId="41A7A9D2" w14:textId="77777777" w:rsidR="001B1B03" w:rsidRPr="001B249A" w:rsidRDefault="001B1B03" w:rsidP="00E050A8">
      <w:pPr>
        <w:pStyle w:val="FootnoteText"/>
        <w:jc w:val="both"/>
        <w:rPr>
          <w:rFonts w:ascii="Times New Roman" w:hAnsi="Times New Roman" w:cs="Times New Roman"/>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Планове за управление на речните басейни (ПУРБ), МОСВ, https://www.moew.government.bg/bg/vodi/planove-za-upravlenie/planove-za-upravlenie-na-rechnite-basejni-purb/</w:t>
      </w:r>
    </w:p>
  </w:footnote>
  <w:footnote w:id="36">
    <w:p w14:paraId="582AB0D5" w14:textId="77777777" w:rsidR="001B1B03" w:rsidRPr="00456BFA" w:rsidRDefault="001B1B03" w:rsidP="000532D9">
      <w:pPr>
        <w:pStyle w:val="FootnoteText"/>
        <w:rPr>
          <w:rFonts w:ascii="Times New Roman" w:hAnsi="Times New Roman" w:cs="Times New Roman"/>
          <w:sz w:val="16"/>
          <w:szCs w:val="16"/>
          <w:lang w:val="bg-BG"/>
        </w:rPr>
      </w:pPr>
      <w:r w:rsidRPr="00456BFA">
        <w:rPr>
          <w:rStyle w:val="FootnoteReference"/>
          <w:rFonts w:ascii="Times New Roman" w:hAnsi="Times New Roman" w:cs="Times New Roman"/>
          <w:sz w:val="16"/>
          <w:szCs w:val="16"/>
        </w:rPr>
        <w:footnoteRef/>
      </w:r>
      <w:r w:rsidRPr="00456BFA">
        <w:rPr>
          <w:rFonts w:ascii="Times New Roman" w:hAnsi="Times New Roman" w:cs="Times New Roman"/>
          <w:sz w:val="16"/>
          <w:szCs w:val="16"/>
        </w:rPr>
        <w:t xml:space="preserve"> </w:t>
      </w:r>
      <w:r w:rsidRPr="00456BFA">
        <w:rPr>
          <w:rFonts w:ascii="Times New Roman" w:hAnsi="Times New Roman" w:cs="Times New Roman"/>
          <w:sz w:val="16"/>
          <w:szCs w:val="16"/>
          <w:lang w:val="bg-BG"/>
        </w:rPr>
        <w:t xml:space="preserve">План за управление на речните басейни в Дунавския район 2016 – 2021 г., Раздел 2: Кратък преглед на значимите видове въздействие в резултат от човешката дейност, </w:t>
      </w:r>
      <w:hyperlink r:id="rId10" w:history="1">
        <w:r w:rsidRPr="00456BFA">
          <w:rPr>
            <w:rStyle w:val="Hyperlink"/>
            <w:rFonts w:ascii="Times New Roman" w:hAnsi="Times New Roman" w:cs="Times New Roman"/>
            <w:sz w:val="16"/>
            <w:szCs w:val="16"/>
          </w:rPr>
          <w:t>http://www.bd-dunav.org/uploads/content/files/upravlenie-na-vodite/PURB-2016-2021-final/Razdel-2/Razdel_2.pdf</w:t>
        </w:r>
      </w:hyperlink>
    </w:p>
  </w:footnote>
  <w:footnote w:id="37">
    <w:p w14:paraId="78CEC985" w14:textId="77777777" w:rsidR="001B1B03" w:rsidRPr="00456BFA" w:rsidRDefault="001B1B03" w:rsidP="000532D9">
      <w:pPr>
        <w:pStyle w:val="FootnoteText"/>
        <w:rPr>
          <w:rFonts w:ascii="Times New Roman" w:hAnsi="Times New Roman" w:cs="Times New Roman"/>
          <w:sz w:val="16"/>
          <w:szCs w:val="16"/>
          <w:lang w:val="bg-BG"/>
        </w:rPr>
      </w:pPr>
      <w:r w:rsidRPr="00456BFA">
        <w:rPr>
          <w:rStyle w:val="FootnoteReference"/>
          <w:rFonts w:ascii="Times New Roman" w:hAnsi="Times New Roman" w:cs="Times New Roman"/>
          <w:sz w:val="16"/>
          <w:szCs w:val="16"/>
        </w:rPr>
        <w:footnoteRef/>
      </w:r>
      <w:r w:rsidRPr="00456BFA">
        <w:rPr>
          <w:rFonts w:ascii="Times New Roman" w:hAnsi="Times New Roman" w:cs="Times New Roman"/>
          <w:sz w:val="16"/>
          <w:szCs w:val="16"/>
        </w:rPr>
        <w:t xml:space="preserve"> </w:t>
      </w:r>
      <w:r w:rsidRPr="00456BFA">
        <w:rPr>
          <w:rFonts w:ascii="Times New Roman" w:hAnsi="Times New Roman" w:cs="Times New Roman"/>
          <w:sz w:val="16"/>
          <w:szCs w:val="16"/>
          <w:lang w:val="bg-BG"/>
        </w:rPr>
        <w:t xml:space="preserve">План за управление на речните басейни в Черноморски район за басейново управление на водите (2016 – 2021 г), </w:t>
      </w:r>
      <w:hyperlink r:id="rId11" w:history="1">
        <w:r w:rsidRPr="00456BFA">
          <w:rPr>
            <w:rStyle w:val="Hyperlink"/>
            <w:rFonts w:ascii="Times New Roman" w:hAnsi="Times New Roman" w:cs="Times New Roman"/>
            <w:sz w:val="16"/>
            <w:szCs w:val="16"/>
            <w:lang w:val="bg-BG"/>
          </w:rPr>
          <w:t>https://www.bsbd.org/UserFiles/File/PURB/2016_2021/R2/%D0%A0%D0%B0%D0%B7%D0%B4%D0%B5%D0%BB%202.pdf</w:t>
        </w:r>
      </w:hyperlink>
      <w:r w:rsidRPr="00456BFA">
        <w:rPr>
          <w:rFonts w:ascii="Times New Roman" w:hAnsi="Times New Roman" w:cs="Times New Roman"/>
          <w:sz w:val="16"/>
          <w:szCs w:val="16"/>
          <w:lang w:val="bg-BG"/>
        </w:rPr>
        <w:t xml:space="preserve"> </w:t>
      </w:r>
    </w:p>
  </w:footnote>
  <w:footnote w:id="38">
    <w:p w14:paraId="3015F3F8" w14:textId="77777777" w:rsidR="001B1B03" w:rsidRPr="001B1B03" w:rsidRDefault="001B1B03" w:rsidP="000532D9">
      <w:pPr>
        <w:pStyle w:val="FootnoteText"/>
        <w:rPr>
          <w:rFonts w:ascii="Times New Roman" w:hAnsi="Times New Roman" w:cs="Times New Roman"/>
          <w:sz w:val="16"/>
          <w:szCs w:val="16"/>
          <w:lang w:val="bg-BG"/>
        </w:rPr>
      </w:pPr>
      <w:r w:rsidRPr="001B1B03">
        <w:rPr>
          <w:rStyle w:val="FootnoteReference"/>
          <w:rFonts w:ascii="Times New Roman" w:hAnsi="Times New Roman" w:cs="Times New Roman"/>
          <w:sz w:val="16"/>
          <w:szCs w:val="16"/>
          <w:lang w:val="bg-BG"/>
        </w:rPr>
        <w:footnoteRef/>
      </w:r>
      <w:r w:rsidRPr="001B1B03">
        <w:rPr>
          <w:rFonts w:ascii="Times New Roman" w:hAnsi="Times New Roman" w:cs="Times New Roman"/>
          <w:sz w:val="16"/>
          <w:szCs w:val="16"/>
          <w:lang w:val="bg-BG"/>
        </w:rPr>
        <w:t xml:space="preserve"> Първоначална оценка на състоянието на морската околна среда съгласно чл. 8 от РДМС 2008/56/ЕО)</w:t>
      </w:r>
    </w:p>
  </w:footnote>
  <w:footnote w:id="39">
    <w:p w14:paraId="553D4649" w14:textId="77777777" w:rsidR="001B1B03" w:rsidRPr="00E050A8" w:rsidRDefault="001B1B03" w:rsidP="00E050A8">
      <w:pPr>
        <w:pStyle w:val="FootnoteText"/>
        <w:jc w:val="both"/>
        <w:rPr>
          <w:rFonts w:ascii="Times New Roman" w:hAnsi="Times New Roman" w:cs="Times New Roman"/>
          <w:sz w:val="16"/>
          <w:szCs w:val="16"/>
          <w:lang w:val="bg-BG"/>
        </w:rPr>
      </w:pPr>
      <w:r w:rsidRPr="00E050A8">
        <w:rPr>
          <w:rStyle w:val="FootnoteReference"/>
          <w:rFonts w:ascii="Times New Roman" w:hAnsi="Times New Roman" w:cs="Times New Roman"/>
          <w:sz w:val="16"/>
          <w:szCs w:val="16"/>
        </w:rPr>
        <w:footnoteRef/>
      </w:r>
      <w:r w:rsidRPr="00E050A8">
        <w:rPr>
          <w:rFonts w:ascii="Times New Roman" w:hAnsi="Times New Roman" w:cs="Times New Roman"/>
          <w:sz w:val="16"/>
          <w:szCs w:val="16"/>
        </w:rPr>
        <w:t xml:space="preserve"> </w:t>
      </w:r>
      <w:r w:rsidRPr="00E050A8">
        <w:rPr>
          <w:rFonts w:ascii="Times New Roman" w:hAnsi="Times New Roman" w:cs="Times New Roman"/>
          <w:sz w:val="16"/>
          <w:szCs w:val="16"/>
          <w:lang w:val="bg-BG"/>
        </w:rPr>
        <w:t>План за управление на речните басейни в Източнобеломорски район 2016 – 2021 г., Раздел 2: Кратък преглед на значимите видове натиск и въздействие в резултат от човешката дейност върху състоянието на повърхностните и подземните води, https://earbd.bg/files/File/PURB/PURB%202016-2021%20FINAL/Razdeli_pdf/PART%2002.pdf</w:t>
      </w:r>
    </w:p>
  </w:footnote>
  <w:footnote w:id="40">
    <w:p w14:paraId="2ABE4C84" w14:textId="77777777" w:rsidR="001B1B03" w:rsidRPr="00E050A8" w:rsidRDefault="001B1B03" w:rsidP="000532D9">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rPr>
        <w:footnoteRef/>
      </w:r>
      <w:r w:rsidRPr="00E050A8">
        <w:rPr>
          <w:rFonts w:ascii="Times New Roman" w:hAnsi="Times New Roman" w:cs="Times New Roman"/>
          <w:sz w:val="16"/>
          <w:szCs w:val="16"/>
        </w:rPr>
        <w:t xml:space="preserve"> </w:t>
      </w:r>
      <w:r w:rsidRPr="00E050A8">
        <w:rPr>
          <w:rFonts w:ascii="Times New Roman" w:hAnsi="Times New Roman" w:cs="Times New Roman"/>
          <w:sz w:val="16"/>
          <w:szCs w:val="16"/>
          <w:lang w:val="bg-BG"/>
        </w:rPr>
        <w:t xml:space="preserve">План за управление на речните басейни на Западнобеломорски район (2016 – 2021 г.), Раздел 2: Кратък преглед на значимите видове натиск и въздействие в резултат от човешката дейност върху състоянието на повърхностните и подземните води в Западнобеломорски район, </w:t>
      </w:r>
      <w:hyperlink r:id="rId12" w:history="1">
        <w:r w:rsidRPr="00E050A8">
          <w:rPr>
            <w:rStyle w:val="Hyperlink"/>
            <w:rFonts w:ascii="Times New Roman" w:hAnsi="Times New Roman" w:cs="Times New Roman"/>
            <w:sz w:val="16"/>
            <w:szCs w:val="16"/>
            <w:lang w:val="bg-BG"/>
          </w:rPr>
          <w:t>https://wabd.bg/docs/plans/purb1621/02_Razdel_2_Vidove_Natisk.pdf</w:t>
        </w:r>
      </w:hyperlink>
      <w:r w:rsidRPr="00E050A8">
        <w:rPr>
          <w:rFonts w:ascii="Times New Roman" w:hAnsi="Times New Roman" w:cs="Times New Roman"/>
          <w:sz w:val="16"/>
          <w:szCs w:val="16"/>
          <w:lang w:val="bg-BG"/>
        </w:rPr>
        <w:t xml:space="preserve"> </w:t>
      </w:r>
    </w:p>
  </w:footnote>
  <w:footnote w:id="41">
    <w:p w14:paraId="5DEB6BF0" w14:textId="77777777" w:rsidR="001B1B03" w:rsidRPr="00E050A8" w:rsidRDefault="001B1B03" w:rsidP="0047737A">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rPr>
        <w:footnoteRef/>
      </w:r>
      <w:r w:rsidRPr="00E050A8">
        <w:rPr>
          <w:rFonts w:ascii="Times New Roman" w:hAnsi="Times New Roman" w:cs="Times New Roman"/>
          <w:sz w:val="16"/>
          <w:szCs w:val="16"/>
        </w:rPr>
        <w:t xml:space="preserve"> </w:t>
      </w:r>
      <w:r w:rsidRPr="00E050A8">
        <w:rPr>
          <w:rFonts w:ascii="Times New Roman" w:hAnsi="Times New Roman" w:cs="Times New Roman"/>
          <w:sz w:val="16"/>
          <w:szCs w:val="16"/>
          <w:lang w:val="bg-BG"/>
        </w:rPr>
        <w:t>Национален доклад за състоянието на околната среда, 2018</w:t>
      </w:r>
    </w:p>
  </w:footnote>
  <w:footnote w:id="42">
    <w:p w14:paraId="2B98CF59" w14:textId="77777777" w:rsidR="001B1B03" w:rsidRPr="00E050A8" w:rsidRDefault="001B1B03" w:rsidP="0047737A">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rPr>
        <w:footnoteRef/>
      </w:r>
      <w:r w:rsidRPr="00E050A8">
        <w:rPr>
          <w:rFonts w:ascii="Times New Roman" w:hAnsi="Times New Roman" w:cs="Times New Roman"/>
          <w:sz w:val="16"/>
          <w:szCs w:val="16"/>
        </w:rPr>
        <w:t xml:space="preserve"> </w:t>
      </w:r>
      <w:r w:rsidRPr="00E050A8">
        <w:rPr>
          <w:rFonts w:ascii="Times New Roman" w:hAnsi="Times New Roman" w:cs="Times New Roman"/>
          <w:sz w:val="16"/>
          <w:szCs w:val="16"/>
          <w:lang w:val="bg-BG"/>
        </w:rPr>
        <w:t>Доклад на ЕК за България: Преглед на изпълнението на политиките на ЕС в областта на околната среда от 2019 г.</w:t>
      </w:r>
    </w:p>
  </w:footnote>
  <w:footnote w:id="43">
    <w:p w14:paraId="20575829" w14:textId="77777777" w:rsidR="001B1B03" w:rsidRPr="001B249A" w:rsidRDefault="001B1B03" w:rsidP="0047737A">
      <w:pPr>
        <w:pStyle w:val="FootnoteText"/>
        <w:rPr>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Национален доклад за състоянието на околната среда, 2018</w:t>
      </w:r>
    </w:p>
  </w:footnote>
  <w:footnote w:id="44">
    <w:p w14:paraId="51DDD3AB" w14:textId="77777777" w:rsidR="001B1B03" w:rsidRPr="00E050A8" w:rsidRDefault="001B1B03" w:rsidP="0047737A">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Доклад на ЕК за България: Преглед на изпълнението на политиките на ЕС в областта на околната среда от 2019 г.</w:t>
      </w:r>
    </w:p>
  </w:footnote>
  <w:footnote w:id="45">
    <w:p w14:paraId="460E187E" w14:textId="77777777" w:rsidR="001B1B03" w:rsidRPr="00E050A8" w:rsidRDefault="001B1B03" w:rsidP="0047737A">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Пак там</w:t>
      </w:r>
    </w:p>
  </w:footnote>
  <w:footnote w:id="46">
    <w:p w14:paraId="25CE7DA8" w14:textId="77777777" w:rsidR="001B1B03" w:rsidRPr="00E050A8" w:rsidRDefault="001B1B03" w:rsidP="0047737A">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Национален доклад за състоянието на околната среда, 2018</w:t>
      </w:r>
    </w:p>
  </w:footnote>
  <w:footnote w:id="47">
    <w:p w14:paraId="7DB74E60" w14:textId="77777777" w:rsidR="001B1B03" w:rsidRPr="00E050A8" w:rsidRDefault="001B1B03" w:rsidP="0047737A">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rPr>
        <w:footnoteRef/>
      </w:r>
      <w:r w:rsidRPr="00E050A8">
        <w:rPr>
          <w:rFonts w:ascii="Times New Roman" w:hAnsi="Times New Roman" w:cs="Times New Roman"/>
          <w:sz w:val="16"/>
          <w:szCs w:val="16"/>
        </w:rPr>
        <w:t xml:space="preserve"> </w:t>
      </w:r>
      <w:r w:rsidRPr="00E050A8">
        <w:rPr>
          <w:rFonts w:ascii="Times New Roman" w:hAnsi="Times New Roman" w:cs="Times New Roman"/>
          <w:sz w:val="16"/>
          <w:szCs w:val="16"/>
          <w:lang w:val="bg-BG"/>
        </w:rPr>
        <w:t>Доклад на ЕК за България: Преглед на изпълнението на политиките на ЕС в областта на околната среда от 2019 г.</w:t>
      </w:r>
    </w:p>
    <w:p w14:paraId="7C46A97D" w14:textId="77777777" w:rsidR="001B1B03" w:rsidRPr="001C204F" w:rsidRDefault="001B1B03" w:rsidP="0047737A">
      <w:pPr>
        <w:pStyle w:val="FootnoteText"/>
        <w:rPr>
          <w:lang w:val="bg-BG"/>
        </w:rPr>
      </w:pPr>
    </w:p>
  </w:footnote>
  <w:footnote w:id="48">
    <w:p w14:paraId="3DE120EA" w14:textId="77777777" w:rsidR="001B1B03" w:rsidRPr="00E050A8" w:rsidRDefault="001B1B03" w:rsidP="0047737A">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Доклад на ЕК за България: Преглед на изпълнението на политиките на ЕС в областта на околната среда от 2019 г.</w:t>
      </w:r>
    </w:p>
  </w:footnote>
  <w:footnote w:id="49">
    <w:p w14:paraId="00B87845" w14:textId="77777777" w:rsidR="001B1B03" w:rsidRPr="00E050A8" w:rsidRDefault="001B1B03" w:rsidP="0047737A">
      <w:pPr>
        <w:pStyle w:val="FootnoteText"/>
        <w:rPr>
          <w:rFonts w:ascii="Times New Roman" w:hAnsi="Times New Roman" w:cs="Times New Roman"/>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Национален доклад за състоянието на околната среда, 2018</w:t>
      </w:r>
    </w:p>
  </w:footnote>
  <w:footnote w:id="50">
    <w:p w14:paraId="3FEA9894" w14:textId="77777777" w:rsidR="001B1B03" w:rsidRPr="00E050A8" w:rsidRDefault="001B1B03" w:rsidP="0047737A">
      <w:pPr>
        <w:autoSpaceDE w:val="0"/>
        <w:autoSpaceDN w:val="0"/>
        <w:adjustRightInd w:val="0"/>
        <w:spacing w:after="0" w:line="240" w:lineRule="auto"/>
        <w:rPr>
          <w:rFonts w:ascii="Times New Roman" w:hAnsi="Times New Roman" w:cs="Times New Roman"/>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w:t>
      </w:r>
      <w:r w:rsidRPr="00E050A8">
        <w:rPr>
          <w:rFonts w:ascii="Times New Roman" w:hAnsi="Times New Roman" w:cs="Times New Roman"/>
          <w:color w:val="000000"/>
          <w:sz w:val="16"/>
          <w:szCs w:val="16"/>
          <w:lang w:val="bg-BG"/>
        </w:rPr>
        <w:t xml:space="preserve">Tsiamis K; Gervasini E; Deriu I; D'amico F; Nunes A; Addamo A; DeJesus Cardoso A. </w:t>
      </w:r>
      <w:r w:rsidRPr="00E050A8">
        <w:rPr>
          <w:rFonts w:ascii="Times New Roman" w:hAnsi="Times New Roman" w:cs="Times New Roman"/>
          <w:color w:val="0000FF"/>
          <w:sz w:val="16"/>
          <w:szCs w:val="16"/>
          <w:lang w:val="bg-BG"/>
        </w:rPr>
        <w:t xml:space="preserve">Baseline Distribution of Invasive Alien Species of Union concern </w:t>
      </w:r>
      <w:r w:rsidRPr="00E050A8">
        <w:rPr>
          <w:rFonts w:ascii="Times New Roman" w:hAnsi="Times New Roman" w:cs="Times New Roman"/>
          <w:color w:val="000000"/>
          <w:sz w:val="16"/>
          <w:szCs w:val="16"/>
          <w:lang w:val="bg-BG"/>
        </w:rPr>
        <w:t xml:space="preserve">(Базово разпределение на инвазивните чужди видове, които засягат Съюза). </w:t>
      </w:r>
      <w:r w:rsidRPr="00E050A8">
        <w:rPr>
          <w:rFonts w:ascii="Times New Roman" w:hAnsi="Times New Roman" w:cs="Times New Roman"/>
          <w:color w:val="0000FF"/>
          <w:sz w:val="16"/>
          <w:szCs w:val="16"/>
          <w:lang w:val="bg-BG"/>
        </w:rPr>
        <w:t>Испра (Италия), Служба за публикации на Европейския съюз</w:t>
      </w:r>
      <w:r w:rsidRPr="00E050A8">
        <w:rPr>
          <w:rFonts w:ascii="Times New Roman" w:hAnsi="Times New Roman" w:cs="Times New Roman"/>
          <w:color w:val="000000"/>
          <w:sz w:val="16"/>
          <w:szCs w:val="16"/>
          <w:lang w:val="bg-BG"/>
        </w:rPr>
        <w:t>; 2017 г., EUR 28596 EN, doi:10.2760/772692.</w:t>
      </w:r>
    </w:p>
  </w:footnote>
  <w:footnote w:id="51">
    <w:p w14:paraId="25EC315F" w14:textId="77777777" w:rsidR="001B1B03" w:rsidRPr="00456BFA" w:rsidRDefault="001B1B03" w:rsidP="0047737A">
      <w:pPr>
        <w:pStyle w:val="FootnoteText"/>
        <w:rPr>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Морска стратегия за опазване на околната среда в морските води на Република България</w:t>
      </w:r>
    </w:p>
  </w:footnote>
  <w:footnote w:id="52">
    <w:p w14:paraId="712ED304" w14:textId="77777777" w:rsidR="001B1B03" w:rsidRPr="00456BFA" w:rsidRDefault="001B1B03" w:rsidP="0047737A">
      <w:pPr>
        <w:pStyle w:val="FootnoteText"/>
        <w:rPr>
          <w:sz w:val="16"/>
          <w:szCs w:val="16"/>
          <w:lang w:val="bg-BG"/>
        </w:rPr>
      </w:pPr>
      <w:r w:rsidRPr="00456BFA">
        <w:rPr>
          <w:rStyle w:val="FootnoteReference"/>
          <w:sz w:val="16"/>
          <w:szCs w:val="16"/>
          <w:lang w:val="bg-BG"/>
        </w:rPr>
        <w:footnoteRef/>
      </w:r>
      <w:r w:rsidRPr="00456BFA">
        <w:rPr>
          <w:sz w:val="16"/>
          <w:szCs w:val="16"/>
          <w:lang w:val="bg-BG"/>
        </w:rPr>
        <w:t xml:space="preserve"> </w:t>
      </w:r>
      <w:r w:rsidRPr="00456BFA">
        <w:rPr>
          <w:rFonts w:ascii="Times New Roman" w:hAnsi="Times New Roman" w:cs="Times New Roman"/>
          <w:sz w:val="16"/>
          <w:szCs w:val="16"/>
          <w:lang w:val="bg-BG"/>
        </w:rPr>
        <w:t>Доклад на ЕК за България: Преглед на изпълнението на политиките на ЕС в областта на околната среда от 2019 г.</w:t>
      </w:r>
    </w:p>
  </w:footnote>
  <w:footnote w:id="53">
    <w:p w14:paraId="2C622190" w14:textId="77777777" w:rsidR="001B1B03" w:rsidRPr="00456BFA" w:rsidRDefault="001B1B03" w:rsidP="0047737A">
      <w:pPr>
        <w:autoSpaceDE w:val="0"/>
        <w:autoSpaceDN w:val="0"/>
        <w:adjustRightInd w:val="0"/>
        <w:spacing w:after="0" w:line="240" w:lineRule="auto"/>
        <w:rPr>
          <w:rFonts w:ascii="Times New Roman" w:hAnsi="Times New Roman" w:cs="Times New Roman"/>
          <w:sz w:val="16"/>
          <w:szCs w:val="16"/>
          <w:lang w:val="bg-BG"/>
        </w:rPr>
      </w:pPr>
      <w:r w:rsidRPr="00456BFA">
        <w:rPr>
          <w:rStyle w:val="FootnoteReference"/>
          <w:rFonts w:ascii="Times New Roman" w:hAnsi="Times New Roman" w:cs="Times New Roman"/>
          <w:sz w:val="16"/>
          <w:szCs w:val="16"/>
          <w:lang w:val="bg-BG"/>
        </w:rPr>
        <w:footnoteRef/>
      </w:r>
      <w:r w:rsidRPr="00456BFA">
        <w:rPr>
          <w:rFonts w:ascii="Times New Roman" w:hAnsi="Times New Roman" w:cs="Times New Roman"/>
          <w:sz w:val="16"/>
          <w:szCs w:val="16"/>
          <w:lang w:val="bg-BG"/>
        </w:rPr>
        <w:t xml:space="preserve"> 2019 Europe sustainable development report. Towards a strategy for achieving the Sustainable Development Goals in the European Union</w:t>
      </w:r>
    </w:p>
  </w:footnote>
  <w:footnote w:id="54">
    <w:p w14:paraId="79E7B027" w14:textId="2AC24447" w:rsidR="001B1B03" w:rsidRPr="00456BFA" w:rsidRDefault="001B1B03" w:rsidP="00456BFA">
      <w:pPr>
        <w:spacing w:after="0" w:line="240" w:lineRule="auto"/>
        <w:contextualSpacing/>
        <w:jc w:val="both"/>
        <w:rPr>
          <w:rFonts w:ascii="Times New Roman" w:hAnsi="Times New Roman" w:cs="Times New Roman"/>
          <w:bCs/>
          <w:sz w:val="16"/>
          <w:szCs w:val="16"/>
          <w:lang w:val="bg-BG"/>
        </w:rPr>
      </w:pPr>
      <w:r w:rsidRPr="00456BFA">
        <w:rPr>
          <w:rStyle w:val="FootnoteReference"/>
          <w:rFonts w:ascii="Times New Roman" w:hAnsi="Times New Roman" w:cs="Times New Roman"/>
          <w:sz w:val="16"/>
          <w:szCs w:val="16"/>
          <w:lang w:val="bg-BG"/>
        </w:rPr>
        <w:footnoteRef/>
      </w:r>
      <w:r w:rsidRPr="00456BFA">
        <w:rPr>
          <w:rFonts w:ascii="Times New Roman" w:hAnsi="Times New Roman" w:cs="Times New Roman"/>
          <w:sz w:val="16"/>
          <w:szCs w:val="16"/>
          <w:lang w:val="bg-BG"/>
        </w:rPr>
        <w:t xml:space="preserve"> </w:t>
      </w:r>
      <w:r w:rsidRPr="00456BFA">
        <w:rPr>
          <w:rFonts w:ascii="Times New Roman" w:eastAsia="Times New Roman" w:hAnsi="Times New Roman" w:cs="Times New Roman"/>
          <w:kern w:val="28"/>
          <w:sz w:val="16"/>
          <w:szCs w:val="16"/>
          <w:lang w:val="bg-BG"/>
        </w:rPr>
        <w:t xml:space="preserve">Оценка на сектор „Биологично разнообразие и екосистеми“, </w:t>
      </w:r>
      <w:r w:rsidRPr="00456BFA">
        <w:rPr>
          <w:rFonts w:ascii="Times New Roman" w:eastAsia="Times New Roman" w:hAnsi="Times New Roman" w:cs="Times New Roman"/>
          <w:bCs/>
          <w:spacing w:val="-10"/>
          <w:kern w:val="28"/>
          <w:sz w:val="16"/>
          <w:szCs w:val="16"/>
          <w:lang w:val="bg-BG"/>
        </w:rPr>
        <w:t xml:space="preserve">Консултантски услуги по Национална стратегия и </w:t>
      </w:r>
      <w:r w:rsidRPr="00456BFA">
        <w:rPr>
          <w:rFonts w:ascii="Times New Roman" w:eastAsia="Times New Roman" w:hAnsi="Times New Roman" w:cs="Times New Roman"/>
          <w:bCs/>
          <w:spacing w:val="-10"/>
          <w:kern w:val="28"/>
          <w:sz w:val="16"/>
          <w:szCs w:val="16"/>
          <w:lang w:val="bg-BG"/>
        </w:rPr>
        <w:br/>
        <w:t>План за действие за адаптация към изменението на климата</w:t>
      </w:r>
      <w:r w:rsidRPr="00456BFA">
        <w:rPr>
          <w:rFonts w:ascii="Times New Roman" w:eastAsia="Times New Roman" w:hAnsi="Times New Roman" w:cs="Times New Roman"/>
          <w:bCs/>
          <w:kern w:val="28"/>
          <w:sz w:val="16"/>
          <w:szCs w:val="16"/>
          <w:lang w:val="bg-BG"/>
        </w:rPr>
        <w:t xml:space="preserve">  </w:t>
      </w:r>
    </w:p>
  </w:footnote>
  <w:footnote w:id="55">
    <w:p w14:paraId="6930B907" w14:textId="207DA143" w:rsidR="001B1B03" w:rsidRPr="00E050A8" w:rsidRDefault="001B1B03" w:rsidP="00066EFE">
      <w:pPr>
        <w:rPr>
          <w:rFonts w:ascii="Times New Roman" w:hAnsi="Times New Roman" w:cs="Times New Roman"/>
          <w:sz w:val="16"/>
          <w:szCs w:val="16"/>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The European environment – State and outlook 2020</w:t>
      </w:r>
    </w:p>
  </w:footnote>
  <w:footnote w:id="56">
    <w:p w14:paraId="0D373CBA" w14:textId="77777777" w:rsidR="001B1B03" w:rsidRPr="001B249A" w:rsidRDefault="001B1B03" w:rsidP="004E05D3">
      <w:pPr>
        <w:pStyle w:val="FootnoteText"/>
        <w:rPr>
          <w:lang w:val="bg-BG"/>
        </w:rPr>
      </w:pPr>
      <w:r w:rsidRPr="00E050A8">
        <w:rPr>
          <w:rStyle w:val="FootnoteReference"/>
          <w:rFonts w:ascii="Times New Roman" w:hAnsi="Times New Roman" w:cs="Times New Roman"/>
          <w:sz w:val="16"/>
          <w:szCs w:val="16"/>
          <w:lang w:val="bg-BG"/>
        </w:rPr>
        <w:footnoteRef/>
      </w:r>
      <w:r w:rsidRPr="00E050A8">
        <w:rPr>
          <w:rFonts w:ascii="Times New Roman" w:hAnsi="Times New Roman" w:cs="Times New Roman"/>
          <w:sz w:val="16"/>
          <w:szCs w:val="16"/>
          <w:lang w:val="bg-BG"/>
        </w:rPr>
        <w:t xml:space="preserve"> ЕEA, 2019, The European environment – state and outlook 2020.Knowledge and transition to a sustainable Europe</w:t>
      </w:r>
    </w:p>
  </w:footnote>
  <w:footnote w:id="57">
    <w:p w14:paraId="65A6FD7C" w14:textId="77777777" w:rsidR="001B1B03" w:rsidRPr="00E050A8" w:rsidRDefault="001B1B03" w:rsidP="00E050A8">
      <w:pPr>
        <w:pStyle w:val="FootnoteText"/>
        <w:jc w:val="both"/>
        <w:rPr>
          <w:rFonts w:ascii="Times New Roman" w:hAnsi="Times New Roman" w:cs="Times New Roman"/>
          <w:sz w:val="16"/>
          <w:szCs w:val="16"/>
          <w:lang w:val="bg-BG"/>
        </w:rPr>
      </w:pPr>
      <w:r w:rsidRPr="00E050A8">
        <w:rPr>
          <w:rStyle w:val="FootnoteReference"/>
          <w:rFonts w:ascii="Times New Roman" w:hAnsi="Times New Roman" w:cs="Times New Roman"/>
          <w:sz w:val="16"/>
          <w:szCs w:val="16"/>
        </w:rPr>
        <w:footnoteRef/>
      </w:r>
      <w:r w:rsidRPr="00E050A8">
        <w:rPr>
          <w:rFonts w:ascii="Times New Roman" w:hAnsi="Times New Roman" w:cs="Times New Roman"/>
          <w:sz w:val="16"/>
          <w:szCs w:val="16"/>
        </w:rPr>
        <w:t xml:space="preserve"> </w:t>
      </w:r>
      <w:bookmarkStart w:id="49" w:name="_Hlk71253097"/>
      <w:r w:rsidRPr="00E050A8">
        <w:rPr>
          <w:rFonts w:ascii="Times New Roman" w:hAnsi="Times New Roman" w:cs="Times New Roman"/>
          <w:sz w:val="16"/>
          <w:szCs w:val="16"/>
          <w:lang w:val="bg-BG"/>
        </w:rPr>
        <w:t>Доклад на ЕК за България. Преглед на изпълнението на политиките за околната среда 2019,</w:t>
      </w:r>
      <w:bookmarkEnd w:id="49"/>
      <w:r w:rsidRPr="00E050A8">
        <w:rPr>
          <w:rFonts w:ascii="Times New Roman" w:hAnsi="Times New Roman" w:cs="Times New Roman"/>
          <w:sz w:val="16"/>
          <w:szCs w:val="16"/>
          <w:lang w:val="bg-BG" w:eastAsia="bg-BG"/>
        </w:rPr>
        <w:t xml:space="preserve"> </w:t>
      </w:r>
      <w:r w:rsidRPr="00E050A8">
        <w:rPr>
          <w:rFonts w:ascii="Times New Roman" w:hAnsi="Times New Roman" w:cs="Times New Roman"/>
          <w:sz w:val="16"/>
          <w:szCs w:val="16"/>
          <w:lang w:val="bg-BG"/>
        </w:rPr>
        <w:t>https://</w:t>
      </w:r>
      <w:r w:rsidRPr="00E050A8">
        <w:rPr>
          <w:rFonts w:ascii="Times New Roman" w:hAnsi="Times New Roman" w:cs="Times New Roman"/>
          <w:noProof/>
          <w:sz w:val="16"/>
          <w:szCs w:val="16"/>
          <w:lang w:val="bg-BG"/>
        </w:rPr>
        <w:t xml:space="preserve"> </w:t>
      </w:r>
      <w:r w:rsidRPr="00E050A8">
        <w:rPr>
          <w:rFonts w:ascii="Times New Roman" w:hAnsi="Times New Roman" w:cs="Times New Roman"/>
          <w:sz w:val="16"/>
          <w:szCs w:val="16"/>
          <w:lang w:val="bg-BG"/>
        </w:rPr>
        <w:t>ec.europa.eu/environment/eir/pdf/report_bg_bg.pdf</w:t>
      </w:r>
    </w:p>
    <w:p w14:paraId="52576D3D" w14:textId="77777777" w:rsidR="001B1B03" w:rsidRPr="001C204F" w:rsidRDefault="001B1B03" w:rsidP="004E05D3">
      <w:pPr>
        <w:pStyle w:val="FootnoteText"/>
        <w:rPr>
          <w:lang w:val="bg-BG"/>
        </w:rPr>
      </w:pPr>
    </w:p>
  </w:footnote>
  <w:footnote w:id="58">
    <w:p w14:paraId="36611DC9" w14:textId="58372E73" w:rsidR="001B1B03" w:rsidRPr="00456BFA" w:rsidRDefault="001B1B03">
      <w:pPr>
        <w:pStyle w:val="FootnoteText"/>
        <w:rPr>
          <w:rFonts w:ascii="Times New Roman" w:hAnsi="Times New Roman" w:cs="Times New Roman"/>
          <w:sz w:val="16"/>
          <w:szCs w:val="16"/>
          <w:lang w:val="bg-BG"/>
        </w:rPr>
      </w:pPr>
      <w:r w:rsidRPr="00456BFA">
        <w:rPr>
          <w:rStyle w:val="FootnoteReference"/>
          <w:rFonts w:ascii="Times New Roman" w:hAnsi="Times New Roman" w:cs="Times New Roman"/>
          <w:sz w:val="16"/>
          <w:szCs w:val="16"/>
        </w:rPr>
        <w:footnoteRef/>
      </w:r>
      <w:r w:rsidRPr="00456BFA">
        <w:rPr>
          <w:rFonts w:ascii="Times New Roman" w:hAnsi="Times New Roman" w:cs="Times New Roman"/>
          <w:sz w:val="16"/>
          <w:szCs w:val="16"/>
        </w:rPr>
        <w:t xml:space="preserve"> </w:t>
      </w:r>
      <w:r w:rsidRPr="00456BFA">
        <w:rPr>
          <w:rFonts w:ascii="Times New Roman" w:hAnsi="Times New Roman" w:cs="Times New Roman"/>
          <w:sz w:val="16"/>
          <w:szCs w:val="16"/>
          <w:lang w:val="bg-BG"/>
        </w:rPr>
        <w:t>Пак там</w:t>
      </w:r>
    </w:p>
  </w:footnote>
  <w:footnote w:id="59">
    <w:p w14:paraId="6926EF05" w14:textId="0F82643E" w:rsidR="001B1B03" w:rsidRPr="00456BFA" w:rsidRDefault="001B1B03">
      <w:pPr>
        <w:pStyle w:val="FootnoteText"/>
        <w:rPr>
          <w:rFonts w:ascii="Times New Roman" w:hAnsi="Times New Roman" w:cs="Times New Roman"/>
          <w:sz w:val="16"/>
          <w:szCs w:val="16"/>
        </w:rPr>
      </w:pPr>
      <w:r w:rsidRPr="00456BFA">
        <w:rPr>
          <w:rStyle w:val="FootnoteReference"/>
          <w:rFonts w:ascii="Times New Roman" w:hAnsi="Times New Roman" w:cs="Times New Roman"/>
          <w:sz w:val="16"/>
          <w:szCs w:val="16"/>
        </w:rPr>
        <w:footnoteRef/>
      </w:r>
      <w:r w:rsidRPr="00456BFA">
        <w:rPr>
          <w:rFonts w:ascii="Times New Roman" w:hAnsi="Times New Roman" w:cs="Times New Roman"/>
          <w:sz w:val="16"/>
          <w:szCs w:val="16"/>
        </w:rPr>
        <w:t xml:space="preserve"> United Nations Economic Commission for Europe, Environmental Performance reviews. Bulgari</w:t>
      </w:r>
      <w:r w:rsidRPr="00456BFA">
        <w:rPr>
          <w:rFonts w:ascii="Times New Roman" w:hAnsi="Times New Roman" w:cs="Times New Roman"/>
          <w:sz w:val="16"/>
          <w:szCs w:val="16"/>
          <w:lang w:val="bg-BG"/>
        </w:rPr>
        <w:t>а</w:t>
      </w:r>
      <w:r w:rsidRPr="00456BFA">
        <w:rPr>
          <w:rFonts w:ascii="Times New Roman" w:hAnsi="Times New Roman" w:cs="Times New Roman"/>
          <w:sz w:val="16"/>
          <w:szCs w:val="16"/>
        </w:rPr>
        <w:t>, 2017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D63D5F" w14:textId="2AED9987" w:rsidR="001B1B03" w:rsidRDefault="001B1B03" w:rsidP="006F34D7">
    <w:pPr>
      <w:tabs>
        <w:tab w:val="left" w:pos="2618"/>
        <w:tab w:val="left" w:pos="4376"/>
        <w:tab w:val="center" w:pos="4680"/>
        <w:tab w:val="right" w:pos="9360"/>
      </w:tabs>
      <w:spacing w:after="0" w:line="240" w:lineRule="auto"/>
      <w:rPr>
        <w:rFonts w:ascii="Calibri" w:eastAsia="Calibri" w:hAnsi="Calibri" w:cs="Times New Roman"/>
        <w:b/>
        <w:lang w:eastAsia="bg-BG"/>
      </w:rPr>
    </w:pPr>
    <w:r>
      <w:rPr>
        <w:rFonts w:ascii="Calibri" w:eastAsia="Calibri" w:hAnsi="Calibri" w:cs="Times New Roman"/>
        <w:noProof/>
        <w:lang w:val="bg-BG" w:eastAsia="bg-BG"/>
      </w:rPr>
      <w:drawing>
        <wp:inline distT="0" distB="0" distL="0" distR="0" wp14:anchorId="1B825ED1" wp14:editId="31CD4570">
          <wp:extent cx="1874520" cy="7848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4520" cy="784860"/>
                  </a:xfrm>
                  <a:prstGeom prst="rect">
                    <a:avLst/>
                  </a:prstGeom>
                  <a:noFill/>
                  <a:ln>
                    <a:noFill/>
                  </a:ln>
                </pic:spPr>
              </pic:pic>
            </a:graphicData>
          </a:graphic>
        </wp:inline>
      </w:drawing>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noProof/>
        <w:lang w:val="bg-BG" w:eastAsia="bg-BG"/>
      </w:rPr>
      <w:drawing>
        <wp:inline distT="0" distB="0" distL="0" distR="0" wp14:anchorId="737C2CF9" wp14:editId="0027FE7E">
          <wp:extent cx="1927860" cy="876300"/>
          <wp:effectExtent l="0" t="0" r="0" b="0"/>
          <wp:docPr id="2" name="Picture 2" descr="logo-bg-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bg-right"/>
                  <pic:cNvPicPr>
                    <a:picLocks noChangeAspect="1" noChangeArrowheads="1"/>
                  </pic:cNvPicPr>
                </pic:nvPicPr>
                <pic:blipFill>
                  <a:blip r:embed="rId2">
                    <a:extLst>
                      <a:ext uri="{28A0092B-C50C-407E-A947-70E740481C1C}">
                        <a14:useLocalDpi xmlns:a14="http://schemas.microsoft.com/office/drawing/2010/main" val="0"/>
                      </a:ext>
                    </a:extLst>
                  </a:blip>
                  <a:srcRect r="7172"/>
                  <a:stretch>
                    <a:fillRect/>
                  </a:stretch>
                </pic:blipFill>
                <pic:spPr bwMode="auto">
                  <a:xfrm>
                    <a:off x="0" y="0"/>
                    <a:ext cx="1927860" cy="8763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B2400A"/>
    <w:multiLevelType w:val="hybridMultilevel"/>
    <w:tmpl w:val="D4765BC6"/>
    <w:lvl w:ilvl="0" w:tplc="CAFCC8CE">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165945"/>
    <w:multiLevelType w:val="multilevel"/>
    <w:tmpl w:val="021E9BE0"/>
    <w:styleLink w:val="LFO2"/>
    <w:lvl w:ilvl="0">
      <w:numFmt w:val="bullet"/>
      <w:pStyle w:val="a"/>
      <w:lvlText w:val=""/>
      <w:lvlJc w:val="left"/>
      <w:pPr>
        <w:ind w:left="36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 w15:restartNumberingAfterBreak="0">
    <w:nsid w:val="11A52D13"/>
    <w:multiLevelType w:val="hybridMultilevel"/>
    <w:tmpl w:val="F40C164A"/>
    <w:lvl w:ilvl="0" w:tplc="CAFCC8CE">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181E89"/>
    <w:multiLevelType w:val="hybridMultilevel"/>
    <w:tmpl w:val="7C88F258"/>
    <w:lvl w:ilvl="0" w:tplc="0466FD9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0F28E2"/>
    <w:multiLevelType w:val="multilevel"/>
    <w:tmpl w:val="20BAE2FE"/>
    <w:lvl w:ilvl="0">
      <w:start w:val="1"/>
      <w:numFmt w:val="decimal"/>
      <w:lvlText w:val="%1."/>
      <w:lvlJc w:val="left"/>
      <w:pPr>
        <w:ind w:left="72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4AE16D9C"/>
    <w:multiLevelType w:val="hybridMultilevel"/>
    <w:tmpl w:val="7E923CA6"/>
    <w:lvl w:ilvl="0" w:tplc="CAFCC8CE">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5"/>
  </w:num>
  <w:num w:numId="4">
    <w:abstractNumId w:val="0"/>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32D9"/>
    <w:rsid w:val="000133F2"/>
    <w:rsid w:val="000509D1"/>
    <w:rsid w:val="000532D9"/>
    <w:rsid w:val="00066EFE"/>
    <w:rsid w:val="00080F33"/>
    <w:rsid w:val="000A5D8A"/>
    <w:rsid w:val="000F33FB"/>
    <w:rsid w:val="001858D8"/>
    <w:rsid w:val="001B1B03"/>
    <w:rsid w:val="001B2F36"/>
    <w:rsid w:val="001D23BD"/>
    <w:rsid w:val="00200665"/>
    <w:rsid w:val="00262045"/>
    <w:rsid w:val="00293C39"/>
    <w:rsid w:val="00297AA2"/>
    <w:rsid w:val="002A6465"/>
    <w:rsid w:val="00321A29"/>
    <w:rsid w:val="003D0487"/>
    <w:rsid w:val="00456BFA"/>
    <w:rsid w:val="004633C5"/>
    <w:rsid w:val="00470C8D"/>
    <w:rsid w:val="004710D6"/>
    <w:rsid w:val="0047737A"/>
    <w:rsid w:val="004D101C"/>
    <w:rsid w:val="004E05D3"/>
    <w:rsid w:val="005056B5"/>
    <w:rsid w:val="0052125B"/>
    <w:rsid w:val="00576F37"/>
    <w:rsid w:val="0059539F"/>
    <w:rsid w:val="0064043E"/>
    <w:rsid w:val="00644192"/>
    <w:rsid w:val="00677412"/>
    <w:rsid w:val="006C207B"/>
    <w:rsid w:val="006C58AA"/>
    <w:rsid w:val="006F34D7"/>
    <w:rsid w:val="006F34E3"/>
    <w:rsid w:val="006F799F"/>
    <w:rsid w:val="00712974"/>
    <w:rsid w:val="00714CF7"/>
    <w:rsid w:val="007973B1"/>
    <w:rsid w:val="008309EA"/>
    <w:rsid w:val="008663D3"/>
    <w:rsid w:val="008854ED"/>
    <w:rsid w:val="009057BA"/>
    <w:rsid w:val="00905B24"/>
    <w:rsid w:val="00995D02"/>
    <w:rsid w:val="009A5CB2"/>
    <w:rsid w:val="009B333C"/>
    <w:rsid w:val="009F40E9"/>
    <w:rsid w:val="00A6097C"/>
    <w:rsid w:val="00A61194"/>
    <w:rsid w:val="00A677EF"/>
    <w:rsid w:val="00AF6CF5"/>
    <w:rsid w:val="00B33B72"/>
    <w:rsid w:val="00B55FDF"/>
    <w:rsid w:val="00B84564"/>
    <w:rsid w:val="00B9026C"/>
    <w:rsid w:val="00BB7E8B"/>
    <w:rsid w:val="00C01CB0"/>
    <w:rsid w:val="00C61707"/>
    <w:rsid w:val="00C75CB7"/>
    <w:rsid w:val="00C84E1F"/>
    <w:rsid w:val="00C97612"/>
    <w:rsid w:val="00CB7A3D"/>
    <w:rsid w:val="00CC3E25"/>
    <w:rsid w:val="00CC7432"/>
    <w:rsid w:val="00CE675C"/>
    <w:rsid w:val="00D1686C"/>
    <w:rsid w:val="00D22DFE"/>
    <w:rsid w:val="00D33B4E"/>
    <w:rsid w:val="00D40FC0"/>
    <w:rsid w:val="00D71370"/>
    <w:rsid w:val="00DB3BE6"/>
    <w:rsid w:val="00DD310F"/>
    <w:rsid w:val="00DE211C"/>
    <w:rsid w:val="00E050A8"/>
    <w:rsid w:val="00E10BD2"/>
    <w:rsid w:val="00E15F8F"/>
    <w:rsid w:val="00E22DC9"/>
    <w:rsid w:val="00E61B75"/>
    <w:rsid w:val="00F24B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E0F038"/>
  <w15:docId w15:val="{BEACAC77-A46F-4FE4-AF70-CF23AF292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32D9"/>
  </w:style>
  <w:style w:type="paragraph" w:styleId="Heading1">
    <w:name w:val="heading 1"/>
    <w:basedOn w:val="Normal"/>
    <w:next w:val="Normal"/>
    <w:link w:val="Heading1Char"/>
    <w:uiPriority w:val="9"/>
    <w:qFormat/>
    <w:rsid w:val="006F34D7"/>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6F34D7"/>
    <w:pPr>
      <w:keepNext/>
      <w:keepLines/>
      <w:spacing w:before="40" w:after="0"/>
      <w:outlineLvl w:val="1"/>
    </w:pPr>
    <w:rPr>
      <w:rFonts w:ascii="Times New Roman" w:eastAsiaTheme="majorEastAsia" w:hAnsi="Times New Roman" w:cs="Times New Roman"/>
      <w:b/>
      <w:bCs/>
      <w:color w:val="2F5496" w:themeColor="accent1" w:themeShade="BF"/>
      <w:sz w:val="24"/>
      <w:szCs w:val="24"/>
      <w:lang w:val="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nhideWhenUsed/>
    <w:rsid w:val="000532D9"/>
    <w:pPr>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aliases w:val="Footnote Text Char Char Char Char Char Char,fn,single space,FOOTNOTES,Footnote Text Char Char,ft,Texto nota pie Car,Footnote Text Char1,Fußnotentext Char,Fußnotentext arial,ALTS FOOTNOTE,ADB,pod carou,Footnote text,Fußnotentextf,f, Char"/>
    <w:basedOn w:val="Normal"/>
    <w:link w:val="FootnoteTextChar"/>
    <w:unhideWhenUsed/>
    <w:qFormat/>
    <w:rsid w:val="000532D9"/>
    <w:pPr>
      <w:spacing w:after="0" w:line="240" w:lineRule="auto"/>
    </w:pPr>
    <w:rPr>
      <w:sz w:val="20"/>
      <w:szCs w:val="20"/>
    </w:rPr>
  </w:style>
  <w:style w:type="character" w:customStyle="1" w:styleId="FootnoteTextChar">
    <w:name w:val="Footnote Text Char"/>
    <w:aliases w:val="Footnote Text Char Char Char Char Char Char Char,fn Char,single space Char,FOOTNOTES Char,Footnote Text Char Char Char,ft Char,Texto nota pie Car Char,Footnote Text Char1 Char,Fußnotentext Char Char,Fußnotentext arial Char,ADB Char"/>
    <w:basedOn w:val="DefaultParagraphFont"/>
    <w:link w:val="FootnoteText"/>
    <w:qFormat/>
    <w:rsid w:val="000532D9"/>
    <w:rPr>
      <w:sz w:val="20"/>
      <w:szCs w:val="20"/>
    </w:rPr>
  </w:style>
  <w:style w:type="character" w:styleId="FootnoteReference">
    <w:name w:val="footnote reference"/>
    <w:aliases w:val="Footnote symbol,Footnote Reference Superscript,BVI fnr,Footnote call,SUPERS,(Footnote Reference),Footnote,Voetnootverwijzing,Times 10 Point,Exposant 3 Point,Footnote reference number,note TESI,Footnotes refss,number,stylish,16 Point"/>
    <w:basedOn w:val="DefaultParagraphFont"/>
    <w:link w:val="CharCharCharCharCarChar"/>
    <w:unhideWhenUsed/>
    <w:qFormat/>
    <w:rsid w:val="000532D9"/>
    <w:rPr>
      <w:vertAlign w:val="superscript"/>
    </w:rPr>
  </w:style>
  <w:style w:type="paragraph" w:customStyle="1" w:styleId="CharCharCharCharCarChar">
    <w:name w:val="Char Char Char Char Car Char"/>
    <w:aliases w:val="Char Char Char Char Car Char Char1,Char Char Char1,16 Point Char1,Superscript 6 Point Char1,ftref Char1,Char Char Char1 Char Char Char"/>
    <w:basedOn w:val="Normal"/>
    <w:next w:val="Normal"/>
    <w:link w:val="FootnoteReference"/>
    <w:rsid w:val="000532D9"/>
    <w:pPr>
      <w:spacing w:line="240" w:lineRule="exact"/>
    </w:pPr>
    <w:rPr>
      <w:vertAlign w:val="superscript"/>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
    <w:basedOn w:val="Normal"/>
    <w:link w:val="ListParagraphChar"/>
    <w:uiPriority w:val="34"/>
    <w:qFormat/>
    <w:rsid w:val="000532D9"/>
    <w:pPr>
      <w:ind w:left="720"/>
      <w:contextualSpacing/>
    </w:pPr>
  </w:style>
  <w:style w:type="table" w:styleId="TableGrid">
    <w:name w:val="Table Grid"/>
    <w:basedOn w:val="TableNormal"/>
    <w:uiPriority w:val="39"/>
    <w:rsid w:val="000532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532D9"/>
    <w:rPr>
      <w:color w:val="0000FF"/>
      <w:u w:val="single"/>
    </w:rPr>
  </w:style>
  <w:style w:type="paragraph" w:styleId="Caption">
    <w:name w:val="caption"/>
    <w:basedOn w:val="Normal"/>
    <w:next w:val="Normal"/>
    <w:link w:val="CaptionChar"/>
    <w:unhideWhenUsed/>
    <w:qFormat/>
    <w:rsid w:val="000532D9"/>
    <w:pPr>
      <w:keepNext/>
      <w:suppressAutoHyphens/>
      <w:spacing w:before="240" w:after="60" w:line="280" w:lineRule="atLeast"/>
    </w:pPr>
    <w:rPr>
      <w:rFonts w:ascii="Times New Roman" w:eastAsia="Calibri" w:hAnsi="Times New Roman" w:cs="Calibri"/>
      <w:b/>
      <w:bCs/>
      <w:sz w:val="20"/>
      <w:szCs w:val="20"/>
      <w:lang w:val="bg-BG" w:eastAsia="ar-SA"/>
    </w:rPr>
  </w:style>
  <w:style w:type="character" w:customStyle="1" w:styleId="CaptionChar">
    <w:name w:val="Caption Char"/>
    <w:link w:val="Caption"/>
    <w:rsid w:val="000532D9"/>
    <w:rPr>
      <w:rFonts w:ascii="Times New Roman" w:eastAsia="Calibri" w:hAnsi="Times New Roman" w:cs="Calibri"/>
      <w:b/>
      <w:bCs/>
      <w:sz w:val="20"/>
      <w:szCs w:val="20"/>
      <w:lang w:val="bg-BG" w:eastAsia="ar-SA"/>
    </w:rPr>
  </w:style>
  <w:style w:type="paragraph" w:customStyle="1" w:styleId="Default">
    <w:name w:val="Default"/>
    <w:rsid w:val="000532D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0532D9"/>
  </w:style>
  <w:style w:type="paragraph" w:customStyle="1" w:styleId="3vff3xh4yd">
    <w:name w:val="_3vff3xh4yd"/>
    <w:basedOn w:val="Normal"/>
    <w:rsid w:val="000532D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mmentTextChar">
    <w:name w:val="Comment Text Char"/>
    <w:basedOn w:val="DefaultParagraphFont"/>
    <w:link w:val="CommentText"/>
    <w:uiPriority w:val="99"/>
    <w:rsid w:val="000532D9"/>
    <w:rPr>
      <w:b/>
      <w:sz w:val="20"/>
      <w:szCs w:val="20"/>
    </w:rPr>
  </w:style>
  <w:style w:type="paragraph" w:styleId="CommentText">
    <w:name w:val="annotation text"/>
    <w:basedOn w:val="Normal"/>
    <w:link w:val="CommentTextChar"/>
    <w:uiPriority w:val="99"/>
    <w:unhideWhenUsed/>
    <w:rsid w:val="000532D9"/>
    <w:pPr>
      <w:spacing w:line="240" w:lineRule="auto"/>
    </w:pPr>
    <w:rPr>
      <w:b/>
      <w:sz w:val="20"/>
      <w:szCs w:val="20"/>
    </w:rPr>
  </w:style>
  <w:style w:type="character" w:customStyle="1" w:styleId="CommentTextChar1">
    <w:name w:val="Comment Text Char1"/>
    <w:basedOn w:val="DefaultParagraphFont"/>
    <w:uiPriority w:val="99"/>
    <w:semiHidden/>
    <w:rsid w:val="000532D9"/>
    <w:rPr>
      <w:sz w:val="20"/>
      <w:szCs w:val="20"/>
    </w:rPr>
  </w:style>
  <w:style w:type="character" w:styleId="CommentReference">
    <w:name w:val="annotation reference"/>
    <w:basedOn w:val="DefaultParagraphFont"/>
    <w:uiPriority w:val="99"/>
    <w:semiHidden/>
    <w:unhideWhenUsed/>
    <w:rsid w:val="000532D9"/>
    <w:rPr>
      <w:sz w:val="16"/>
      <w:szCs w:val="16"/>
    </w:rPr>
  </w:style>
  <w:style w:type="paragraph" w:styleId="BalloonText">
    <w:name w:val="Balloon Text"/>
    <w:basedOn w:val="Normal"/>
    <w:link w:val="BalloonTextChar"/>
    <w:uiPriority w:val="99"/>
    <w:semiHidden/>
    <w:unhideWhenUsed/>
    <w:rsid w:val="000532D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32D9"/>
    <w:rPr>
      <w:rFonts w:ascii="Segoe UI" w:hAnsi="Segoe UI" w:cs="Segoe UI"/>
      <w:sz w:val="18"/>
      <w:szCs w:val="18"/>
    </w:rPr>
  </w:style>
  <w:style w:type="paragraph" w:styleId="BodyTextIndent2">
    <w:name w:val="Body Text Indent 2"/>
    <w:basedOn w:val="Normal"/>
    <w:link w:val="BodyTextIndent2Char"/>
    <w:rsid w:val="004E05D3"/>
    <w:pPr>
      <w:spacing w:before="120" w:after="120" w:line="240" w:lineRule="auto"/>
      <w:ind w:firstLine="720"/>
      <w:jc w:val="both"/>
    </w:pPr>
    <w:rPr>
      <w:rFonts w:ascii="Arial" w:eastAsia="Times New Roman" w:hAnsi="Arial" w:cs="Times New Roman"/>
      <w:b/>
      <w:sz w:val="24"/>
      <w:szCs w:val="20"/>
      <w:lang w:val="bg-BG" w:eastAsia="bg-BG"/>
    </w:rPr>
  </w:style>
  <w:style w:type="character" w:customStyle="1" w:styleId="BodyTextIndent2Char">
    <w:name w:val="Body Text Indent 2 Char"/>
    <w:basedOn w:val="DefaultParagraphFont"/>
    <w:link w:val="BodyTextIndent2"/>
    <w:rsid w:val="004E05D3"/>
    <w:rPr>
      <w:rFonts w:ascii="Arial" w:eastAsia="Times New Roman" w:hAnsi="Arial" w:cs="Times New Roman"/>
      <w:b/>
      <w:sz w:val="24"/>
      <w:szCs w:val="20"/>
      <w:lang w:val="bg-BG" w:eastAsia="bg-BG"/>
    </w:rPr>
  </w:style>
  <w:style w:type="paragraph" w:styleId="Header">
    <w:name w:val="header"/>
    <w:basedOn w:val="Normal"/>
    <w:link w:val="HeaderChar"/>
    <w:rsid w:val="004E05D3"/>
    <w:pPr>
      <w:tabs>
        <w:tab w:val="center" w:pos="4320"/>
        <w:tab w:val="right" w:pos="8640"/>
      </w:tabs>
      <w:spacing w:after="0" w:line="240" w:lineRule="auto"/>
    </w:pPr>
    <w:rPr>
      <w:rFonts w:ascii="Arial" w:eastAsia="Times New Roman" w:hAnsi="Arial" w:cs="Times New Roman"/>
      <w:sz w:val="24"/>
      <w:szCs w:val="20"/>
      <w:lang w:eastAsia="bg-BG"/>
    </w:rPr>
  </w:style>
  <w:style w:type="character" w:customStyle="1" w:styleId="HeaderChar">
    <w:name w:val="Header Char"/>
    <w:basedOn w:val="DefaultParagraphFont"/>
    <w:link w:val="Header"/>
    <w:rsid w:val="004E05D3"/>
    <w:rPr>
      <w:rFonts w:ascii="Arial" w:eastAsia="Times New Roman" w:hAnsi="Arial" w:cs="Times New Roman"/>
      <w:sz w:val="24"/>
      <w:szCs w:val="20"/>
      <w:lang w:eastAsia="bg-BG"/>
    </w:rPr>
  </w:style>
  <w:style w:type="paragraph" w:styleId="BodyText">
    <w:name w:val="Body Text"/>
    <w:basedOn w:val="Normal"/>
    <w:link w:val="BodyTextChar"/>
    <w:uiPriority w:val="99"/>
    <w:semiHidden/>
    <w:unhideWhenUsed/>
    <w:rsid w:val="000509D1"/>
    <w:pPr>
      <w:spacing w:after="120"/>
    </w:pPr>
  </w:style>
  <w:style w:type="character" w:customStyle="1" w:styleId="BodyTextChar">
    <w:name w:val="Body Text Char"/>
    <w:basedOn w:val="DefaultParagraphFont"/>
    <w:link w:val="BodyText"/>
    <w:uiPriority w:val="99"/>
    <w:semiHidden/>
    <w:rsid w:val="000509D1"/>
  </w:style>
  <w:style w:type="paragraph" w:customStyle="1" w:styleId="BVIfnrChar">
    <w:name w:val="BVI fnr Char"/>
    <w:aliases w:val="BVI fnr Car Car Char,BVI fnr Car Char,BVI fnr Car Car Car Car Char1,BVI fnr Car Car Car Car Char Car Char Char,Footnote Refernece Char,callout Char,ftref Char,Footnotes refss Char,Fussnota Char,Footnote symbol Char,Times 10 Point Char"/>
    <w:basedOn w:val="Normal"/>
    <w:rsid w:val="000509D1"/>
    <w:pPr>
      <w:spacing w:line="240" w:lineRule="exact"/>
    </w:pPr>
    <w:rPr>
      <w:rFonts w:ascii="Arial Unicode MS" w:eastAsia="Times New Roman" w:hAnsi="Arial Unicode MS" w:cs="Times New Roman"/>
      <w:sz w:val="20"/>
      <w:szCs w:val="20"/>
      <w:vertAlign w:val="superscript"/>
      <w:lang w:val="bg-BG" w:eastAsia="bg-BG"/>
    </w:rPr>
  </w:style>
  <w:style w:type="character" w:styleId="Strong">
    <w:name w:val="Strong"/>
    <w:basedOn w:val="DefaultParagraphFont"/>
    <w:uiPriority w:val="22"/>
    <w:qFormat/>
    <w:rsid w:val="008309EA"/>
    <w:rPr>
      <w:b/>
      <w:bCs/>
    </w:rPr>
  </w:style>
  <w:style w:type="paragraph" w:customStyle="1" w:styleId="a0">
    <w:name w:val="Нормален"/>
    <w:basedOn w:val="Normal"/>
    <w:next w:val="Normal"/>
    <w:rsid w:val="00066EFE"/>
    <w:pPr>
      <w:autoSpaceDE w:val="0"/>
      <w:autoSpaceDN w:val="0"/>
      <w:adjustRightInd w:val="0"/>
      <w:spacing w:after="0" w:line="240" w:lineRule="auto"/>
    </w:pPr>
    <w:rPr>
      <w:rFonts w:ascii="Times New Roman" w:eastAsia="Times New Roman" w:hAnsi="Times New Roman" w:cs="Times New Roman"/>
      <w:sz w:val="24"/>
      <w:szCs w:val="24"/>
      <w:lang w:val="bg-BG" w:eastAsia="bg-BG"/>
    </w:rPr>
  </w:style>
  <w:style w:type="paragraph" w:customStyle="1" w:styleId="a1">
    <w:name w:val="Списък на абзаци"/>
    <w:basedOn w:val="a0"/>
    <w:rsid w:val="00066EFE"/>
    <w:pPr>
      <w:suppressAutoHyphens/>
      <w:adjustRightInd/>
      <w:ind w:left="720"/>
      <w:textAlignment w:val="baseline"/>
    </w:pPr>
  </w:style>
  <w:style w:type="paragraph" w:customStyle="1" w:styleId="a">
    <w:name w:val="Списък с водещи символи"/>
    <w:basedOn w:val="a0"/>
    <w:rsid w:val="00066EFE"/>
    <w:pPr>
      <w:numPr>
        <w:numId w:val="6"/>
      </w:numPr>
      <w:suppressAutoHyphens/>
      <w:adjustRightInd/>
      <w:spacing w:after="240"/>
      <w:jc w:val="both"/>
      <w:textAlignment w:val="baseline"/>
    </w:pPr>
    <w:rPr>
      <w:lang w:val="en-GB"/>
    </w:rPr>
  </w:style>
  <w:style w:type="numbering" w:customStyle="1" w:styleId="LFO2">
    <w:name w:val="LFO2"/>
    <w:basedOn w:val="NoList"/>
    <w:rsid w:val="00066EFE"/>
    <w:pPr>
      <w:numPr>
        <w:numId w:val="6"/>
      </w:numPr>
    </w:pPr>
  </w:style>
  <w:style w:type="paragraph" w:styleId="Footer">
    <w:name w:val="footer"/>
    <w:basedOn w:val="Normal"/>
    <w:link w:val="FooterChar"/>
    <w:uiPriority w:val="99"/>
    <w:unhideWhenUsed/>
    <w:rsid w:val="005056B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056B5"/>
  </w:style>
  <w:style w:type="character" w:customStyle="1" w:styleId="Heading2Char">
    <w:name w:val="Heading 2 Char"/>
    <w:basedOn w:val="DefaultParagraphFont"/>
    <w:link w:val="Heading2"/>
    <w:uiPriority w:val="9"/>
    <w:rsid w:val="006F34D7"/>
    <w:rPr>
      <w:rFonts w:ascii="Times New Roman" w:eastAsiaTheme="majorEastAsia" w:hAnsi="Times New Roman" w:cs="Times New Roman"/>
      <w:b/>
      <w:bCs/>
      <w:color w:val="2F5496" w:themeColor="accent1" w:themeShade="BF"/>
      <w:sz w:val="24"/>
      <w:szCs w:val="24"/>
      <w:lang w:val="bg-BG"/>
    </w:rPr>
  </w:style>
  <w:style w:type="character" w:customStyle="1" w:styleId="Heading1Char">
    <w:name w:val="Heading 1 Char"/>
    <w:basedOn w:val="DefaultParagraphFont"/>
    <w:link w:val="Heading1"/>
    <w:uiPriority w:val="9"/>
    <w:rsid w:val="006F34D7"/>
    <w:rPr>
      <w:rFonts w:asciiTheme="majorHAnsi" w:eastAsiaTheme="majorEastAsia" w:hAnsiTheme="majorHAnsi" w:cstheme="majorBidi"/>
      <w:b/>
      <w:bCs/>
      <w:color w:val="2F5496" w:themeColor="accent1" w:themeShade="BF"/>
      <w:sz w:val="28"/>
      <w:szCs w:val="28"/>
    </w:rPr>
  </w:style>
  <w:style w:type="paragraph" w:styleId="TOCHeading">
    <w:name w:val="TOC Heading"/>
    <w:basedOn w:val="Heading1"/>
    <w:next w:val="Normal"/>
    <w:uiPriority w:val="39"/>
    <w:semiHidden/>
    <w:unhideWhenUsed/>
    <w:qFormat/>
    <w:rsid w:val="006F34D7"/>
    <w:pPr>
      <w:spacing w:line="276" w:lineRule="auto"/>
      <w:outlineLvl w:val="9"/>
    </w:pPr>
    <w:rPr>
      <w:lang w:eastAsia="ja-JP"/>
    </w:rPr>
  </w:style>
  <w:style w:type="paragraph" w:styleId="TOC2">
    <w:name w:val="toc 2"/>
    <w:basedOn w:val="Normal"/>
    <w:next w:val="Normal"/>
    <w:autoRedefine/>
    <w:uiPriority w:val="39"/>
    <w:unhideWhenUsed/>
    <w:rsid w:val="006F34D7"/>
    <w:pPr>
      <w:spacing w:after="100"/>
      <w:ind w:left="220"/>
    </w:pPr>
  </w:style>
  <w:style w:type="paragraph" w:styleId="TableofFigures">
    <w:name w:val="table of figures"/>
    <w:basedOn w:val="Normal"/>
    <w:next w:val="Normal"/>
    <w:uiPriority w:val="99"/>
    <w:unhideWhenUsed/>
    <w:rsid w:val="00E050A8"/>
    <w:pPr>
      <w:spacing w:after="0"/>
    </w:pPr>
    <w:rPr>
      <w:rFonts w:ascii="Times New Roman" w:hAnsi="Times New Roman"/>
    </w:rPr>
  </w:style>
  <w:style w:type="paragraph" w:styleId="CommentSubject">
    <w:name w:val="annotation subject"/>
    <w:basedOn w:val="CommentText"/>
    <w:next w:val="CommentText"/>
    <w:link w:val="CommentSubjectChar"/>
    <w:uiPriority w:val="99"/>
    <w:semiHidden/>
    <w:unhideWhenUsed/>
    <w:rsid w:val="000A5D8A"/>
    <w:rPr>
      <w:bCs/>
    </w:rPr>
  </w:style>
  <w:style w:type="character" w:customStyle="1" w:styleId="CommentSubjectChar">
    <w:name w:val="Comment Subject Char"/>
    <w:basedOn w:val="CommentTextChar"/>
    <w:link w:val="CommentSubject"/>
    <w:uiPriority w:val="99"/>
    <w:semiHidden/>
    <w:rsid w:val="000A5D8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305608">
      <w:bodyDiv w:val="1"/>
      <w:marLeft w:val="0"/>
      <w:marRight w:val="0"/>
      <w:marTop w:val="0"/>
      <w:marBottom w:val="0"/>
      <w:divBdr>
        <w:top w:val="none" w:sz="0" w:space="0" w:color="auto"/>
        <w:left w:val="none" w:sz="0" w:space="0" w:color="auto"/>
        <w:bottom w:val="none" w:sz="0" w:space="0" w:color="auto"/>
        <w:right w:val="none" w:sz="0" w:space="0" w:color="auto"/>
      </w:divBdr>
    </w:div>
    <w:div w:id="612438721">
      <w:bodyDiv w:val="1"/>
      <w:marLeft w:val="0"/>
      <w:marRight w:val="0"/>
      <w:marTop w:val="0"/>
      <w:marBottom w:val="0"/>
      <w:divBdr>
        <w:top w:val="none" w:sz="0" w:space="0" w:color="auto"/>
        <w:left w:val="none" w:sz="0" w:space="0" w:color="auto"/>
        <w:bottom w:val="none" w:sz="0" w:space="0" w:color="auto"/>
        <w:right w:val="none" w:sz="0" w:space="0" w:color="auto"/>
      </w:divBdr>
    </w:div>
    <w:div w:id="887566331">
      <w:bodyDiv w:val="1"/>
      <w:marLeft w:val="0"/>
      <w:marRight w:val="0"/>
      <w:marTop w:val="0"/>
      <w:marBottom w:val="0"/>
      <w:divBdr>
        <w:top w:val="none" w:sz="0" w:space="0" w:color="auto"/>
        <w:left w:val="none" w:sz="0" w:space="0" w:color="auto"/>
        <w:bottom w:val="none" w:sz="0" w:space="0" w:color="auto"/>
        <w:right w:val="none" w:sz="0" w:space="0" w:color="auto"/>
      </w:divBdr>
    </w:div>
    <w:div w:id="977950772">
      <w:bodyDiv w:val="1"/>
      <w:marLeft w:val="0"/>
      <w:marRight w:val="0"/>
      <w:marTop w:val="0"/>
      <w:marBottom w:val="0"/>
      <w:divBdr>
        <w:top w:val="none" w:sz="0" w:space="0" w:color="auto"/>
        <w:left w:val="none" w:sz="0" w:space="0" w:color="auto"/>
        <w:bottom w:val="none" w:sz="0" w:space="0" w:color="auto"/>
        <w:right w:val="none" w:sz="0" w:space="0" w:color="auto"/>
      </w:divBdr>
    </w:div>
    <w:div w:id="1227103530">
      <w:bodyDiv w:val="1"/>
      <w:marLeft w:val="0"/>
      <w:marRight w:val="0"/>
      <w:marTop w:val="0"/>
      <w:marBottom w:val="0"/>
      <w:divBdr>
        <w:top w:val="none" w:sz="0" w:space="0" w:color="auto"/>
        <w:left w:val="none" w:sz="0" w:space="0" w:color="auto"/>
        <w:bottom w:val="none" w:sz="0" w:space="0" w:color="auto"/>
        <w:right w:val="none" w:sz="0" w:space="0" w:color="auto"/>
      </w:divBdr>
    </w:div>
    <w:div w:id="1738937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BG/AUTO/?uri=celex:31991L0676" TargetMode="External"/><Relationship Id="rId18" Type="http://schemas.openxmlformats.org/officeDocument/2006/relationships/hyperlink" Target="https://eur-lex.europa.eu/legal-content/BG/AUTO/?uri=celex:32013L0039" TargetMode="External"/><Relationship Id="rId26" Type="http://schemas.openxmlformats.org/officeDocument/2006/relationships/image" Target="media/image7.emf"/><Relationship Id="rId39" Type="http://schemas.openxmlformats.org/officeDocument/2006/relationships/footer" Target="footer1.xml"/><Relationship Id="rId21" Type="http://schemas.openxmlformats.org/officeDocument/2006/relationships/hyperlink" Target="https://eur-lex.europa.eu/legal-content/BG/AUTO/?uri=celex:32006L0007" TargetMode="External"/><Relationship Id="rId34" Type="http://schemas.openxmlformats.org/officeDocument/2006/relationships/chart" Target="charts/chart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BG/AUTO/?uri=celex:32007L0060" TargetMode="External"/><Relationship Id="rId20" Type="http://schemas.openxmlformats.org/officeDocument/2006/relationships/hyperlink" Target="http://eur-lex.europa.eu/legal-content/EN/TXT/?uri=CELEX:32005L0035" TargetMode="External"/><Relationship Id="rId29" Type="http://schemas.openxmlformats.org/officeDocument/2006/relationships/image" Target="media/image10.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5.emf"/><Relationship Id="rId32" Type="http://schemas.openxmlformats.org/officeDocument/2006/relationships/chart" Target="charts/chart3.xml"/><Relationship Id="rId37" Type="http://schemas.openxmlformats.org/officeDocument/2006/relationships/image" Target="media/image13.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eur-lex.europa.eu/legal-content/BG/AUTO/?uri=celex:32006L0007" TargetMode="External"/><Relationship Id="rId23" Type="http://schemas.openxmlformats.org/officeDocument/2006/relationships/hyperlink" Target="http://www.bsbd.org/bg/m_env_and_action.html" TargetMode="External"/><Relationship Id="rId28" Type="http://schemas.openxmlformats.org/officeDocument/2006/relationships/image" Target="media/image9.png"/><Relationship Id="rId36" Type="http://schemas.openxmlformats.org/officeDocument/2006/relationships/image" Target="media/image12.png"/><Relationship Id="rId10" Type="http://schemas.openxmlformats.org/officeDocument/2006/relationships/image" Target="media/image3.emf"/><Relationship Id="rId19" Type="http://schemas.openxmlformats.org/officeDocument/2006/relationships/hyperlink" Target="http://eur-lex.europa.eu/legal-content/EN/TXT/?uri=CELEX:32008L0056" TargetMode="External"/><Relationship Id="rId31"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ur-lex.europa.eu/legal-content/BG/AUTO/?uri=celex:31998L0083" TargetMode="External"/><Relationship Id="rId22" Type="http://schemas.openxmlformats.org/officeDocument/2006/relationships/hyperlink" Target="http://www5.moew.government.bg/?wpfb_dl=17400" TargetMode="External"/><Relationship Id="rId27" Type="http://schemas.openxmlformats.org/officeDocument/2006/relationships/image" Target="media/image8.emf"/><Relationship Id="rId30" Type="http://schemas.openxmlformats.org/officeDocument/2006/relationships/chart" Target="charts/chart1.xml"/><Relationship Id="rId35" Type="http://schemas.openxmlformats.org/officeDocument/2006/relationships/chart" Target="charts/chart5.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s://eur-lex.europa.eu/legal-content/BG/AUTO/?uri=celex:32000L0060" TargetMode="External"/><Relationship Id="rId17" Type="http://schemas.openxmlformats.org/officeDocument/2006/relationships/hyperlink" Target="https://eur-lex.europa.eu/legal-content/BG/AUTO/?uri=celex:32008L0105" TargetMode="External"/><Relationship Id="rId25" Type="http://schemas.openxmlformats.org/officeDocument/2006/relationships/image" Target="media/image6.emf"/><Relationship Id="rId33" Type="http://schemas.openxmlformats.org/officeDocument/2006/relationships/image" Target="media/image11.png"/><Relationship Id="rId38" Type="http://schemas.openxmlformats.org/officeDocument/2006/relationships/header" Target="header1.xml"/></Relationships>
</file>

<file path=word/_rels/footnotes.xml.rels><?xml version="1.0" encoding="UTF-8" standalone="yes"?>
<Relationships xmlns="http://schemas.openxmlformats.org/package/2006/relationships"><Relationship Id="rId8" Type="http://schemas.openxmlformats.org/officeDocument/2006/relationships/hyperlink" Target="https://wabd.bg/docs/plans/purb1621/01_Razdel_1_Harakteristiki_ZBR.pdf" TargetMode="External"/><Relationship Id="rId3" Type="http://schemas.openxmlformats.org/officeDocument/2006/relationships/hyperlink" Target="https://www.bsbd.org/UserFiles/File/PURB/2016_2021/R1/&#1056;&#1072;&#1079;&#1076;&#1077;&#1083;%201.pdf" TargetMode="External"/><Relationship Id="rId7" Type="http://schemas.openxmlformats.org/officeDocument/2006/relationships/hyperlink" Target="https://earbd.bg/files/File/PURB/PURB%202016-2021%20FINAL/Razdeli_pdf/PART%2001.pdf" TargetMode="External"/><Relationship Id="rId12" Type="http://schemas.openxmlformats.org/officeDocument/2006/relationships/hyperlink" Target="https://wabd.bg/docs/plans/purb1621/02_Razdel_2_Vidove_Natisk.pdf" TargetMode="External"/><Relationship Id="rId2" Type="http://schemas.openxmlformats.org/officeDocument/2006/relationships/hyperlink" Target="https://www.bsbd.org/UserFiles/File/PURB/2016_2021/R1/&#1056;&#1072;&#1079;&#1076;&#1077;&#1083;%201.pdf" TargetMode="External"/><Relationship Id="rId1" Type="http://schemas.openxmlformats.org/officeDocument/2006/relationships/hyperlink" Target="http://www.bd-dunav.org/uploads/content/files/upravlenie-na-vodite/PURB-2016-2021-final/Razdel-1/Razdel_1.pdf" TargetMode="External"/><Relationship Id="rId6" Type="http://schemas.openxmlformats.org/officeDocument/2006/relationships/hyperlink" Target="https://earbd.bg/files/File/PURB/PURB%202016-2021%20FINAL/Razdeli_pdf/PART%2001.pdf" TargetMode="External"/><Relationship Id="rId11" Type="http://schemas.openxmlformats.org/officeDocument/2006/relationships/hyperlink" Target="https://www.bsbd.org/UserFiles/File/PURB/2016_2021/R2/%D0%A0%D0%B0%D0%B7%D0%B4%D0%B5%D0%BB%202.pdf" TargetMode="External"/><Relationship Id="rId5" Type="http://schemas.openxmlformats.org/officeDocument/2006/relationships/hyperlink" Target="https://earbd.bg/files/File/PURB/PURB%202016-2021%20FINAL/Razdeli_pdf/PART%2001.pdf" TargetMode="External"/><Relationship Id="rId10" Type="http://schemas.openxmlformats.org/officeDocument/2006/relationships/hyperlink" Target="http://www.bd-dunav.org/uploads/content/files/upravlenie-na-vodite/PURB-2016-2021-final/Razdel-2/Razdel_2.pdf" TargetMode="External"/><Relationship Id="rId4" Type="http://schemas.openxmlformats.org/officeDocument/2006/relationships/hyperlink" Target="https://www.bsbd.org/UserFiles/File/PURB/2016_2021/R1/&#1056;&#1072;&#1079;&#1076;&#1077;&#1083;%201.pdf" TargetMode="External"/><Relationship Id="rId9" Type="http://schemas.openxmlformats.org/officeDocument/2006/relationships/hyperlink" Target="https://blueindicators.ec.europa.eu/published-reports_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charts/_rels/chart1.xml.rels><?xml version="1.0" encoding="UTF-8" standalone="yes"?>
<Relationships xmlns="http://schemas.openxmlformats.org/package/2006/relationships"><Relationship Id="rId1" Type="http://schemas.openxmlformats.org/officeDocument/2006/relationships/oleObject" Target="file:///C:\Rosi%202020\&#1060;&#1056;&#1040;&#1050;&#1058;&#1040;&#1051;&#1048;\Natsionalna%20strategia%20OS\&#1080;&#1079;&#1087;&#1098;&#1083;&#1085;&#1077;&#1085;&#1080;&#1077;\info\vodi\NSI\Ecology_9.1.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rboyadzhieva\Downloads\TEN000031620310363627.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Rosi%202020\&#1060;&#1056;&#1040;&#1050;&#1058;&#1040;&#1051;&#1048;\Natsionalna%20strategia%20OS\&#1080;&#1079;&#1087;&#1098;&#1083;&#1085;&#1077;&#1085;&#1080;&#1077;\info\vodi\NSI\Ecology_9.1.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Rosi%202020\&#1060;&#1056;&#1040;&#1050;&#1058;&#1040;&#1051;&#1048;\Natsionalna%20strategia%20OS\&#1080;&#1079;&#1087;&#1098;&#1083;&#1085;&#1077;&#1085;&#1080;&#1077;\info\vodi\NSI\Ecology_9.1.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Rosi%202020\&#1060;&#1056;&#1040;&#1050;&#1058;&#1040;&#1051;&#1048;\Natsionalna%20strategia%20OS\&#1080;&#1079;&#1087;&#1098;&#1083;&#1085;&#1077;&#1085;&#1080;&#1077;\info\vodi\NSI\Ecology_9.3.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cat>
            <c:strRef>
              <c:f>'9.1.1. Abstr BG (2)'!$A$15:$B$22</c:f>
              <c:strCache>
                <c:ptCount val="8"/>
                <c:pt idx="0">
                  <c:v>Обществено водоснабдяване (ВиК)</c:v>
                </c:pt>
                <c:pt idx="1">
                  <c:v>Селско, горско и рибно стопанство</c:v>
                </c:pt>
                <c:pt idx="2">
                  <c:v>  Добивна промишленост</c:v>
                </c:pt>
                <c:pt idx="3">
                  <c:v>  Преработваща промишленост</c:v>
                </c:pt>
                <c:pt idx="4">
                  <c:v>  Производство и разпределение на електрическа и топлоенергия и газ</c:v>
                </c:pt>
                <c:pt idx="5">
                  <c:v>  Строителство</c:v>
                </c:pt>
                <c:pt idx="6">
                  <c:v>  Други индустриални дейности</c:v>
                </c:pt>
                <c:pt idx="7">
                  <c:v>Услуги</c:v>
                </c:pt>
              </c:strCache>
            </c:strRef>
          </c:cat>
          <c:val>
            <c:numRef>
              <c:f>'9.1.1. Abstr BG (2)'!$C$15:$C$22</c:f>
            </c:numRef>
          </c:val>
          <c:extLst>
            <c:ext xmlns:c16="http://schemas.microsoft.com/office/drawing/2014/chart" uri="{C3380CC4-5D6E-409C-BE32-E72D297353CC}">
              <c16:uniqueId val="{00000000-3611-4888-8740-B644D4A5ABA6}"/>
            </c:ext>
          </c:extLst>
        </c:ser>
        <c:ser>
          <c:idx val="1"/>
          <c:order val="1"/>
          <c:dPt>
            <c:idx val="0"/>
            <c:bubble3D val="0"/>
            <c:spPr>
              <a:solidFill>
                <a:schemeClr val="accent1"/>
              </a:solidFill>
              <a:ln w="19050">
                <a:solidFill>
                  <a:schemeClr val="lt1"/>
                </a:solidFill>
              </a:ln>
              <a:effectLst/>
            </c:spPr>
            <c:extLst>
              <c:ext xmlns:c16="http://schemas.microsoft.com/office/drawing/2014/chart" uri="{C3380CC4-5D6E-409C-BE32-E72D297353CC}">
                <c16:uniqueId val="{00000002-3611-4888-8740-B644D4A5ABA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4-3611-4888-8740-B644D4A5ABA6}"/>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6-3611-4888-8740-B644D4A5ABA6}"/>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8-3611-4888-8740-B644D4A5ABA6}"/>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A-3611-4888-8740-B644D4A5ABA6}"/>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C-3611-4888-8740-B644D4A5ABA6}"/>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E-3611-4888-8740-B644D4A5ABA6}"/>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10-3611-4888-8740-B644D4A5ABA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'9.1.1. Abstr BG (2)'!$A$15:$B$22</c:f>
              <c:strCache>
                <c:ptCount val="8"/>
                <c:pt idx="0">
                  <c:v>Обществено водоснабдяване (ВиК)</c:v>
                </c:pt>
                <c:pt idx="1">
                  <c:v>Селско, горско и рибно стопанство</c:v>
                </c:pt>
                <c:pt idx="2">
                  <c:v>  Добивна промишленост</c:v>
                </c:pt>
                <c:pt idx="3">
                  <c:v>  Преработваща промишленост</c:v>
                </c:pt>
                <c:pt idx="4">
                  <c:v>  Производство и разпределение на електрическа и топлоенергия и газ</c:v>
                </c:pt>
                <c:pt idx="5">
                  <c:v>  Строителство</c:v>
                </c:pt>
                <c:pt idx="6">
                  <c:v>  Други индустриални дейности</c:v>
                </c:pt>
                <c:pt idx="7">
                  <c:v>Услуги</c:v>
                </c:pt>
              </c:strCache>
            </c:strRef>
          </c:cat>
          <c:val>
            <c:numRef>
              <c:f>'9.1.1. Abstr BG (2)'!$D$15:$D$22</c:f>
              <c:numCache>
                <c:formatCode>0.00</c:formatCode>
                <c:ptCount val="8"/>
                <c:pt idx="0">
                  <c:v>841.35699999999997</c:v>
                </c:pt>
                <c:pt idx="1">
                  <c:v>723.58900000000006</c:v>
                </c:pt>
                <c:pt idx="2">
                  <c:v>27.71</c:v>
                </c:pt>
                <c:pt idx="3">
                  <c:v>130.834</c:v>
                </c:pt>
                <c:pt idx="4">
                  <c:v>3654.8809999999999</c:v>
                </c:pt>
                <c:pt idx="5">
                  <c:v>3.657</c:v>
                </c:pt>
                <c:pt idx="6">
                  <c:v>19.207000000000001</c:v>
                </c:pt>
                <c:pt idx="7">
                  <c:v>23.998000000000001</c:v>
                </c:pt>
              </c:numCache>
            </c:numRef>
          </c:val>
          <c:extLst>
            <c:ext xmlns:c16="http://schemas.microsoft.com/office/drawing/2014/chart" uri="{C3380CC4-5D6E-409C-BE32-E72D297353CC}">
              <c16:uniqueId val="{00000011-3611-4888-8740-B644D4A5ABA6}"/>
            </c:ext>
          </c:extLst>
        </c:ser>
        <c:dLbls>
          <c:showLegendKey val="0"/>
          <c:showVal val="0"/>
          <c:showCatName val="0"/>
          <c:showSerName val="0"/>
          <c:showPercent val="0"/>
          <c:showBubbleSize val="0"/>
          <c:showLeaderLines val="1"/>
        </c:dLbls>
        <c:firstSliceAng val="0"/>
      </c:pieChart>
      <c:spPr>
        <a:noFill/>
        <a:ln>
          <a:noFill/>
        </a:ln>
        <a:effectLst/>
      </c:spPr>
    </c:plotArea>
    <c:legend>
      <c:legendPos val="tr"/>
      <c:layout>
        <c:manualLayout>
          <c:xMode val="edge"/>
          <c:yMode val="edge"/>
          <c:x val="0.60499562554680664"/>
          <c:y val="4.6712962962962977E-2"/>
          <c:w val="0.38111548556430447"/>
          <c:h val="0.95328703703703699"/>
        </c:manualLayout>
      </c:layout>
      <c:overlay val="0"/>
      <c:spPr>
        <a:noFill/>
        <a:ln>
          <a:noFill/>
        </a:ln>
        <a:effectLst/>
      </c:spPr>
      <c:txPr>
        <a:bodyPr rot="0" spcFirstLastPara="1" vertOverflow="ellipsis" vert="horz" wrap="square" anchor="t" anchorCtr="0"/>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cat>
            <c:strRef>
              <c:f>'Sheet 1'!$A$14:$A$37</c:f>
              <c:strCache>
                <c:ptCount val="15"/>
                <c:pt idx="0">
                  <c:v>България</c:v>
                </c:pt>
                <c:pt idx="1">
                  <c:v>Чехия</c:v>
                </c:pt>
                <c:pt idx="2">
                  <c:v>Дания</c:v>
                </c:pt>
                <c:pt idx="3">
                  <c:v>Гърция</c:v>
                </c:pt>
                <c:pt idx="4">
                  <c:v>Хърватска</c:v>
                </c:pt>
                <c:pt idx="5">
                  <c:v>Кипър</c:v>
                </c:pt>
                <c:pt idx="6">
                  <c:v>Латвия</c:v>
                </c:pt>
                <c:pt idx="7">
                  <c:v>Литва</c:v>
                </c:pt>
                <c:pt idx="8">
                  <c:v>Унгария</c:v>
                </c:pt>
                <c:pt idx="9">
                  <c:v>Малта</c:v>
                </c:pt>
                <c:pt idx="10">
                  <c:v>Нидерландия</c:v>
                </c:pt>
                <c:pt idx="11">
                  <c:v>Полша</c:v>
                </c:pt>
                <c:pt idx="12">
                  <c:v>Румъния</c:v>
                </c:pt>
                <c:pt idx="13">
                  <c:v>Словения</c:v>
                </c:pt>
                <c:pt idx="14">
                  <c:v>Словакия</c:v>
                </c:pt>
              </c:strCache>
            </c:strRef>
          </c:cat>
          <c:val>
            <c:numRef>
              <c:f>'Sheet 1'!$B$14:$B$37</c:f>
              <c:numCache>
                <c:formatCode>#,##0.##########</c:formatCode>
                <c:ptCount val="15"/>
                <c:pt idx="0">
                  <c:v>769.53</c:v>
                </c:pt>
                <c:pt idx="1">
                  <c:v>149.96</c:v>
                </c:pt>
                <c:pt idx="2">
                  <c:v>185.89</c:v>
                </c:pt>
                <c:pt idx="3">
                  <c:v>942.43</c:v>
                </c:pt>
                <c:pt idx="4">
                  <c:v>163.84</c:v>
                </c:pt>
                <c:pt idx="5">
                  <c:v>239.06</c:v>
                </c:pt>
                <c:pt idx="6">
                  <c:v>106.22</c:v>
                </c:pt>
                <c:pt idx="7">
                  <c:v>101.81</c:v>
                </c:pt>
                <c:pt idx="8">
                  <c:v>432.82</c:v>
                </c:pt>
                <c:pt idx="9">
                  <c:v>86.78</c:v>
                </c:pt>
                <c:pt idx="10">
                  <c:v>471.06</c:v>
                </c:pt>
                <c:pt idx="11">
                  <c:v>272.11</c:v>
                </c:pt>
                <c:pt idx="12">
                  <c:v>325.08</c:v>
                </c:pt>
                <c:pt idx="13">
                  <c:v>463.22</c:v>
                </c:pt>
                <c:pt idx="14">
                  <c:v>105.29</c:v>
                </c:pt>
              </c:numCache>
            </c:numRef>
          </c:val>
          <c:extLst>
            <c:ext xmlns:c16="http://schemas.microsoft.com/office/drawing/2014/chart" uri="{C3380CC4-5D6E-409C-BE32-E72D297353CC}">
              <c16:uniqueId val="{00000000-ADE6-47EB-8EDE-E427451F46A3}"/>
            </c:ext>
          </c:extLst>
        </c:ser>
        <c:dLbls>
          <c:showLegendKey val="0"/>
          <c:showVal val="0"/>
          <c:showCatName val="0"/>
          <c:showSerName val="0"/>
          <c:showPercent val="0"/>
          <c:showBubbleSize val="0"/>
        </c:dLbls>
        <c:gapWidth val="219"/>
        <c:overlap val="-27"/>
        <c:axId val="138002944"/>
        <c:axId val="67769984"/>
      </c:barChart>
      <c:catAx>
        <c:axId val="138002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7769984"/>
        <c:crosses val="autoZero"/>
        <c:auto val="1"/>
        <c:lblAlgn val="ctr"/>
        <c:lblOffset val="100"/>
        <c:noMultiLvlLbl val="0"/>
      </c:catAx>
      <c:valAx>
        <c:axId val="677699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800294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'9.1.3. RBDs'!$A$15</c:f>
              <c:strCache>
                <c:ptCount val="1"/>
                <c:pt idx="0">
                  <c:v>Дунавски район</c:v>
                </c:pt>
              </c:strCache>
            </c:strRef>
          </c:tx>
          <c:spPr>
            <a:solidFill>
              <a:schemeClr val="accent1"/>
            </a:solidFill>
            <a:ln>
              <a:noFill/>
            </a:ln>
            <a:effectLst/>
          </c:spPr>
          <c:invertIfNegative val="0"/>
          <c:val>
            <c:numRef>
              <c:f>'9.1.3. RBDs'!$K$15</c:f>
              <c:numCache>
                <c:formatCode>0.00</c:formatCode>
                <c:ptCount val="1"/>
                <c:pt idx="0">
                  <c:v>3044.2530000000002</c:v>
                </c:pt>
              </c:numCache>
            </c:numRef>
          </c:val>
          <c:extLst>
            <c:ext xmlns:c16="http://schemas.microsoft.com/office/drawing/2014/chart" uri="{C3380CC4-5D6E-409C-BE32-E72D297353CC}">
              <c16:uniqueId val="{00000000-AF7B-484A-8D8A-2F1068C96D22}"/>
            </c:ext>
          </c:extLst>
        </c:ser>
        <c:ser>
          <c:idx val="10"/>
          <c:order val="10"/>
          <c:tx>
            <c:strRef>
              <c:f>'9.1.3. RBDs'!$A$25</c:f>
              <c:strCache>
                <c:ptCount val="1"/>
                <c:pt idx="0">
                  <c:v>Черноморски район</c:v>
                </c:pt>
              </c:strCache>
            </c:strRef>
          </c:tx>
          <c:spPr>
            <a:solidFill>
              <a:schemeClr val="accent5">
                <a:lumMod val="60000"/>
              </a:schemeClr>
            </a:solidFill>
            <a:ln>
              <a:noFill/>
            </a:ln>
            <a:effectLst/>
          </c:spPr>
          <c:invertIfNegative val="0"/>
          <c:val>
            <c:numRef>
              <c:f>'9.1.3. RBDs'!$K$25</c:f>
              <c:numCache>
                <c:formatCode>0.00</c:formatCode>
                <c:ptCount val="1"/>
                <c:pt idx="0">
                  <c:v>295.79700000000003</c:v>
                </c:pt>
              </c:numCache>
            </c:numRef>
          </c:val>
          <c:extLst>
            <c:ext xmlns:c16="http://schemas.microsoft.com/office/drawing/2014/chart" uri="{C3380CC4-5D6E-409C-BE32-E72D297353CC}">
              <c16:uniqueId val="{00000001-AF7B-484A-8D8A-2F1068C96D22}"/>
            </c:ext>
          </c:extLst>
        </c:ser>
        <c:ser>
          <c:idx val="11"/>
          <c:order val="11"/>
          <c:tx>
            <c:strRef>
              <c:f>'9.1.3. RBDs'!$A$26</c:f>
              <c:strCache>
                <c:ptCount val="1"/>
                <c:pt idx="0">
                  <c:v>Иззета прясна вода - бруто</c:v>
                </c:pt>
              </c:strCache>
            </c:strRef>
          </c:tx>
          <c:spPr>
            <a:solidFill>
              <a:schemeClr val="accent6">
                <a:lumMod val="60000"/>
              </a:schemeClr>
            </a:solidFill>
            <a:ln>
              <a:noFill/>
            </a:ln>
            <a:effectLst/>
          </c:spPr>
          <c:invertIfNegative val="0"/>
          <c:val>
            <c:numRef>
              <c:f>'9.1.3. RBDs'!$K$26</c:f>
            </c:numRef>
          </c:val>
          <c:extLst>
            <c:ext xmlns:c16="http://schemas.microsoft.com/office/drawing/2014/chart" uri="{C3380CC4-5D6E-409C-BE32-E72D297353CC}">
              <c16:uniqueId val="{00000002-AF7B-484A-8D8A-2F1068C96D22}"/>
            </c:ext>
          </c:extLst>
        </c:ser>
        <c:ser>
          <c:idx val="12"/>
          <c:order val="12"/>
          <c:tx>
            <c:strRef>
              <c:f>'9.1.3. RBDs'!$A$27</c:f>
              <c:strCache>
                <c:ptCount val="1"/>
                <c:pt idx="0">
                  <c:v>Повърхностни водоизточници</c:v>
                </c:pt>
              </c:strCache>
            </c:strRef>
          </c:tx>
          <c:spPr>
            <a:solidFill>
              <a:schemeClr val="accent1">
                <a:lumMod val="80000"/>
                <a:lumOff val="20000"/>
              </a:schemeClr>
            </a:solidFill>
            <a:ln>
              <a:noFill/>
            </a:ln>
            <a:effectLst/>
          </c:spPr>
          <c:invertIfNegative val="0"/>
          <c:val>
            <c:numRef>
              <c:f>'9.1.3. RBDs'!$K$27</c:f>
            </c:numRef>
          </c:val>
          <c:extLst>
            <c:ext xmlns:c16="http://schemas.microsoft.com/office/drawing/2014/chart" uri="{C3380CC4-5D6E-409C-BE32-E72D297353CC}">
              <c16:uniqueId val="{00000003-AF7B-484A-8D8A-2F1068C96D22}"/>
            </c:ext>
          </c:extLst>
        </c:ser>
        <c:ser>
          <c:idx val="13"/>
          <c:order val="13"/>
          <c:tx>
            <c:strRef>
              <c:f>'9.1.3. RBDs'!$A$28</c:f>
              <c:strCache>
                <c:ptCount val="1"/>
                <c:pt idx="0">
                  <c:v>в т.ч.: Обществено водоснабдяване (ВиК)</c:v>
                </c:pt>
              </c:strCache>
            </c:strRef>
          </c:tx>
          <c:spPr>
            <a:solidFill>
              <a:schemeClr val="accent2">
                <a:lumMod val="80000"/>
                <a:lumOff val="20000"/>
              </a:schemeClr>
            </a:solidFill>
            <a:ln>
              <a:noFill/>
            </a:ln>
            <a:effectLst/>
          </c:spPr>
          <c:invertIfNegative val="0"/>
          <c:val>
            <c:numRef>
              <c:f>'9.1.3. RBDs'!$K$28</c:f>
            </c:numRef>
          </c:val>
          <c:extLst>
            <c:ext xmlns:c16="http://schemas.microsoft.com/office/drawing/2014/chart" uri="{C3380CC4-5D6E-409C-BE32-E72D297353CC}">
              <c16:uniqueId val="{00000004-AF7B-484A-8D8A-2F1068C96D22}"/>
            </c:ext>
          </c:extLst>
        </c:ser>
        <c:ser>
          <c:idx val="14"/>
          <c:order val="14"/>
          <c:tx>
            <c:strRef>
              <c:f>'9.1.3. RBDs'!$A$29</c:f>
              <c:strCache>
                <c:ptCount val="1"/>
                <c:pt idx="0">
                  <c:v>          Собствено и друго водоснабдяване</c:v>
                </c:pt>
              </c:strCache>
            </c:strRef>
          </c:tx>
          <c:spPr>
            <a:solidFill>
              <a:schemeClr val="accent3">
                <a:lumMod val="80000"/>
                <a:lumOff val="20000"/>
              </a:schemeClr>
            </a:solidFill>
            <a:ln>
              <a:noFill/>
            </a:ln>
            <a:effectLst/>
          </c:spPr>
          <c:invertIfNegative val="0"/>
          <c:val>
            <c:numRef>
              <c:f>'9.1.3. RBDs'!$K$29</c:f>
            </c:numRef>
          </c:val>
          <c:extLst>
            <c:ext xmlns:c16="http://schemas.microsoft.com/office/drawing/2014/chart" uri="{C3380CC4-5D6E-409C-BE32-E72D297353CC}">
              <c16:uniqueId val="{00000005-AF7B-484A-8D8A-2F1068C96D22}"/>
            </c:ext>
          </c:extLst>
        </c:ser>
        <c:ser>
          <c:idx val="15"/>
          <c:order val="15"/>
          <c:tx>
            <c:strRef>
              <c:f>'9.1.3. RBDs'!$A$30</c:f>
              <c:strCache>
                <c:ptCount val="1"/>
                <c:pt idx="0">
                  <c:v>Подземни водоизточници</c:v>
                </c:pt>
              </c:strCache>
            </c:strRef>
          </c:tx>
          <c:spPr>
            <a:solidFill>
              <a:schemeClr val="accent4">
                <a:lumMod val="80000"/>
                <a:lumOff val="20000"/>
              </a:schemeClr>
            </a:solidFill>
            <a:ln>
              <a:noFill/>
            </a:ln>
            <a:effectLst/>
          </c:spPr>
          <c:invertIfNegative val="0"/>
          <c:val>
            <c:numRef>
              <c:f>'9.1.3. RBDs'!$K$30</c:f>
            </c:numRef>
          </c:val>
          <c:extLst>
            <c:ext xmlns:c16="http://schemas.microsoft.com/office/drawing/2014/chart" uri="{C3380CC4-5D6E-409C-BE32-E72D297353CC}">
              <c16:uniqueId val="{00000006-AF7B-484A-8D8A-2F1068C96D22}"/>
            </c:ext>
          </c:extLst>
        </c:ser>
        <c:ser>
          <c:idx val="16"/>
          <c:order val="16"/>
          <c:tx>
            <c:strRef>
              <c:f>'9.1.3. RBDs'!$A$31</c:f>
              <c:strCache>
                <c:ptCount val="1"/>
                <c:pt idx="0">
                  <c:v>в т.ч.: Обществено водоснабдяване (ВиК)</c:v>
                </c:pt>
              </c:strCache>
            </c:strRef>
          </c:tx>
          <c:spPr>
            <a:solidFill>
              <a:schemeClr val="accent5">
                <a:lumMod val="80000"/>
                <a:lumOff val="20000"/>
              </a:schemeClr>
            </a:solidFill>
            <a:ln>
              <a:noFill/>
            </a:ln>
            <a:effectLst/>
          </c:spPr>
          <c:invertIfNegative val="0"/>
          <c:val>
            <c:numRef>
              <c:f>'9.1.3. RBDs'!$K$31</c:f>
            </c:numRef>
          </c:val>
          <c:extLst>
            <c:ext xmlns:c16="http://schemas.microsoft.com/office/drawing/2014/chart" uri="{C3380CC4-5D6E-409C-BE32-E72D297353CC}">
              <c16:uniqueId val="{00000007-AF7B-484A-8D8A-2F1068C96D22}"/>
            </c:ext>
          </c:extLst>
        </c:ser>
        <c:ser>
          <c:idx val="17"/>
          <c:order val="17"/>
          <c:tx>
            <c:strRef>
              <c:f>'9.1.3. RBDs'!$A$32</c:f>
              <c:strCache>
                <c:ptCount val="1"/>
                <c:pt idx="0">
                  <c:v>          Собствено и друго водоснабдяване</c:v>
                </c:pt>
              </c:strCache>
            </c:strRef>
          </c:tx>
          <c:spPr>
            <a:solidFill>
              <a:schemeClr val="accent6">
                <a:lumMod val="80000"/>
                <a:lumOff val="20000"/>
              </a:schemeClr>
            </a:solidFill>
            <a:ln>
              <a:noFill/>
            </a:ln>
            <a:effectLst/>
          </c:spPr>
          <c:invertIfNegative val="0"/>
          <c:val>
            <c:numRef>
              <c:f>'9.1.3. RBDs'!$K$32</c:f>
            </c:numRef>
          </c:val>
          <c:extLst>
            <c:ext xmlns:c16="http://schemas.microsoft.com/office/drawing/2014/chart" uri="{C3380CC4-5D6E-409C-BE32-E72D297353CC}">
              <c16:uniqueId val="{00000008-AF7B-484A-8D8A-2F1068C96D22}"/>
            </c:ext>
          </c:extLst>
        </c:ser>
        <c:ser>
          <c:idx val="18"/>
          <c:order val="18"/>
          <c:tx>
            <c:strRef>
              <c:f>'9.1.3. RBDs'!$A$33</c:f>
              <c:strCache>
                <c:ptCount val="1"/>
                <c:pt idx="0">
                  <c:v>Непрясна вода</c:v>
                </c:pt>
              </c:strCache>
            </c:strRef>
          </c:tx>
          <c:spPr>
            <a:solidFill>
              <a:schemeClr val="accent1">
                <a:lumMod val="80000"/>
              </a:schemeClr>
            </a:solidFill>
            <a:ln>
              <a:noFill/>
            </a:ln>
            <a:effectLst/>
          </c:spPr>
          <c:invertIfNegative val="0"/>
          <c:val>
            <c:numRef>
              <c:f>'9.1.3. RBDs'!$K$33</c:f>
            </c:numRef>
          </c:val>
          <c:extLst>
            <c:ext xmlns:c16="http://schemas.microsoft.com/office/drawing/2014/chart" uri="{C3380CC4-5D6E-409C-BE32-E72D297353CC}">
              <c16:uniqueId val="{00000009-AF7B-484A-8D8A-2F1068C96D22}"/>
            </c:ext>
          </c:extLst>
        </c:ser>
        <c:ser>
          <c:idx val="19"/>
          <c:order val="19"/>
          <c:tx>
            <c:strRef>
              <c:f>'9.1.3. RBDs'!$A$34</c:f>
              <c:strCache>
                <c:ptCount val="1"/>
                <c:pt idx="0">
                  <c:v>Загуби на вода, общо1</c:v>
                </c:pt>
              </c:strCache>
            </c:strRef>
          </c:tx>
          <c:spPr>
            <a:solidFill>
              <a:schemeClr val="accent2">
                <a:lumMod val="80000"/>
              </a:schemeClr>
            </a:solidFill>
            <a:ln>
              <a:noFill/>
            </a:ln>
            <a:effectLst/>
          </c:spPr>
          <c:invertIfNegative val="0"/>
          <c:val>
            <c:numRef>
              <c:f>'9.1.3. RBDs'!$K$34</c:f>
            </c:numRef>
          </c:val>
          <c:extLst>
            <c:ext xmlns:c16="http://schemas.microsoft.com/office/drawing/2014/chart" uri="{C3380CC4-5D6E-409C-BE32-E72D297353CC}">
              <c16:uniqueId val="{0000000A-AF7B-484A-8D8A-2F1068C96D22}"/>
            </c:ext>
          </c:extLst>
        </c:ser>
        <c:ser>
          <c:idx val="20"/>
          <c:order val="20"/>
          <c:tx>
            <c:strRef>
              <c:f>'9.1.3. RBDs'!$A$35</c:f>
              <c:strCache>
                <c:ptCount val="1"/>
                <c:pt idx="0">
                  <c:v>Източнобеломорски район</c:v>
                </c:pt>
              </c:strCache>
            </c:strRef>
          </c:tx>
          <c:spPr>
            <a:solidFill>
              <a:schemeClr val="accent3">
                <a:lumMod val="80000"/>
              </a:schemeClr>
            </a:solidFill>
            <a:ln>
              <a:noFill/>
            </a:ln>
            <a:effectLst/>
          </c:spPr>
          <c:invertIfNegative val="0"/>
          <c:val>
            <c:numRef>
              <c:f>'9.1.3. RBDs'!$K$35</c:f>
              <c:numCache>
                <c:formatCode>0.00</c:formatCode>
                <c:ptCount val="1"/>
                <c:pt idx="0">
                  <c:v>1966.3230000000001</c:v>
                </c:pt>
              </c:numCache>
            </c:numRef>
          </c:val>
          <c:extLst>
            <c:ext xmlns:c16="http://schemas.microsoft.com/office/drawing/2014/chart" uri="{C3380CC4-5D6E-409C-BE32-E72D297353CC}">
              <c16:uniqueId val="{0000000B-AF7B-484A-8D8A-2F1068C96D22}"/>
            </c:ext>
          </c:extLst>
        </c:ser>
        <c:ser>
          <c:idx val="21"/>
          <c:order val="21"/>
          <c:tx>
            <c:strRef>
              <c:f>'9.1.3. RBDs'!$A$36</c:f>
              <c:strCache>
                <c:ptCount val="1"/>
                <c:pt idx="0">
                  <c:v>Иззета прясна вода - бруто</c:v>
                </c:pt>
              </c:strCache>
            </c:strRef>
          </c:tx>
          <c:spPr>
            <a:solidFill>
              <a:schemeClr val="accent4">
                <a:lumMod val="80000"/>
              </a:schemeClr>
            </a:solidFill>
            <a:ln>
              <a:noFill/>
            </a:ln>
            <a:effectLst/>
          </c:spPr>
          <c:invertIfNegative val="0"/>
          <c:val>
            <c:numRef>
              <c:f>'9.1.3. RBDs'!$K$36</c:f>
            </c:numRef>
          </c:val>
          <c:extLst>
            <c:ext xmlns:c16="http://schemas.microsoft.com/office/drawing/2014/chart" uri="{C3380CC4-5D6E-409C-BE32-E72D297353CC}">
              <c16:uniqueId val="{0000000C-AF7B-484A-8D8A-2F1068C96D22}"/>
            </c:ext>
          </c:extLst>
        </c:ser>
        <c:ser>
          <c:idx val="22"/>
          <c:order val="22"/>
          <c:tx>
            <c:strRef>
              <c:f>'9.1.3. RBDs'!$A$37</c:f>
              <c:strCache>
                <c:ptCount val="1"/>
                <c:pt idx="0">
                  <c:v>Повърхностни водоизточници</c:v>
                </c:pt>
              </c:strCache>
            </c:strRef>
          </c:tx>
          <c:spPr>
            <a:solidFill>
              <a:schemeClr val="accent5">
                <a:lumMod val="80000"/>
              </a:schemeClr>
            </a:solidFill>
            <a:ln>
              <a:noFill/>
            </a:ln>
            <a:effectLst/>
          </c:spPr>
          <c:invertIfNegative val="0"/>
          <c:val>
            <c:numRef>
              <c:f>'9.1.3. RBDs'!$K$37</c:f>
            </c:numRef>
          </c:val>
          <c:extLst>
            <c:ext xmlns:c16="http://schemas.microsoft.com/office/drawing/2014/chart" uri="{C3380CC4-5D6E-409C-BE32-E72D297353CC}">
              <c16:uniqueId val="{0000000D-AF7B-484A-8D8A-2F1068C96D22}"/>
            </c:ext>
          </c:extLst>
        </c:ser>
        <c:ser>
          <c:idx val="23"/>
          <c:order val="23"/>
          <c:tx>
            <c:strRef>
              <c:f>'9.1.3. RBDs'!$A$38</c:f>
              <c:strCache>
                <c:ptCount val="1"/>
                <c:pt idx="0">
                  <c:v>в т.ч.: Обществено водоснабдяване (ВиК)</c:v>
                </c:pt>
              </c:strCache>
            </c:strRef>
          </c:tx>
          <c:spPr>
            <a:solidFill>
              <a:schemeClr val="accent6">
                <a:lumMod val="80000"/>
              </a:schemeClr>
            </a:solidFill>
            <a:ln>
              <a:noFill/>
            </a:ln>
            <a:effectLst/>
          </c:spPr>
          <c:invertIfNegative val="0"/>
          <c:val>
            <c:numRef>
              <c:f>'9.1.3. RBDs'!$K$38</c:f>
            </c:numRef>
          </c:val>
          <c:extLst>
            <c:ext xmlns:c16="http://schemas.microsoft.com/office/drawing/2014/chart" uri="{C3380CC4-5D6E-409C-BE32-E72D297353CC}">
              <c16:uniqueId val="{0000000E-AF7B-484A-8D8A-2F1068C96D22}"/>
            </c:ext>
          </c:extLst>
        </c:ser>
        <c:ser>
          <c:idx val="24"/>
          <c:order val="24"/>
          <c:tx>
            <c:strRef>
              <c:f>'9.1.3. RBDs'!$A$39</c:f>
              <c:strCache>
                <c:ptCount val="1"/>
                <c:pt idx="0">
                  <c:v>          Собствено и друго водоснабдяване</c:v>
                </c:pt>
              </c:strCache>
            </c:strRef>
          </c:tx>
          <c:spPr>
            <a:solidFill>
              <a:schemeClr val="accent1">
                <a:lumMod val="60000"/>
                <a:lumOff val="40000"/>
              </a:schemeClr>
            </a:solidFill>
            <a:ln>
              <a:noFill/>
            </a:ln>
            <a:effectLst/>
          </c:spPr>
          <c:invertIfNegative val="0"/>
          <c:val>
            <c:numRef>
              <c:f>'9.1.3. RBDs'!$K$39</c:f>
            </c:numRef>
          </c:val>
          <c:extLst>
            <c:ext xmlns:c16="http://schemas.microsoft.com/office/drawing/2014/chart" uri="{C3380CC4-5D6E-409C-BE32-E72D297353CC}">
              <c16:uniqueId val="{0000000F-AF7B-484A-8D8A-2F1068C96D22}"/>
            </c:ext>
          </c:extLst>
        </c:ser>
        <c:ser>
          <c:idx val="25"/>
          <c:order val="25"/>
          <c:tx>
            <c:strRef>
              <c:f>'9.1.3. RBDs'!$A$40</c:f>
              <c:strCache>
                <c:ptCount val="1"/>
                <c:pt idx="0">
                  <c:v>Подземни водоизточници</c:v>
                </c:pt>
              </c:strCache>
            </c:strRef>
          </c:tx>
          <c:spPr>
            <a:solidFill>
              <a:schemeClr val="accent2">
                <a:lumMod val="60000"/>
                <a:lumOff val="40000"/>
              </a:schemeClr>
            </a:solidFill>
            <a:ln>
              <a:noFill/>
            </a:ln>
            <a:effectLst/>
          </c:spPr>
          <c:invertIfNegative val="0"/>
          <c:val>
            <c:numRef>
              <c:f>'9.1.3. RBDs'!$K$40</c:f>
            </c:numRef>
          </c:val>
          <c:extLst>
            <c:ext xmlns:c16="http://schemas.microsoft.com/office/drawing/2014/chart" uri="{C3380CC4-5D6E-409C-BE32-E72D297353CC}">
              <c16:uniqueId val="{00000010-AF7B-484A-8D8A-2F1068C96D22}"/>
            </c:ext>
          </c:extLst>
        </c:ser>
        <c:ser>
          <c:idx val="26"/>
          <c:order val="26"/>
          <c:tx>
            <c:strRef>
              <c:f>'9.1.3. RBDs'!$A$41</c:f>
              <c:strCache>
                <c:ptCount val="1"/>
                <c:pt idx="0">
                  <c:v>в т.ч.: Обществено водоснабдяване (ВиК)</c:v>
                </c:pt>
              </c:strCache>
            </c:strRef>
          </c:tx>
          <c:spPr>
            <a:solidFill>
              <a:schemeClr val="accent3">
                <a:lumMod val="60000"/>
                <a:lumOff val="40000"/>
              </a:schemeClr>
            </a:solidFill>
            <a:ln>
              <a:noFill/>
            </a:ln>
            <a:effectLst/>
          </c:spPr>
          <c:invertIfNegative val="0"/>
          <c:val>
            <c:numRef>
              <c:f>'9.1.3. RBDs'!$K$41</c:f>
            </c:numRef>
          </c:val>
          <c:extLst>
            <c:ext xmlns:c16="http://schemas.microsoft.com/office/drawing/2014/chart" uri="{C3380CC4-5D6E-409C-BE32-E72D297353CC}">
              <c16:uniqueId val="{00000011-AF7B-484A-8D8A-2F1068C96D22}"/>
            </c:ext>
          </c:extLst>
        </c:ser>
        <c:ser>
          <c:idx val="27"/>
          <c:order val="27"/>
          <c:tx>
            <c:strRef>
              <c:f>'9.1.3. RBDs'!$A$42</c:f>
              <c:strCache>
                <c:ptCount val="1"/>
                <c:pt idx="0">
                  <c:v>          Собствено и друго водоснабдяване</c:v>
                </c:pt>
              </c:strCache>
            </c:strRef>
          </c:tx>
          <c:spPr>
            <a:solidFill>
              <a:schemeClr val="accent4">
                <a:lumMod val="60000"/>
                <a:lumOff val="40000"/>
              </a:schemeClr>
            </a:solidFill>
            <a:ln>
              <a:noFill/>
            </a:ln>
            <a:effectLst/>
          </c:spPr>
          <c:invertIfNegative val="0"/>
          <c:val>
            <c:numRef>
              <c:f>'9.1.3. RBDs'!$K$42</c:f>
            </c:numRef>
          </c:val>
          <c:extLst>
            <c:ext xmlns:c16="http://schemas.microsoft.com/office/drawing/2014/chart" uri="{C3380CC4-5D6E-409C-BE32-E72D297353CC}">
              <c16:uniqueId val="{00000012-AF7B-484A-8D8A-2F1068C96D22}"/>
            </c:ext>
          </c:extLst>
        </c:ser>
        <c:ser>
          <c:idx val="28"/>
          <c:order val="28"/>
          <c:tx>
            <c:strRef>
              <c:f>'9.1.3. RBDs'!$A$43</c:f>
              <c:strCache>
                <c:ptCount val="1"/>
                <c:pt idx="0">
                  <c:v>Непрясна вода</c:v>
                </c:pt>
              </c:strCache>
            </c:strRef>
          </c:tx>
          <c:spPr>
            <a:solidFill>
              <a:schemeClr val="accent5">
                <a:lumMod val="60000"/>
                <a:lumOff val="40000"/>
              </a:schemeClr>
            </a:solidFill>
            <a:ln>
              <a:noFill/>
            </a:ln>
            <a:effectLst/>
          </c:spPr>
          <c:invertIfNegative val="0"/>
          <c:val>
            <c:numRef>
              <c:f>'9.1.3. RBDs'!$K$43</c:f>
            </c:numRef>
          </c:val>
          <c:extLst>
            <c:ext xmlns:c16="http://schemas.microsoft.com/office/drawing/2014/chart" uri="{C3380CC4-5D6E-409C-BE32-E72D297353CC}">
              <c16:uniqueId val="{00000013-AF7B-484A-8D8A-2F1068C96D22}"/>
            </c:ext>
          </c:extLst>
        </c:ser>
        <c:ser>
          <c:idx val="29"/>
          <c:order val="29"/>
          <c:tx>
            <c:strRef>
              <c:f>'9.1.3. RBDs'!$A$44</c:f>
              <c:strCache>
                <c:ptCount val="1"/>
                <c:pt idx="0">
                  <c:v>Загуби на вода, общо1</c:v>
                </c:pt>
              </c:strCache>
            </c:strRef>
          </c:tx>
          <c:spPr>
            <a:solidFill>
              <a:schemeClr val="accent6">
                <a:lumMod val="60000"/>
                <a:lumOff val="40000"/>
              </a:schemeClr>
            </a:solidFill>
            <a:ln>
              <a:noFill/>
            </a:ln>
            <a:effectLst/>
          </c:spPr>
          <c:invertIfNegative val="0"/>
          <c:val>
            <c:numRef>
              <c:f>'9.1.3. RBDs'!$K$44</c:f>
            </c:numRef>
          </c:val>
          <c:extLst>
            <c:ext xmlns:c16="http://schemas.microsoft.com/office/drawing/2014/chart" uri="{C3380CC4-5D6E-409C-BE32-E72D297353CC}">
              <c16:uniqueId val="{00000014-AF7B-484A-8D8A-2F1068C96D22}"/>
            </c:ext>
          </c:extLst>
        </c:ser>
        <c:ser>
          <c:idx val="30"/>
          <c:order val="30"/>
          <c:tx>
            <c:strRef>
              <c:f>'9.1.3. RBDs'!$A$45</c:f>
              <c:strCache>
                <c:ptCount val="1"/>
                <c:pt idx="0">
                  <c:v>Западнобеломорски район</c:v>
                </c:pt>
              </c:strCache>
            </c:strRef>
          </c:tx>
          <c:spPr>
            <a:solidFill>
              <a:schemeClr val="accent1">
                <a:lumMod val="50000"/>
              </a:schemeClr>
            </a:solidFill>
            <a:ln>
              <a:noFill/>
            </a:ln>
            <a:effectLst/>
          </c:spPr>
          <c:invertIfNegative val="0"/>
          <c:val>
            <c:numRef>
              <c:f>'9.1.3. RBDs'!$K$45</c:f>
              <c:numCache>
                <c:formatCode>0.00</c:formatCode>
                <c:ptCount val="1"/>
                <c:pt idx="0">
                  <c:v>118.85899999999999</c:v>
                </c:pt>
              </c:numCache>
            </c:numRef>
          </c:val>
          <c:extLst>
            <c:ext xmlns:c16="http://schemas.microsoft.com/office/drawing/2014/chart" uri="{C3380CC4-5D6E-409C-BE32-E72D297353CC}">
              <c16:uniqueId val="{00000015-AF7B-484A-8D8A-2F1068C96D22}"/>
            </c:ext>
          </c:extLst>
        </c:ser>
        <c:ser>
          <c:idx val="1"/>
          <c:order val="1"/>
          <c:tx>
            <c:strRef>
              <c:f>'9.1.3. RBDs'!$A$16</c:f>
              <c:strCache>
                <c:ptCount val="1"/>
                <c:pt idx="0">
                  <c:v>Иззета прясна вода - бруто</c:v>
                </c:pt>
              </c:strCache>
            </c:strRef>
          </c:tx>
          <c:spPr>
            <a:solidFill>
              <a:schemeClr val="accent2"/>
            </a:solidFill>
            <a:ln>
              <a:noFill/>
            </a:ln>
            <a:effectLst/>
          </c:spPr>
          <c:invertIfNegative val="0"/>
          <c:val>
            <c:numRef>
              <c:f>'9.1.3. RBDs'!$K$16</c:f>
            </c:numRef>
          </c:val>
          <c:extLst>
            <c:ext xmlns:c16="http://schemas.microsoft.com/office/drawing/2014/chart" uri="{C3380CC4-5D6E-409C-BE32-E72D297353CC}">
              <c16:uniqueId val="{00000016-AF7B-484A-8D8A-2F1068C96D22}"/>
            </c:ext>
          </c:extLst>
        </c:ser>
        <c:ser>
          <c:idx val="2"/>
          <c:order val="2"/>
          <c:tx>
            <c:strRef>
              <c:f>'9.1.3. RBDs'!$A$17</c:f>
              <c:strCache>
                <c:ptCount val="1"/>
                <c:pt idx="0">
                  <c:v>Повърхностни водоизточници</c:v>
                </c:pt>
              </c:strCache>
            </c:strRef>
          </c:tx>
          <c:spPr>
            <a:solidFill>
              <a:schemeClr val="accent3"/>
            </a:solidFill>
            <a:ln>
              <a:noFill/>
            </a:ln>
            <a:effectLst/>
          </c:spPr>
          <c:invertIfNegative val="0"/>
          <c:val>
            <c:numRef>
              <c:f>'9.1.3. RBDs'!$K$17</c:f>
            </c:numRef>
          </c:val>
          <c:extLst>
            <c:ext xmlns:c16="http://schemas.microsoft.com/office/drawing/2014/chart" uri="{C3380CC4-5D6E-409C-BE32-E72D297353CC}">
              <c16:uniqueId val="{00000017-AF7B-484A-8D8A-2F1068C96D22}"/>
            </c:ext>
          </c:extLst>
        </c:ser>
        <c:ser>
          <c:idx val="3"/>
          <c:order val="3"/>
          <c:tx>
            <c:strRef>
              <c:f>'9.1.3. RBDs'!$A$18</c:f>
              <c:strCache>
                <c:ptCount val="1"/>
                <c:pt idx="0">
                  <c:v>в т.ч.: Обществено водоснабдяване (ВиК)</c:v>
                </c:pt>
              </c:strCache>
            </c:strRef>
          </c:tx>
          <c:spPr>
            <a:solidFill>
              <a:schemeClr val="accent4"/>
            </a:solidFill>
            <a:ln>
              <a:noFill/>
            </a:ln>
            <a:effectLst/>
          </c:spPr>
          <c:invertIfNegative val="0"/>
          <c:val>
            <c:numRef>
              <c:f>'9.1.3. RBDs'!$K$18</c:f>
            </c:numRef>
          </c:val>
          <c:extLst>
            <c:ext xmlns:c16="http://schemas.microsoft.com/office/drawing/2014/chart" uri="{C3380CC4-5D6E-409C-BE32-E72D297353CC}">
              <c16:uniqueId val="{00000018-AF7B-484A-8D8A-2F1068C96D22}"/>
            </c:ext>
          </c:extLst>
        </c:ser>
        <c:ser>
          <c:idx val="4"/>
          <c:order val="4"/>
          <c:tx>
            <c:strRef>
              <c:f>'9.1.3. RBDs'!$A$19</c:f>
              <c:strCache>
                <c:ptCount val="1"/>
                <c:pt idx="0">
                  <c:v>          Собствено и друго водоснабдяване</c:v>
                </c:pt>
              </c:strCache>
            </c:strRef>
          </c:tx>
          <c:spPr>
            <a:solidFill>
              <a:schemeClr val="accent5"/>
            </a:solidFill>
            <a:ln>
              <a:noFill/>
            </a:ln>
            <a:effectLst/>
          </c:spPr>
          <c:invertIfNegative val="0"/>
          <c:val>
            <c:numRef>
              <c:f>'9.1.3. RBDs'!$K$19</c:f>
            </c:numRef>
          </c:val>
          <c:extLst>
            <c:ext xmlns:c16="http://schemas.microsoft.com/office/drawing/2014/chart" uri="{C3380CC4-5D6E-409C-BE32-E72D297353CC}">
              <c16:uniqueId val="{00000019-AF7B-484A-8D8A-2F1068C96D22}"/>
            </c:ext>
          </c:extLst>
        </c:ser>
        <c:ser>
          <c:idx val="5"/>
          <c:order val="5"/>
          <c:tx>
            <c:strRef>
              <c:f>'9.1.3. RBDs'!$A$20</c:f>
              <c:strCache>
                <c:ptCount val="1"/>
                <c:pt idx="0">
                  <c:v>Подземни водоизточници</c:v>
                </c:pt>
              </c:strCache>
            </c:strRef>
          </c:tx>
          <c:spPr>
            <a:solidFill>
              <a:schemeClr val="accent6"/>
            </a:solidFill>
            <a:ln>
              <a:noFill/>
            </a:ln>
            <a:effectLst/>
          </c:spPr>
          <c:invertIfNegative val="0"/>
          <c:val>
            <c:numRef>
              <c:f>'9.1.3. RBDs'!$K$20</c:f>
            </c:numRef>
          </c:val>
          <c:extLst>
            <c:ext xmlns:c16="http://schemas.microsoft.com/office/drawing/2014/chart" uri="{C3380CC4-5D6E-409C-BE32-E72D297353CC}">
              <c16:uniqueId val="{0000001A-AF7B-484A-8D8A-2F1068C96D22}"/>
            </c:ext>
          </c:extLst>
        </c:ser>
        <c:ser>
          <c:idx val="6"/>
          <c:order val="6"/>
          <c:tx>
            <c:strRef>
              <c:f>'9.1.3. RBDs'!$A$21</c:f>
              <c:strCache>
                <c:ptCount val="1"/>
                <c:pt idx="0">
                  <c:v>в т.ч.: Обществено водоснабдяване (ВиК)</c:v>
                </c:pt>
              </c:strCache>
            </c:strRef>
          </c:tx>
          <c:spPr>
            <a:solidFill>
              <a:schemeClr val="accent1">
                <a:lumMod val="60000"/>
              </a:schemeClr>
            </a:solidFill>
            <a:ln>
              <a:noFill/>
            </a:ln>
            <a:effectLst/>
          </c:spPr>
          <c:invertIfNegative val="0"/>
          <c:val>
            <c:numRef>
              <c:f>'9.1.3. RBDs'!$K$21</c:f>
            </c:numRef>
          </c:val>
          <c:extLst>
            <c:ext xmlns:c16="http://schemas.microsoft.com/office/drawing/2014/chart" uri="{C3380CC4-5D6E-409C-BE32-E72D297353CC}">
              <c16:uniqueId val="{0000001B-AF7B-484A-8D8A-2F1068C96D22}"/>
            </c:ext>
          </c:extLst>
        </c:ser>
        <c:ser>
          <c:idx val="7"/>
          <c:order val="7"/>
          <c:tx>
            <c:strRef>
              <c:f>'9.1.3. RBDs'!$A$22</c:f>
              <c:strCache>
                <c:ptCount val="1"/>
                <c:pt idx="0">
                  <c:v>          Собствено и друго водоснабдяване</c:v>
                </c:pt>
              </c:strCache>
            </c:strRef>
          </c:tx>
          <c:spPr>
            <a:solidFill>
              <a:schemeClr val="accent2">
                <a:lumMod val="60000"/>
              </a:schemeClr>
            </a:solidFill>
            <a:ln>
              <a:noFill/>
            </a:ln>
            <a:effectLst/>
          </c:spPr>
          <c:invertIfNegative val="0"/>
          <c:val>
            <c:numRef>
              <c:f>'9.1.3. RBDs'!$K$22</c:f>
            </c:numRef>
          </c:val>
          <c:extLst>
            <c:ext xmlns:c16="http://schemas.microsoft.com/office/drawing/2014/chart" uri="{C3380CC4-5D6E-409C-BE32-E72D297353CC}">
              <c16:uniqueId val="{0000001C-AF7B-484A-8D8A-2F1068C96D22}"/>
            </c:ext>
          </c:extLst>
        </c:ser>
        <c:ser>
          <c:idx val="8"/>
          <c:order val="8"/>
          <c:tx>
            <c:strRef>
              <c:f>'9.1.3. RBDs'!$A$23</c:f>
              <c:strCache>
                <c:ptCount val="1"/>
                <c:pt idx="0">
                  <c:v>Непрясна вода</c:v>
                </c:pt>
              </c:strCache>
            </c:strRef>
          </c:tx>
          <c:spPr>
            <a:solidFill>
              <a:schemeClr val="accent3">
                <a:lumMod val="60000"/>
              </a:schemeClr>
            </a:solidFill>
            <a:ln>
              <a:noFill/>
            </a:ln>
            <a:effectLst/>
          </c:spPr>
          <c:invertIfNegative val="0"/>
          <c:val>
            <c:numRef>
              <c:f>'9.1.3. RBDs'!$K$23</c:f>
            </c:numRef>
          </c:val>
          <c:extLst>
            <c:ext xmlns:c16="http://schemas.microsoft.com/office/drawing/2014/chart" uri="{C3380CC4-5D6E-409C-BE32-E72D297353CC}">
              <c16:uniqueId val="{0000001D-AF7B-484A-8D8A-2F1068C96D22}"/>
            </c:ext>
          </c:extLst>
        </c:ser>
        <c:ser>
          <c:idx val="9"/>
          <c:order val="9"/>
          <c:tx>
            <c:strRef>
              <c:f>'9.1.3. RBDs'!$A$24</c:f>
              <c:strCache>
                <c:ptCount val="1"/>
                <c:pt idx="0">
                  <c:v>Загуби на вода, общо1</c:v>
                </c:pt>
              </c:strCache>
            </c:strRef>
          </c:tx>
          <c:spPr>
            <a:solidFill>
              <a:schemeClr val="accent4">
                <a:lumMod val="60000"/>
              </a:schemeClr>
            </a:solidFill>
            <a:ln>
              <a:noFill/>
            </a:ln>
            <a:effectLst/>
          </c:spPr>
          <c:invertIfNegative val="0"/>
          <c:val>
            <c:numRef>
              <c:f>'9.1.3. RBDs'!$K$24</c:f>
            </c:numRef>
          </c:val>
          <c:extLst>
            <c:ext xmlns:c16="http://schemas.microsoft.com/office/drawing/2014/chart" uri="{C3380CC4-5D6E-409C-BE32-E72D297353CC}">
              <c16:uniqueId val="{0000001E-AF7B-484A-8D8A-2F1068C96D22}"/>
            </c:ext>
          </c:extLst>
        </c:ser>
        <c:dLbls>
          <c:showLegendKey val="0"/>
          <c:showVal val="0"/>
          <c:showCatName val="0"/>
          <c:showSerName val="0"/>
          <c:showPercent val="0"/>
          <c:showBubbleSize val="0"/>
        </c:dLbls>
        <c:gapWidth val="150"/>
        <c:overlap val="100"/>
        <c:axId val="138003456"/>
        <c:axId val="69320704"/>
      </c:barChart>
      <c:catAx>
        <c:axId val="138003456"/>
        <c:scaling>
          <c:orientation val="minMax"/>
        </c:scaling>
        <c:delete val="1"/>
        <c:axPos val="l"/>
        <c:numFmt formatCode="General" sourceLinked="1"/>
        <c:majorTickMark val="none"/>
        <c:minorTickMark val="none"/>
        <c:tickLblPos val="nextTo"/>
        <c:crossAx val="69320704"/>
        <c:crosses val="autoZero"/>
        <c:auto val="1"/>
        <c:lblAlgn val="ctr"/>
        <c:lblOffset val="100"/>
        <c:noMultiLvlLbl val="0"/>
      </c:catAx>
      <c:valAx>
        <c:axId val="69320704"/>
        <c:scaling>
          <c:orientation val="minMax"/>
        </c:scaling>
        <c:delete val="0"/>
        <c:axPos val="b"/>
        <c:majorGridlines>
          <c:spPr>
            <a:ln w="9525" cap="flat" cmpd="sng" algn="ctr">
              <a:solidFill>
                <a:schemeClr val="bg1"/>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8003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0" cap="flat" cmpd="sng" algn="ctr">
      <a:solidFill>
        <a:schemeClr val="bg1">
          <a:lumMod val="6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(3)'!$B$26:$B$49</c:f>
            </c:numRef>
          </c:val>
          <c:extLst>
            <c:ext xmlns:c16="http://schemas.microsoft.com/office/drawing/2014/chart" uri="{C3380CC4-5D6E-409C-BE32-E72D297353CC}">
              <c16:uniqueId val="{00000000-3153-404E-8664-D240AE3E09D3}"/>
            </c:ext>
          </c:extLst>
        </c:ser>
        <c:ser>
          <c:idx val="1"/>
          <c:order val="1"/>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(3)'!$C$26:$C$49</c:f>
            </c:numRef>
          </c:val>
          <c:extLst>
            <c:ext xmlns:c16="http://schemas.microsoft.com/office/drawing/2014/chart" uri="{C3380CC4-5D6E-409C-BE32-E72D297353CC}">
              <c16:uniqueId val="{00000001-3153-404E-8664-D240AE3E09D3}"/>
            </c:ext>
          </c:extLst>
        </c:ser>
        <c:ser>
          <c:idx val="2"/>
          <c:order val="2"/>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(3)'!$D$26:$D$49</c:f>
            </c:numRef>
          </c:val>
          <c:extLst>
            <c:ext xmlns:c16="http://schemas.microsoft.com/office/drawing/2014/chart" uri="{C3380CC4-5D6E-409C-BE32-E72D297353CC}">
              <c16:uniqueId val="{00000002-3153-404E-8664-D240AE3E09D3}"/>
            </c:ext>
          </c:extLst>
        </c:ser>
        <c:ser>
          <c:idx val="3"/>
          <c:order val="3"/>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(3)'!$E$26:$E$49</c:f>
            </c:numRef>
          </c:val>
          <c:extLst>
            <c:ext xmlns:c16="http://schemas.microsoft.com/office/drawing/2014/chart" uri="{C3380CC4-5D6E-409C-BE32-E72D297353CC}">
              <c16:uniqueId val="{00000003-3153-404E-8664-D240AE3E09D3}"/>
            </c:ext>
          </c:extLst>
        </c:ser>
        <c:ser>
          <c:idx val="4"/>
          <c:order val="4"/>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(3)'!$F$26:$F$49</c:f>
            </c:numRef>
          </c:val>
          <c:extLst>
            <c:ext xmlns:c16="http://schemas.microsoft.com/office/drawing/2014/chart" uri="{C3380CC4-5D6E-409C-BE32-E72D297353CC}">
              <c16:uniqueId val="{00000004-3153-404E-8664-D240AE3E09D3}"/>
            </c:ext>
          </c:extLst>
        </c:ser>
        <c:ser>
          <c:idx val="5"/>
          <c:order val="5"/>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(3)'!$G$26:$G$49</c:f>
            </c:numRef>
          </c:val>
          <c:extLst>
            <c:ext xmlns:c16="http://schemas.microsoft.com/office/drawing/2014/chart" uri="{C3380CC4-5D6E-409C-BE32-E72D297353CC}">
              <c16:uniqueId val="{00000005-3153-404E-8664-D240AE3E09D3}"/>
            </c:ext>
          </c:extLst>
        </c:ser>
        <c:ser>
          <c:idx val="6"/>
          <c:order val="6"/>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(3)'!$H$26:$H$49</c:f>
            </c:numRef>
          </c:val>
          <c:extLst>
            <c:ext xmlns:c16="http://schemas.microsoft.com/office/drawing/2014/chart" uri="{C3380CC4-5D6E-409C-BE32-E72D297353CC}">
              <c16:uniqueId val="{00000006-3153-404E-8664-D240AE3E09D3}"/>
            </c:ext>
          </c:extLst>
        </c:ser>
        <c:ser>
          <c:idx val="7"/>
          <c:order val="7"/>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(3)'!$I$26:$I$49</c:f>
            </c:numRef>
          </c:val>
          <c:extLst>
            <c:ext xmlns:c16="http://schemas.microsoft.com/office/drawing/2014/chart" uri="{C3380CC4-5D6E-409C-BE32-E72D297353CC}">
              <c16:uniqueId val="{00000007-3153-404E-8664-D240AE3E09D3}"/>
            </c:ext>
          </c:extLst>
        </c:ser>
        <c:ser>
          <c:idx val="8"/>
          <c:order val="8"/>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(3)'!$J$26:$J$49</c:f>
            </c:numRef>
          </c:val>
          <c:extLst>
            <c:ext xmlns:c16="http://schemas.microsoft.com/office/drawing/2014/chart" uri="{C3380CC4-5D6E-409C-BE32-E72D297353CC}">
              <c16:uniqueId val="{00000008-3153-404E-8664-D240AE3E09D3}"/>
            </c:ext>
          </c:extLst>
        </c:ser>
        <c:ser>
          <c:idx val="9"/>
          <c:order val="9"/>
          <c:dPt>
            <c:idx val="0"/>
            <c:bubble3D val="0"/>
            <c:spPr>
              <a:solidFill>
                <a:schemeClr val="accent1"/>
              </a:solidFill>
              <a:ln w="19050">
                <a:solidFill>
                  <a:schemeClr val="lt1"/>
                </a:solidFill>
              </a:ln>
              <a:effectLst/>
            </c:spPr>
            <c:extLst>
              <c:ext xmlns:c16="http://schemas.microsoft.com/office/drawing/2014/chart" uri="{C3380CC4-5D6E-409C-BE32-E72D297353CC}">
                <c16:uniqueId val="{0000000A-3153-404E-8664-D240AE3E09D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C-3153-404E-8664-D240AE3E09D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E-3153-404E-8664-D240AE3E09D3}"/>
              </c:ext>
            </c:extLst>
          </c:dPt>
          <c:dLbls>
            <c:dLbl>
              <c:idx val="0"/>
              <c:layout>
                <c:manualLayout>
                  <c:x val="-7.2020467767938509E-2"/>
                  <c:y val="-0.1936485764898332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153-404E-8664-D240AE3E09D3}"/>
                </c:ext>
              </c:extLst>
            </c:dLbl>
            <c:dLbl>
              <c:idx val="1"/>
              <c:layout>
                <c:manualLayout>
                  <c:x val="8.3086053412462904E-2"/>
                  <c:y val="0.16304721866709609"/>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12759643916913946"/>
                      <c:h val="0.1108719052744887"/>
                    </c:manualLayout>
                  </c15:layout>
                </c:ext>
                <c:ext xmlns:c16="http://schemas.microsoft.com/office/drawing/2014/chart" uri="{C3380CC4-5D6E-409C-BE32-E72D297353CC}">
                  <c16:uniqueId val="{0000000C-3153-404E-8664-D240AE3E09D3}"/>
                </c:ext>
              </c:extLst>
            </c:dLbl>
            <c:dLbl>
              <c:idx val="2"/>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3153-404E-8664-D240AE3E09D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'9.1.1. Abstr BG (3)'!$A$26:$A$49</c:f>
              <c:strCache>
                <c:ptCount val="3"/>
                <c:pt idx="0">
                  <c:v>Повърхностни водоизточници</c:v>
                </c:pt>
                <c:pt idx="1">
                  <c:v>Подземни водоизточници</c:v>
                </c:pt>
                <c:pt idx="2">
                  <c:v>Непрясна вода</c:v>
                </c:pt>
              </c:strCache>
            </c:strRef>
          </c:cat>
          <c:val>
            <c:numRef>
              <c:f>'9.1.1. Abstr BG (3)'!$K$26:$K$49</c:f>
              <c:numCache>
                <c:formatCode>0.00</c:formatCode>
                <c:ptCount val="3"/>
                <c:pt idx="0">
                  <c:v>4858.759</c:v>
                </c:pt>
                <c:pt idx="1">
                  <c:v>566.47299999999996</c:v>
                </c:pt>
                <c:pt idx="2">
                  <c:v>10.374000000000001</c:v>
                </c:pt>
              </c:numCache>
            </c:numRef>
          </c:val>
          <c:extLst>
            <c:ext xmlns:c16="http://schemas.microsoft.com/office/drawing/2014/chart" uri="{C3380CC4-5D6E-409C-BE32-E72D297353CC}">
              <c16:uniqueId val="{0000000F-3153-404E-8664-D240AE3E09D3}"/>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57946825171853489"/>
          <c:y val="0.19228912254231695"/>
          <c:w val="0.27338146520035334"/>
          <c:h val="0.7278344099203168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6E1-4BB6-A6D2-93EF555F54A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6E1-4BB6-A6D2-93EF555F54A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6E1-4BB6-A6D2-93EF555F54A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6E1-4BB6-A6D2-93EF555F54A9}"/>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A6E1-4BB6-A6D2-93EF555F54A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EC!$A$3:$A$7</c:f>
              <c:strCache>
                <c:ptCount val="5"/>
                <c:pt idx="0">
                  <c:v>селско стопанство</c:v>
                </c:pt>
                <c:pt idx="1">
                  <c:v>производство и разпределение на електрическа и топлоенергия, газ</c:v>
                </c:pt>
                <c:pt idx="2">
                  <c:v>преработваща промишленост</c:v>
                </c:pt>
                <c:pt idx="3">
                  <c:v>услуги</c:v>
                </c:pt>
                <c:pt idx="4">
                  <c:v>домакинства</c:v>
                </c:pt>
              </c:strCache>
            </c:strRef>
          </c:cat>
          <c:val>
            <c:numRef>
              <c:f>EC!$B$3:$B$7</c:f>
              <c:numCache>
                <c:formatCode>0.00%</c:formatCode>
                <c:ptCount val="5"/>
                <c:pt idx="0">
                  <c:v>0.58299999999999996</c:v>
                </c:pt>
                <c:pt idx="1">
                  <c:v>0.182</c:v>
                </c:pt>
                <c:pt idx="2">
                  <c:v>0.106</c:v>
                </c:pt>
                <c:pt idx="3">
                  <c:v>3.3000000000000002E-2</c:v>
                </c:pt>
                <c:pt idx="4">
                  <c:v>9.6000000000000002E-2</c:v>
                </c:pt>
              </c:numCache>
            </c:numRef>
          </c:val>
          <c:extLst>
            <c:ext xmlns:c16="http://schemas.microsoft.com/office/drawing/2014/chart" uri="{C3380CC4-5D6E-409C-BE32-E72D297353CC}">
              <c16:uniqueId val="{0000000A-A6E1-4BB6-A6D2-93EF555F54A9}"/>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1998544018342028"/>
          <c:y val="4.6672979168743148E-2"/>
          <c:w val="0.36472343858803363"/>
          <c:h val="0.9066540416625137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F44D46-33C6-442B-9CED-738533C52A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63</Pages>
  <Words>23821</Words>
  <Characters>135785</Characters>
  <Application>Microsoft Office Word</Application>
  <DocSecurity>0</DocSecurity>
  <Lines>1131</Lines>
  <Paragraphs>318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Ruska Boyadzhieva</dc:creator>
  <cp:keywords/>
  <dc:description/>
  <cp:lastModifiedBy>kamelia</cp:lastModifiedBy>
  <cp:revision>2</cp:revision>
  <dcterms:created xsi:type="dcterms:W3CDTF">2021-06-13T22:18:00Z</dcterms:created>
  <dcterms:modified xsi:type="dcterms:W3CDTF">2021-06-13T22:18:00Z</dcterms:modified>
</cp:coreProperties>
</file>