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11C8" w14:textId="3B5A9874" w:rsidR="00B115FD" w:rsidRPr="00C04BF9" w:rsidRDefault="003A3C8A" w:rsidP="002D6DF2">
      <w:pPr>
        <w:shd w:val="clear" w:color="auto" w:fill="FFFFFF"/>
        <w:spacing w:after="0" w:line="235" w:lineRule="atLeast"/>
        <w:rPr>
          <w:rFonts w:ascii="Times New Roman" w:hAnsi="Times New Roman" w:cs="Times New Roman"/>
          <w:b/>
          <w:bCs/>
          <w:color w:val="2F5496" w:themeColor="accent1" w:themeShade="BF"/>
          <w:sz w:val="28"/>
          <w:szCs w:val="28"/>
          <w:lang w:val="bg-BG"/>
        </w:rPr>
      </w:pPr>
      <w:r w:rsidRPr="00C04BF9">
        <w:rPr>
          <w:rFonts w:ascii="Times New Roman" w:hAnsi="Times New Roman" w:cs="Times New Roman"/>
          <w:b/>
          <w:bCs/>
          <w:color w:val="2F5496" w:themeColor="accent1" w:themeShade="BF"/>
          <w:sz w:val="28"/>
          <w:szCs w:val="28"/>
          <w:lang w:val="bg-BG"/>
        </w:rPr>
        <w:t xml:space="preserve">Приложение </w:t>
      </w:r>
      <w:r w:rsidR="005241FC" w:rsidRPr="00C04BF9">
        <w:rPr>
          <w:rFonts w:ascii="Times New Roman" w:hAnsi="Times New Roman" w:cs="Times New Roman"/>
          <w:b/>
          <w:bCs/>
          <w:color w:val="2F5496" w:themeColor="accent1" w:themeShade="BF"/>
          <w:sz w:val="28"/>
          <w:szCs w:val="28"/>
        </w:rPr>
        <w:t xml:space="preserve">II.1.1. </w:t>
      </w:r>
      <w:bookmarkStart w:id="0" w:name="_Hlk72859880"/>
      <w:r w:rsidRPr="00C04BF9">
        <w:rPr>
          <w:rFonts w:ascii="Times New Roman" w:hAnsi="Times New Roman" w:cs="Times New Roman"/>
          <w:b/>
          <w:bCs/>
          <w:color w:val="2F5496" w:themeColor="accent1" w:themeShade="BF"/>
          <w:sz w:val="28"/>
          <w:szCs w:val="28"/>
          <w:lang w:val="bg-BG"/>
        </w:rPr>
        <w:t>Отпадъци и материални ресурси</w:t>
      </w:r>
    </w:p>
    <w:sdt>
      <w:sdtPr>
        <w:rPr>
          <w:rFonts w:asciiTheme="minorHAnsi" w:eastAsiaTheme="minorHAnsi" w:hAnsiTheme="minorHAnsi" w:cstheme="minorBidi"/>
          <w:b w:val="0"/>
          <w:bCs w:val="0"/>
          <w:color w:val="auto"/>
          <w:sz w:val="22"/>
          <w:szCs w:val="22"/>
          <w:lang w:eastAsia="en-US"/>
        </w:rPr>
        <w:id w:val="-2094772708"/>
        <w:docPartObj>
          <w:docPartGallery w:val="Table of Contents"/>
          <w:docPartUnique/>
        </w:docPartObj>
      </w:sdtPr>
      <w:sdtEndPr>
        <w:rPr>
          <w:noProof/>
        </w:rPr>
      </w:sdtEndPr>
      <w:sdtContent>
        <w:p w14:paraId="35B4F408" w14:textId="77777777" w:rsidR="00C204C7" w:rsidRPr="00C204C7" w:rsidRDefault="00C204C7">
          <w:pPr>
            <w:pStyle w:val="TOCHeading"/>
            <w:rPr>
              <w:rFonts w:ascii="Times New Roman" w:hAnsi="Times New Roman" w:cs="Times New Roman"/>
              <w:lang w:val="bg-BG"/>
            </w:rPr>
          </w:pPr>
          <w:r>
            <w:rPr>
              <w:rFonts w:ascii="Times New Roman" w:hAnsi="Times New Roman" w:cs="Times New Roman"/>
              <w:lang w:val="bg-BG"/>
            </w:rPr>
            <w:t>СЪДЪРЖАНИЕ</w:t>
          </w:r>
        </w:p>
        <w:p w14:paraId="7A02B098" w14:textId="77777777" w:rsidR="00C204C7" w:rsidRPr="008F3215" w:rsidRDefault="00C204C7" w:rsidP="008F3215">
          <w:pPr>
            <w:pStyle w:val="TOC2"/>
            <w:tabs>
              <w:tab w:val="right" w:leader="dot" w:pos="9350"/>
            </w:tabs>
            <w:spacing w:line="360" w:lineRule="auto"/>
            <w:rPr>
              <w:rFonts w:ascii="Times New Roman" w:hAnsi="Times New Roman" w:cs="Times New Roman"/>
              <w:noProof/>
              <w:sz w:val="24"/>
              <w:szCs w:val="24"/>
            </w:rPr>
          </w:pPr>
          <w:r w:rsidRPr="008F3215">
            <w:rPr>
              <w:rFonts w:ascii="Times New Roman" w:hAnsi="Times New Roman" w:cs="Times New Roman"/>
              <w:sz w:val="24"/>
              <w:szCs w:val="24"/>
            </w:rPr>
            <w:fldChar w:fldCharType="begin"/>
          </w:r>
          <w:r w:rsidRPr="008F3215">
            <w:rPr>
              <w:rFonts w:ascii="Times New Roman" w:hAnsi="Times New Roman" w:cs="Times New Roman"/>
              <w:sz w:val="24"/>
              <w:szCs w:val="24"/>
            </w:rPr>
            <w:instrText xml:space="preserve"> TOC \o "1-3" \h \z \u </w:instrText>
          </w:r>
          <w:r w:rsidRPr="008F3215">
            <w:rPr>
              <w:rFonts w:ascii="Times New Roman" w:hAnsi="Times New Roman" w:cs="Times New Roman"/>
              <w:sz w:val="24"/>
              <w:szCs w:val="24"/>
            </w:rPr>
            <w:fldChar w:fldCharType="separate"/>
          </w:r>
          <w:hyperlink w:anchor="_Toc72909886" w:history="1">
            <w:r w:rsidRPr="008F3215">
              <w:rPr>
                <w:rStyle w:val="Hyperlink"/>
                <w:rFonts w:ascii="Times New Roman" w:hAnsi="Times New Roman" w:cs="Times New Roman"/>
                <w:noProof/>
                <w:sz w:val="24"/>
                <w:szCs w:val="24"/>
              </w:rPr>
              <w:t>Въведение</w:t>
            </w:r>
            <w:r w:rsidRPr="008F3215">
              <w:rPr>
                <w:rFonts w:ascii="Times New Roman" w:hAnsi="Times New Roman" w:cs="Times New Roman"/>
                <w:noProof/>
                <w:webHidden/>
                <w:sz w:val="24"/>
                <w:szCs w:val="24"/>
              </w:rPr>
              <w:tab/>
            </w:r>
            <w:r w:rsidRPr="008F3215">
              <w:rPr>
                <w:rFonts w:ascii="Times New Roman" w:hAnsi="Times New Roman" w:cs="Times New Roman"/>
                <w:noProof/>
                <w:webHidden/>
                <w:sz w:val="24"/>
                <w:szCs w:val="24"/>
              </w:rPr>
              <w:fldChar w:fldCharType="begin"/>
            </w:r>
            <w:r w:rsidRPr="008F3215">
              <w:rPr>
                <w:rFonts w:ascii="Times New Roman" w:hAnsi="Times New Roman" w:cs="Times New Roman"/>
                <w:noProof/>
                <w:webHidden/>
                <w:sz w:val="24"/>
                <w:szCs w:val="24"/>
              </w:rPr>
              <w:instrText xml:space="preserve"> PAGEREF _Toc72909886 \h </w:instrText>
            </w:r>
            <w:r w:rsidRPr="008F3215">
              <w:rPr>
                <w:rFonts w:ascii="Times New Roman" w:hAnsi="Times New Roman" w:cs="Times New Roman"/>
                <w:noProof/>
                <w:webHidden/>
                <w:sz w:val="24"/>
                <w:szCs w:val="24"/>
              </w:rPr>
            </w:r>
            <w:r w:rsidRPr="008F3215">
              <w:rPr>
                <w:rFonts w:ascii="Times New Roman" w:hAnsi="Times New Roman" w:cs="Times New Roman"/>
                <w:noProof/>
                <w:webHidden/>
                <w:sz w:val="24"/>
                <w:szCs w:val="24"/>
              </w:rPr>
              <w:fldChar w:fldCharType="separate"/>
            </w:r>
            <w:r w:rsidR="008F3215">
              <w:rPr>
                <w:rFonts w:ascii="Times New Roman" w:hAnsi="Times New Roman" w:cs="Times New Roman"/>
                <w:noProof/>
                <w:webHidden/>
                <w:sz w:val="24"/>
                <w:szCs w:val="24"/>
              </w:rPr>
              <w:t>2</w:t>
            </w:r>
            <w:r w:rsidRPr="008F3215">
              <w:rPr>
                <w:rFonts w:ascii="Times New Roman" w:hAnsi="Times New Roman" w:cs="Times New Roman"/>
                <w:noProof/>
                <w:webHidden/>
                <w:sz w:val="24"/>
                <w:szCs w:val="24"/>
              </w:rPr>
              <w:fldChar w:fldCharType="end"/>
            </w:r>
          </w:hyperlink>
        </w:p>
        <w:p w14:paraId="543DA151" w14:textId="77777777" w:rsidR="00C204C7" w:rsidRPr="008F3215" w:rsidRDefault="000E6301" w:rsidP="008F3215">
          <w:pPr>
            <w:pStyle w:val="TOC2"/>
            <w:tabs>
              <w:tab w:val="right" w:leader="dot" w:pos="9350"/>
            </w:tabs>
            <w:spacing w:line="360" w:lineRule="auto"/>
            <w:rPr>
              <w:rFonts w:ascii="Times New Roman" w:hAnsi="Times New Roman" w:cs="Times New Roman"/>
              <w:noProof/>
              <w:sz w:val="24"/>
              <w:szCs w:val="24"/>
            </w:rPr>
          </w:pPr>
          <w:hyperlink w:anchor="_Toc72909887" w:history="1">
            <w:r w:rsidR="00C204C7" w:rsidRPr="008F3215">
              <w:rPr>
                <w:rStyle w:val="Hyperlink"/>
                <w:rFonts w:ascii="Times New Roman" w:hAnsi="Times New Roman" w:cs="Times New Roman"/>
                <w:noProof/>
                <w:sz w:val="24"/>
                <w:szCs w:val="24"/>
              </w:rPr>
              <w:t>Контекст и цели на политиката в областта на управлението на отпадъците – международен, европейски и национален</w:t>
            </w:r>
            <w:r w:rsidR="00C204C7" w:rsidRPr="008F3215">
              <w:rPr>
                <w:rFonts w:ascii="Times New Roman" w:hAnsi="Times New Roman" w:cs="Times New Roman"/>
                <w:noProof/>
                <w:webHidden/>
                <w:sz w:val="24"/>
                <w:szCs w:val="24"/>
              </w:rPr>
              <w:tab/>
            </w:r>
            <w:r w:rsidR="00C204C7" w:rsidRPr="008F3215">
              <w:rPr>
                <w:rFonts w:ascii="Times New Roman" w:hAnsi="Times New Roman" w:cs="Times New Roman"/>
                <w:noProof/>
                <w:webHidden/>
                <w:sz w:val="24"/>
                <w:szCs w:val="24"/>
              </w:rPr>
              <w:fldChar w:fldCharType="begin"/>
            </w:r>
            <w:r w:rsidR="00C204C7" w:rsidRPr="008F3215">
              <w:rPr>
                <w:rFonts w:ascii="Times New Roman" w:hAnsi="Times New Roman" w:cs="Times New Roman"/>
                <w:noProof/>
                <w:webHidden/>
                <w:sz w:val="24"/>
                <w:szCs w:val="24"/>
              </w:rPr>
              <w:instrText xml:space="preserve"> PAGEREF _Toc72909887 \h </w:instrText>
            </w:r>
            <w:r w:rsidR="00C204C7" w:rsidRPr="008F3215">
              <w:rPr>
                <w:rFonts w:ascii="Times New Roman" w:hAnsi="Times New Roman" w:cs="Times New Roman"/>
                <w:noProof/>
                <w:webHidden/>
                <w:sz w:val="24"/>
                <w:szCs w:val="24"/>
              </w:rPr>
            </w:r>
            <w:r w:rsidR="00C204C7" w:rsidRPr="008F3215">
              <w:rPr>
                <w:rFonts w:ascii="Times New Roman" w:hAnsi="Times New Roman" w:cs="Times New Roman"/>
                <w:noProof/>
                <w:webHidden/>
                <w:sz w:val="24"/>
                <w:szCs w:val="24"/>
              </w:rPr>
              <w:fldChar w:fldCharType="separate"/>
            </w:r>
            <w:r w:rsidR="008F3215">
              <w:rPr>
                <w:rFonts w:ascii="Times New Roman" w:hAnsi="Times New Roman" w:cs="Times New Roman"/>
                <w:noProof/>
                <w:webHidden/>
                <w:sz w:val="24"/>
                <w:szCs w:val="24"/>
              </w:rPr>
              <w:t>4</w:t>
            </w:r>
            <w:r w:rsidR="00C204C7" w:rsidRPr="008F3215">
              <w:rPr>
                <w:rFonts w:ascii="Times New Roman" w:hAnsi="Times New Roman" w:cs="Times New Roman"/>
                <w:noProof/>
                <w:webHidden/>
                <w:sz w:val="24"/>
                <w:szCs w:val="24"/>
              </w:rPr>
              <w:fldChar w:fldCharType="end"/>
            </w:r>
          </w:hyperlink>
        </w:p>
        <w:p w14:paraId="5B62820E" w14:textId="77777777" w:rsidR="00C204C7" w:rsidRPr="008F3215" w:rsidRDefault="000E6301" w:rsidP="008F3215">
          <w:pPr>
            <w:pStyle w:val="TOC2"/>
            <w:tabs>
              <w:tab w:val="right" w:leader="dot" w:pos="9350"/>
            </w:tabs>
            <w:spacing w:line="360" w:lineRule="auto"/>
            <w:rPr>
              <w:rFonts w:ascii="Times New Roman" w:hAnsi="Times New Roman" w:cs="Times New Roman"/>
              <w:noProof/>
              <w:sz w:val="24"/>
              <w:szCs w:val="24"/>
            </w:rPr>
          </w:pPr>
          <w:hyperlink w:anchor="_Toc72909888" w:history="1">
            <w:r w:rsidR="00C204C7" w:rsidRPr="008F3215">
              <w:rPr>
                <w:rStyle w:val="Hyperlink"/>
                <w:rFonts w:ascii="Times New Roman" w:hAnsi="Times New Roman" w:cs="Times New Roman"/>
                <w:noProof/>
                <w:sz w:val="24"/>
                <w:szCs w:val="24"/>
              </w:rPr>
              <w:t>Състояние и тенденции</w:t>
            </w:r>
            <w:r w:rsidR="00C204C7" w:rsidRPr="008F3215">
              <w:rPr>
                <w:rFonts w:ascii="Times New Roman" w:hAnsi="Times New Roman" w:cs="Times New Roman"/>
                <w:noProof/>
                <w:webHidden/>
                <w:sz w:val="24"/>
                <w:szCs w:val="24"/>
              </w:rPr>
              <w:tab/>
            </w:r>
            <w:r w:rsidR="00C204C7" w:rsidRPr="008F3215">
              <w:rPr>
                <w:rFonts w:ascii="Times New Roman" w:hAnsi="Times New Roman" w:cs="Times New Roman"/>
                <w:noProof/>
                <w:webHidden/>
                <w:sz w:val="24"/>
                <w:szCs w:val="24"/>
              </w:rPr>
              <w:fldChar w:fldCharType="begin"/>
            </w:r>
            <w:r w:rsidR="00C204C7" w:rsidRPr="008F3215">
              <w:rPr>
                <w:rFonts w:ascii="Times New Roman" w:hAnsi="Times New Roman" w:cs="Times New Roman"/>
                <w:noProof/>
                <w:webHidden/>
                <w:sz w:val="24"/>
                <w:szCs w:val="24"/>
              </w:rPr>
              <w:instrText xml:space="preserve"> PAGEREF _Toc72909888 \h </w:instrText>
            </w:r>
            <w:r w:rsidR="00C204C7" w:rsidRPr="008F3215">
              <w:rPr>
                <w:rFonts w:ascii="Times New Roman" w:hAnsi="Times New Roman" w:cs="Times New Roman"/>
                <w:noProof/>
                <w:webHidden/>
                <w:sz w:val="24"/>
                <w:szCs w:val="24"/>
              </w:rPr>
            </w:r>
            <w:r w:rsidR="00C204C7" w:rsidRPr="008F3215">
              <w:rPr>
                <w:rFonts w:ascii="Times New Roman" w:hAnsi="Times New Roman" w:cs="Times New Roman"/>
                <w:noProof/>
                <w:webHidden/>
                <w:sz w:val="24"/>
                <w:szCs w:val="24"/>
              </w:rPr>
              <w:fldChar w:fldCharType="separate"/>
            </w:r>
            <w:r w:rsidR="008F3215">
              <w:rPr>
                <w:rFonts w:ascii="Times New Roman" w:hAnsi="Times New Roman" w:cs="Times New Roman"/>
                <w:noProof/>
                <w:webHidden/>
                <w:sz w:val="24"/>
                <w:szCs w:val="24"/>
              </w:rPr>
              <w:t>13</w:t>
            </w:r>
            <w:r w:rsidR="00C204C7" w:rsidRPr="008F3215">
              <w:rPr>
                <w:rFonts w:ascii="Times New Roman" w:hAnsi="Times New Roman" w:cs="Times New Roman"/>
                <w:noProof/>
                <w:webHidden/>
                <w:sz w:val="24"/>
                <w:szCs w:val="24"/>
              </w:rPr>
              <w:fldChar w:fldCharType="end"/>
            </w:r>
          </w:hyperlink>
        </w:p>
        <w:p w14:paraId="6D2446EC" w14:textId="77777777" w:rsidR="00C204C7" w:rsidRPr="008F3215" w:rsidRDefault="000E6301" w:rsidP="008F3215">
          <w:pPr>
            <w:pStyle w:val="TOC2"/>
            <w:tabs>
              <w:tab w:val="right" w:leader="dot" w:pos="9350"/>
            </w:tabs>
            <w:spacing w:line="360" w:lineRule="auto"/>
            <w:rPr>
              <w:rFonts w:ascii="Times New Roman" w:hAnsi="Times New Roman" w:cs="Times New Roman"/>
              <w:noProof/>
              <w:sz w:val="24"/>
              <w:szCs w:val="24"/>
            </w:rPr>
          </w:pPr>
          <w:hyperlink w:anchor="_Toc72909889" w:history="1">
            <w:r w:rsidR="00C204C7" w:rsidRPr="008F3215">
              <w:rPr>
                <w:rStyle w:val="Hyperlink"/>
                <w:rFonts w:ascii="Times New Roman" w:hAnsi="Times New Roman" w:cs="Times New Roman"/>
                <w:noProof/>
                <w:sz w:val="24"/>
                <w:szCs w:val="24"/>
              </w:rPr>
              <w:t>Движещи сили и фактори на натиск</w:t>
            </w:r>
            <w:r w:rsidR="00C204C7" w:rsidRPr="008F3215">
              <w:rPr>
                <w:rFonts w:ascii="Times New Roman" w:hAnsi="Times New Roman" w:cs="Times New Roman"/>
                <w:noProof/>
                <w:webHidden/>
                <w:sz w:val="24"/>
                <w:szCs w:val="24"/>
              </w:rPr>
              <w:tab/>
            </w:r>
            <w:r w:rsidR="00C204C7" w:rsidRPr="008F3215">
              <w:rPr>
                <w:rFonts w:ascii="Times New Roman" w:hAnsi="Times New Roman" w:cs="Times New Roman"/>
                <w:noProof/>
                <w:webHidden/>
                <w:sz w:val="24"/>
                <w:szCs w:val="24"/>
              </w:rPr>
              <w:fldChar w:fldCharType="begin"/>
            </w:r>
            <w:r w:rsidR="00C204C7" w:rsidRPr="008F3215">
              <w:rPr>
                <w:rFonts w:ascii="Times New Roman" w:hAnsi="Times New Roman" w:cs="Times New Roman"/>
                <w:noProof/>
                <w:webHidden/>
                <w:sz w:val="24"/>
                <w:szCs w:val="24"/>
              </w:rPr>
              <w:instrText xml:space="preserve"> PAGEREF _Toc72909889 \h </w:instrText>
            </w:r>
            <w:r w:rsidR="00C204C7" w:rsidRPr="008F3215">
              <w:rPr>
                <w:rFonts w:ascii="Times New Roman" w:hAnsi="Times New Roman" w:cs="Times New Roman"/>
                <w:noProof/>
                <w:webHidden/>
                <w:sz w:val="24"/>
                <w:szCs w:val="24"/>
              </w:rPr>
            </w:r>
            <w:r w:rsidR="00C204C7" w:rsidRPr="008F3215">
              <w:rPr>
                <w:rFonts w:ascii="Times New Roman" w:hAnsi="Times New Roman" w:cs="Times New Roman"/>
                <w:noProof/>
                <w:webHidden/>
                <w:sz w:val="24"/>
                <w:szCs w:val="24"/>
              </w:rPr>
              <w:fldChar w:fldCharType="separate"/>
            </w:r>
            <w:r w:rsidR="008F3215">
              <w:rPr>
                <w:rFonts w:ascii="Times New Roman" w:hAnsi="Times New Roman" w:cs="Times New Roman"/>
                <w:noProof/>
                <w:webHidden/>
                <w:sz w:val="24"/>
                <w:szCs w:val="24"/>
              </w:rPr>
              <w:t>29</w:t>
            </w:r>
            <w:r w:rsidR="00C204C7" w:rsidRPr="008F3215">
              <w:rPr>
                <w:rFonts w:ascii="Times New Roman" w:hAnsi="Times New Roman" w:cs="Times New Roman"/>
                <w:noProof/>
                <w:webHidden/>
                <w:sz w:val="24"/>
                <w:szCs w:val="24"/>
              </w:rPr>
              <w:fldChar w:fldCharType="end"/>
            </w:r>
          </w:hyperlink>
        </w:p>
        <w:p w14:paraId="23C1C4E5" w14:textId="77777777" w:rsidR="00C204C7" w:rsidRPr="008F3215" w:rsidRDefault="000E6301" w:rsidP="008F3215">
          <w:pPr>
            <w:pStyle w:val="TOC2"/>
            <w:tabs>
              <w:tab w:val="right" w:leader="dot" w:pos="9350"/>
            </w:tabs>
            <w:spacing w:line="360" w:lineRule="auto"/>
            <w:rPr>
              <w:rFonts w:ascii="Times New Roman" w:hAnsi="Times New Roman" w:cs="Times New Roman"/>
              <w:noProof/>
              <w:sz w:val="24"/>
              <w:szCs w:val="24"/>
            </w:rPr>
          </w:pPr>
          <w:hyperlink w:anchor="_Toc72909890" w:history="1">
            <w:r w:rsidR="00C204C7" w:rsidRPr="008F3215">
              <w:rPr>
                <w:rStyle w:val="Hyperlink"/>
                <w:rFonts w:ascii="Times New Roman" w:hAnsi="Times New Roman" w:cs="Times New Roman"/>
                <w:noProof/>
                <w:sz w:val="24"/>
                <w:szCs w:val="24"/>
              </w:rPr>
              <w:t>Перспективи и препоръки за постигане на целите</w:t>
            </w:r>
            <w:r w:rsidR="00C204C7" w:rsidRPr="008F3215">
              <w:rPr>
                <w:rFonts w:ascii="Times New Roman" w:hAnsi="Times New Roman" w:cs="Times New Roman"/>
                <w:noProof/>
                <w:webHidden/>
                <w:sz w:val="24"/>
                <w:szCs w:val="24"/>
              </w:rPr>
              <w:tab/>
            </w:r>
            <w:r w:rsidR="00C204C7" w:rsidRPr="008F3215">
              <w:rPr>
                <w:rFonts w:ascii="Times New Roman" w:hAnsi="Times New Roman" w:cs="Times New Roman"/>
                <w:noProof/>
                <w:webHidden/>
                <w:sz w:val="24"/>
                <w:szCs w:val="24"/>
              </w:rPr>
              <w:fldChar w:fldCharType="begin"/>
            </w:r>
            <w:r w:rsidR="00C204C7" w:rsidRPr="008F3215">
              <w:rPr>
                <w:rFonts w:ascii="Times New Roman" w:hAnsi="Times New Roman" w:cs="Times New Roman"/>
                <w:noProof/>
                <w:webHidden/>
                <w:sz w:val="24"/>
                <w:szCs w:val="24"/>
              </w:rPr>
              <w:instrText xml:space="preserve"> PAGEREF _Toc72909890 \h </w:instrText>
            </w:r>
            <w:r w:rsidR="00C204C7" w:rsidRPr="008F3215">
              <w:rPr>
                <w:rFonts w:ascii="Times New Roman" w:hAnsi="Times New Roman" w:cs="Times New Roman"/>
                <w:noProof/>
                <w:webHidden/>
                <w:sz w:val="24"/>
                <w:szCs w:val="24"/>
              </w:rPr>
            </w:r>
            <w:r w:rsidR="00C204C7" w:rsidRPr="008F3215">
              <w:rPr>
                <w:rFonts w:ascii="Times New Roman" w:hAnsi="Times New Roman" w:cs="Times New Roman"/>
                <w:noProof/>
                <w:webHidden/>
                <w:sz w:val="24"/>
                <w:szCs w:val="24"/>
              </w:rPr>
              <w:fldChar w:fldCharType="separate"/>
            </w:r>
            <w:r w:rsidR="008F3215">
              <w:rPr>
                <w:rFonts w:ascii="Times New Roman" w:hAnsi="Times New Roman" w:cs="Times New Roman"/>
                <w:noProof/>
                <w:webHidden/>
                <w:sz w:val="24"/>
                <w:szCs w:val="24"/>
              </w:rPr>
              <w:t>33</w:t>
            </w:r>
            <w:r w:rsidR="00C204C7" w:rsidRPr="008F3215">
              <w:rPr>
                <w:rFonts w:ascii="Times New Roman" w:hAnsi="Times New Roman" w:cs="Times New Roman"/>
                <w:noProof/>
                <w:webHidden/>
                <w:sz w:val="24"/>
                <w:szCs w:val="24"/>
              </w:rPr>
              <w:fldChar w:fldCharType="end"/>
            </w:r>
          </w:hyperlink>
        </w:p>
        <w:p w14:paraId="5BAB5417" w14:textId="77777777" w:rsidR="00C204C7" w:rsidRDefault="00C204C7" w:rsidP="008F3215">
          <w:pPr>
            <w:spacing w:line="360" w:lineRule="auto"/>
          </w:pPr>
          <w:r w:rsidRPr="008F3215">
            <w:rPr>
              <w:rFonts w:ascii="Times New Roman" w:hAnsi="Times New Roman" w:cs="Times New Roman"/>
              <w:b/>
              <w:bCs/>
              <w:noProof/>
              <w:sz w:val="24"/>
              <w:szCs w:val="24"/>
            </w:rPr>
            <w:fldChar w:fldCharType="end"/>
          </w:r>
        </w:p>
      </w:sdtContent>
    </w:sdt>
    <w:p w14:paraId="56C5DA75" w14:textId="77777777" w:rsidR="008F3215" w:rsidRDefault="008F3215" w:rsidP="008F3215">
      <w:pPr>
        <w:pageBreakBefore/>
        <w:spacing w:line="257" w:lineRule="auto"/>
        <w:rPr>
          <w:rFonts w:ascii="Times New Roman" w:eastAsia="Calibri" w:hAnsi="Times New Roman" w:cs="Times New Roman"/>
          <w:b/>
          <w:color w:val="1F497D"/>
          <w:sz w:val="24"/>
          <w:szCs w:val="24"/>
          <w:lang w:val="bg-BG"/>
        </w:rPr>
      </w:pPr>
      <w:bookmarkStart w:id="1" w:name="_Toc72909886"/>
      <w:r>
        <w:rPr>
          <w:rFonts w:ascii="Times New Roman" w:eastAsia="Calibri" w:hAnsi="Times New Roman" w:cs="Times New Roman"/>
          <w:b/>
          <w:color w:val="1F497D"/>
          <w:sz w:val="24"/>
          <w:szCs w:val="24"/>
          <w:lang w:val="bg-BG"/>
        </w:rPr>
        <w:lastRenderedPageBreak/>
        <w:t>СПИСЪК НА ТАБЛИЦИТЕ</w:t>
      </w:r>
    </w:p>
    <w:p w14:paraId="7F5AAE1D" w14:textId="77777777" w:rsidR="008F3215" w:rsidRDefault="008F3215">
      <w:pPr>
        <w:pStyle w:val="TableofFigures"/>
        <w:tabs>
          <w:tab w:val="right" w:leader="dot" w:pos="9350"/>
        </w:tabs>
        <w:rPr>
          <w:rFonts w:asciiTheme="minorHAnsi" w:eastAsiaTheme="minorEastAsia" w:hAnsiTheme="minorHAnsi"/>
          <w:noProof/>
          <w:lang w:val="en-GB" w:eastAsia="en-GB"/>
        </w:rPr>
      </w:pPr>
      <w:r>
        <w:rPr>
          <w:lang w:val="en-GB"/>
        </w:rPr>
        <w:fldChar w:fldCharType="begin"/>
      </w:r>
      <w:r>
        <w:rPr>
          <w:lang w:val="en-GB"/>
        </w:rPr>
        <w:instrText xml:space="preserve"> TOC \h \z \c "Таблица" </w:instrText>
      </w:r>
      <w:r>
        <w:rPr>
          <w:lang w:val="en-GB"/>
        </w:rPr>
        <w:fldChar w:fldCharType="separate"/>
      </w:r>
      <w:hyperlink w:anchor="_Toc72919660" w:history="1">
        <w:r w:rsidRPr="00BE0CE1">
          <w:rPr>
            <w:rStyle w:val="Hyperlink"/>
            <w:rFonts w:cs="Times New Roman"/>
            <w:i/>
            <w:noProof/>
            <w:lang w:val="bg-BG"/>
          </w:rPr>
          <w:t>Таблица 1 Образувани битови отпадъци общо</w:t>
        </w:r>
        <w:r>
          <w:rPr>
            <w:noProof/>
            <w:webHidden/>
          </w:rPr>
          <w:tab/>
        </w:r>
        <w:r>
          <w:rPr>
            <w:noProof/>
            <w:webHidden/>
          </w:rPr>
          <w:fldChar w:fldCharType="begin"/>
        </w:r>
        <w:r>
          <w:rPr>
            <w:noProof/>
            <w:webHidden/>
          </w:rPr>
          <w:instrText xml:space="preserve"> PAGEREF _Toc72919660 \h </w:instrText>
        </w:r>
        <w:r>
          <w:rPr>
            <w:noProof/>
            <w:webHidden/>
          </w:rPr>
        </w:r>
        <w:r>
          <w:rPr>
            <w:noProof/>
            <w:webHidden/>
          </w:rPr>
          <w:fldChar w:fldCharType="separate"/>
        </w:r>
        <w:r>
          <w:rPr>
            <w:noProof/>
            <w:webHidden/>
          </w:rPr>
          <w:t>12</w:t>
        </w:r>
        <w:r>
          <w:rPr>
            <w:noProof/>
            <w:webHidden/>
          </w:rPr>
          <w:fldChar w:fldCharType="end"/>
        </w:r>
      </w:hyperlink>
    </w:p>
    <w:p w14:paraId="54D69927"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1" w:history="1">
        <w:r w:rsidR="008F3215" w:rsidRPr="00BE0CE1">
          <w:rPr>
            <w:rStyle w:val="Hyperlink"/>
            <w:rFonts w:cs="Times New Roman"/>
            <w:i/>
            <w:iCs/>
            <w:noProof/>
            <w:lang w:val="bg-BG"/>
          </w:rPr>
          <w:t>Таблица 2 Опаковки на пазара общо за страната (тон)</w:t>
        </w:r>
        <w:r w:rsidR="008F3215">
          <w:rPr>
            <w:noProof/>
            <w:webHidden/>
          </w:rPr>
          <w:tab/>
        </w:r>
        <w:r w:rsidR="008F3215">
          <w:rPr>
            <w:noProof/>
            <w:webHidden/>
          </w:rPr>
          <w:fldChar w:fldCharType="begin"/>
        </w:r>
        <w:r w:rsidR="008F3215">
          <w:rPr>
            <w:noProof/>
            <w:webHidden/>
          </w:rPr>
          <w:instrText xml:space="preserve"> PAGEREF _Toc72919661 \h </w:instrText>
        </w:r>
        <w:r w:rsidR="008F3215">
          <w:rPr>
            <w:noProof/>
            <w:webHidden/>
          </w:rPr>
        </w:r>
        <w:r w:rsidR="008F3215">
          <w:rPr>
            <w:noProof/>
            <w:webHidden/>
          </w:rPr>
          <w:fldChar w:fldCharType="separate"/>
        </w:r>
        <w:r w:rsidR="008F3215">
          <w:rPr>
            <w:noProof/>
            <w:webHidden/>
          </w:rPr>
          <w:t>13</w:t>
        </w:r>
        <w:r w:rsidR="008F3215">
          <w:rPr>
            <w:noProof/>
            <w:webHidden/>
          </w:rPr>
          <w:fldChar w:fldCharType="end"/>
        </w:r>
      </w:hyperlink>
    </w:p>
    <w:p w14:paraId="47BE4881"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2" w:history="1">
        <w:r w:rsidR="008F3215" w:rsidRPr="00BE0CE1">
          <w:rPr>
            <w:rStyle w:val="Hyperlink"/>
            <w:rFonts w:cs="Times New Roman"/>
            <w:i/>
            <w:iCs/>
            <w:noProof/>
            <w:lang w:val="bg-BG"/>
          </w:rPr>
          <w:t>Таблица 3 Образувани производствени и опасни отпадъци общо (тон)</w:t>
        </w:r>
        <w:r w:rsidR="008F3215">
          <w:rPr>
            <w:noProof/>
            <w:webHidden/>
          </w:rPr>
          <w:tab/>
        </w:r>
        <w:r w:rsidR="008F3215">
          <w:rPr>
            <w:noProof/>
            <w:webHidden/>
          </w:rPr>
          <w:fldChar w:fldCharType="begin"/>
        </w:r>
        <w:r w:rsidR="008F3215">
          <w:rPr>
            <w:noProof/>
            <w:webHidden/>
          </w:rPr>
          <w:instrText xml:space="preserve"> PAGEREF _Toc72919662 \h </w:instrText>
        </w:r>
        <w:r w:rsidR="008F3215">
          <w:rPr>
            <w:noProof/>
            <w:webHidden/>
          </w:rPr>
        </w:r>
        <w:r w:rsidR="008F3215">
          <w:rPr>
            <w:noProof/>
            <w:webHidden/>
          </w:rPr>
          <w:fldChar w:fldCharType="separate"/>
        </w:r>
        <w:r w:rsidR="008F3215">
          <w:rPr>
            <w:noProof/>
            <w:webHidden/>
          </w:rPr>
          <w:t>13</w:t>
        </w:r>
        <w:r w:rsidR="008F3215">
          <w:rPr>
            <w:noProof/>
            <w:webHidden/>
          </w:rPr>
          <w:fldChar w:fldCharType="end"/>
        </w:r>
      </w:hyperlink>
    </w:p>
    <w:p w14:paraId="69F066CF"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3" w:history="1">
        <w:r w:rsidR="008F3215" w:rsidRPr="00BE0CE1">
          <w:rPr>
            <w:rStyle w:val="Hyperlink"/>
            <w:rFonts w:eastAsia="Times New Roman" w:cs="Times New Roman"/>
            <w:i/>
            <w:noProof/>
            <w:lang w:val="bg-BG"/>
          </w:rPr>
          <w:t>Таблица 4 Разходи за опазване и възстановяване на околната среда, разходи за услуги</w:t>
        </w:r>
        <w:r w:rsidR="008F3215">
          <w:rPr>
            <w:noProof/>
            <w:webHidden/>
          </w:rPr>
          <w:tab/>
        </w:r>
        <w:r w:rsidR="008F3215">
          <w:rPr>
            <w:noProof/>
            <w:webHidden/>
          </w:rPr>
          <w:fldChar w:fldCharType="begin"/>
        </w:r>
        <w:r w:rsidR="008F3215">
          <w:rPr>
            <w:noProof/>
            <w:webHidden/>
          </w:rPr>
          <w:instrText xml:space="preserve"> PAGEREF _Toc72919663 \h </w:instrText>
        </w:r>
        <w:r w:rsidR="008F3215">
          <w:rPr>
            <w:noProof/>
            <w:webHidden/>
          </w:rPr>
        </w:r>
        <w:r w:rsidR="008F3215">
          <w:rPr>
            <w:noProof/>
            <w:webHidden/>
          </w:rPr>
          <w:fldChar w:fldCharType="separate"/>
        </w:r>
        <w:r w:rsidR="008F3215">
          <w:rPr>
            <w:noProof/>
            <w:webHidden/>
          </w:rPr>
          <w:t>14</w:t>
        </w:r>
        <w:r w:rsidR="008F3215">
          <w:rPr>
            <w:noProof/>
            <w:webHidden/>
          </w:rPr>
          <w:fldChar w:fldCharType="end"/>
        </w:r>
      </w:hyperlink>
    </w:p>
    <w:p w14:paraId="46A50D42"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4" w:history="1">
        <w:r w:rsidR="008F3215" w:rsidRPr="00BE0CE1">
          <w:rPr>
            <w:rStyle w:val="Hyperlink"/>
            <w:rFonts w:eastAsia="Times New Roman" w:cs="Times New Roman"/>
            <w:i/>
            <w:noProof/>
            <w:lang w:val="bg-BG"/>
          </w:rPr>
          <w:t>Таблица 5 Депа и инсталации за третиране на битови отпадъци (брой)</w:t>
        </w:r>
        <w:r w:rsidR="008F3215">
          <w:rPr>
            <w:noProof/>
            <w:webHidden/>
          </w:rPr>
          <w:tab/>
        </w:r>
        <w:r w:rsidR="008F3215">
          <w:rPr>
            <w:noProof/>
            <w:webHidden/>
          </w:rPr>
          <w:fldChar w:fldCharType="begin"/>
        </w:r>
        <w:r w:rsidR="008F3215">
          <w:rPr>
            <w:noProof/>
            <w:webHidden/>
          </w:rPr>
          <w:instrText xml:space="preserve"> PAGEREF _Toc72919664 \h </w:instrText>
        </w:r>
        <w:r w:rsidR="008F3215">
          <w:rPr>
            <w:noProof/>
            <w:webHidden/>
          </w:rPr>
        </w:r>
        <w:r w:rsidR="008F3215">
          <w:rPr>
            <w:noProof/>
            <w:webHidden/>
          </w:rPr>
          <w:fldChar w:fldCharType="separate"/>
        </w:r>
        <w:r w:rsidR="008F3215">
          <w:rPr>
            <w:noProof/>
            <w:webHidden/>
          </w:rPr>
          <w:t>15</w:t>
        </w:r>
        <w:r w:rsidR="008F3215">
          <w:rPr>
            <w:noProof/>
            <w:webHidden/>
          </w:rPr>
          <w:fldChar w:fldCharType="end"/>
        </w:r>
      </w:hyperlink>
    </w:p>
    <w:p w14:paraId="44FA72B2"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5" w:history="1">
        <w:r w:rsidR="008F3215" w:rsidRPr="00BE0CE1">
          <w:rPr>
            <w:rStyle w:val="Hyperlink"/>
            <w:rFonts w:eastAsia="Times New Roman" w:cs="Times New Roman"/>
            <w:i/>
            <w:noProof/>
            <w:lang w:val="bg-BG"/>
          </w:rPr>
          <w:t>Таблица 6 Остатъчен капацитет на депата и инсталациите за третиране на битови отпадъци (кубични метри)</w:t>
        </w:r>
        <w:r w:rsidR="008F3215">
          <w:rPr>
            <w:noProof/>
            <w:webHidden/>
          </w:rPr>
          <w:tab/>
        </w:r>
        <w:r w:rsidR="008F3215">
          <w:rPr>
            <w:noProof/>
            <w:webHidden/>
          </w:rPr>
          <w:fldChar w:fldCharType="begin"/>
        </w:r>
        <w:r w:rsidR="008F3215">
          <w:rPr>
            <w:noProof/>
            <w:webHidden/>
          </w:rPr>
          <w:instrText xml:space="preserve"> PAGEREF _Toc72919665 \h </w:instrText>
        </w:r>
        <w:r w:rsidR="008F3215">
          <w:rPr>
            <w:noProof/>
            <w:webHidden/>
          </w:rPr>
        </w:r>
        <w:r w:rsidR="008F3215">
          <w:rPr>
            <w:noProof/>
            <w:webHidden/>
          </w:rPr>
          <w:fldChar w:fldCharType="separate"/>
        </w:r>
        <w:r w:rsidR="008F3215">
          <w:rPr>
            <w:noProof/>
            <w:webHidden/>
          </w:rPr>
          <w:t>15</w:t>
        </w:r>
        <w:r w:rsidR="008F3215">
          <w:rPr>
            <w:noProof/>
            <w:webHidden/>
          </w:rPr>
          <w:fldChar w:fldCharType="end"/>
        </w:r>
      </w:hyperlink>
    </w:p>
    <w:p w14:paraId="570EE8B6"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6" w:history="1">
        <w:r w:rsidR="008F3215" w:rsidRPr="00BE0CE1">
          <w:rPr>
            <w:rStyle w:val="Hyperlink"/>
            <w:rFonts w:cs="Times New Roman"/>
            <w:i/>
            <w:iCs/>
            <w:noProof/>
            <w:lang w:val="bg-BG"/>
          </w:rPr>
          <w:t>Таблица 7 Инсталации по третиране на отпадъци, 2018 г. (брой)</w:t>
        </w:r>
        <w:r w:rsidR="008F3215">
          <w:rPr>
            <w:noProof/>
            <w:webHidden/>
          </w:rPr>
          <w:tab/>
        </w:r>
        <w:r w:rsidR="008F3215">
          <w:rPr>
            <w:noProof/>
            <w:webHidden/>
          </w:rPr>
          <w:fldChar w:fldCharType="begin"/>
        </w:r>
        <w:r w:rsidR="008F3215">
          <w:rPr>
            <w:noProof/>
            <w:webHidden/>
          </w:rPr>
          <w:instrText xml:space="preserve"> PAGEREF _Toc72919666 \h </w:instrText>
        </w:r>
        <w:r w:rsidR="008F3215">
          <w:rPr>
            <w:noProof/>
            <w:webHidden/>
          </w:rPr>
        </w:r>
        <w:r w:rsidR="008F3215">
          <w:rPr>
            <w:noProof/>
            <w:webHidden/>
          </w:rPr>
          <w:fldChar w:fldCharType="separate"/>
        </w:r>
        <w:r w:rsidR="008F3215">
          <w:rPr>
            <w:noProof/>
            <w:webHidden/>
          </w:rPr>
          <w:t>16</w:t>
        </w:r>
        <w:r w:rsidR="008F3215">
          <w:rPr>
            <w:noProof/>
            <w:webHidden/>
          </w:rPr>
          <w:fldChar w:fldCharType="end"/>
        </w:r>
      </w:hyperlink>
    </w:p>
    <w:p w14:paraId="720263FB"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7" w:history="1">
        <w:r w:rsidR="008F3215" w:rsidRPr="00BE0CE1">
          <w:rPr>
            <w:rStyle w:val="Hyperlink"/>
            <w:rFonts w:cs="Times New Roman"/>
            <w:i/>
            <w:noProof/>
            <w:lang w:val="bg-BG"/>
          </w:rPr>
          <w:t>Таблица 8  Населени места и население, обхванати от системи за организирано сметосъбиране и извозване</w:t>
        </w:r>
        <w:r w:rsidR="008F3215">
          <w:rPr>
            <w:noProof/>
            <w:webHidden/>
          </w:rPr>
          <w:tab/>
        </w:r>
        <w:r w:rsidR="008F3215">
          <w:rPr>
            <w:noProof/>
            <w:webHidden/>
          </w:rPr>
          <w:fldChar w:fldCharType="begin"/>
        </w:r>
        <w:r w:rsidR="008F3215">
          <w:rPr>
            <w:noProof/>
            <w:webHidden/>
          </w:rPr>
          <w:instrText xml:space="preserve"> PAGEREF _Toc72919667 \h </w:instrText>
        </w:r>
        <w:r w:rsidR="008F3215">
          <w:rPr>
            <w:noProof/>
            <w:webHidden/>
          </w:rPr>
        </w:r>
        <w:r w:rsidR="008F3215">
          <w:rPr>
            <w:noProof/>
            <w:webHidden/>
          </w:rPr>
          <w:fldChar w:fldCharType="separate"/>
        </w:r>
        <w:r w:rsidR="008F3215">
          <w:rPr>
            <w:noProof/>
            <w:webHidden/>
          </w:rPr>
          <w:t>17</w:t>
        </w:r>
        <w:r w:rsidR="008F3215">
          <w:rPr>
            <w:noProof/>
            <w:webHidden/>
          </w:rPr>
          <w:fldChar w:fldCharType="end"/>
        </w:r>
      </w:hyperlink>
    </w:p>
    <w:p w14:paraId="60C29A87"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8" w:history="1">
        <w:r w:rsidR="008F3215" w:rsidRPr="00BE0CE1">
          <w:rPr>
            <w:rStyle w:val="Hyperlink"/>
            <w:rFonts w:eastAsia="Times New Roman" w:cs="Times New Roman"/>
            <w:i/>
            <w:noProof/>
            <w:lang w:val="bg-BG"/>
          </w:rPr>
          <w:t>Таблица 9 Дял на строителните отпадъци от общото количество образувани производствени отпадъци</w:t>
        </w:r>
        <w:r w:rsidR="008F3215">
          <w:rPr>
            <w:noProof/>
            <w:webHidden/>
          </w:rPr>
          <w:tab/>
        </w:r>
        <w:r w:rsidR="008F3215">
          <w:rPr>
            <w:noProof/>
            <w:webHidden/>
          </w:rPr>
          <w:fldChar w:fldCharType="begin"/>
        </w:r>
        <w:r w:rsidR="008F3215">
          <w:rPr>
            <w:noProof/>
            <w:webHidden/>
          </w:rPr>
          <w:instrText xml:space="preserve"> PAGEREF _Toc72919668 \h </w:instrText>
        </w:r>
        <w:r w:rsidR="008F3215">
          <w:rPr>
            <w:noProof/>
            <w:webHidden/>
          </w:rPr>
        </w:r>
        <w:r w:rsidR="008F3215">
          <w:rPr>
            <w:noProof/>
            <w:webHidden/>
          </w:rPr>
          <w:fldChar w:fldCharType="separate"/>
        </w:r>
        <w:r w:rsidR="008F3215">
          <w:rPr>
            <w:noProof/>
            <w:webHidden/>
          </w:rPr>
          <w:t>19</w:t>
        </w:r>
        <w:r w:rsidR="008F3215">
          <w:rPr>
            <w:noProof/>
            <w:webHidden/>
          </w:rPr>
          <w:fldChar w:fldCharType="end"/>
        </w:r>
      </w:hyperlink>
    </w:p>
    <w:p w14:paraId="24AF211C"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69" w:history="1">
        <w:r w:rsidR="008F3215" w:rsidRPr="00BE0CE1">
          <w:rPr>
            <w:rStyle w:val="Hyperlink"/>
            <w:rFonts w:eastAsia="Times New Roman" w:cs="Times New Roman"/>
            <w:i/>
            <w:noProof/>
            <w:lang w:val="bg-BG"/>
          </w:rPr>
          <w:t>Таблица 10 Строителни отпадъци - кг/ж/г</w:t>
        </w:r>
        <w:r w:rsidR="008F3215">
          <w:rPr>
            <w:noProof/>
            <w:webHidden/>
          </w:rPr>
          <w:tab/>
        </w:r>
        <w:r w:rsidR="008F3215">
          <w:rPr>
            <w:noProof/>
            <w:webHidden/>
          </w:rPr>
          <w:fldChar w:fldCharType="begin"/>
        </w:r>
        <w:r w:rsidR="008F3215">
          <w:rPr>
            <w:noProof/>
            <w:webHidden/>
          </w:rPr>
          <w:instrText xml:space="preserve"> PAGEREF _Toc72919669 \h </w:instrText>
        </w:r>
        <w:r w:rsidR="008F3215">
          <w:rPr>
            <w:noProof/>
            <w:webHidden/>
          </w:rPr>
        </w:r>
        <w:r w:rsidR="008F3215">
          <w:rPr>
            <w:noProof/>
            <w:webHidden/>
          </w:rPr>
          <w:fldChar w:fldCharType="separate"/>
        </w:r>
        <w:r w:rsidR="008F3215">
          <w:rPr>
            <w:noProof/>
            <w:webHidden/>
          </w:rPr>
          <w:t>20</w:t>
        </w:r>
        <w:r w:rsidR="008F3215">
          <w:rPr>
            <w:noProof/>
            <w:webHidden/>
          </w:rPr>
          <w:fldChar w:fldCharType="end"/>
        </w:r>
      </w:hyperlink>
    </w:p>
    <w:p w14:paraId="6D95F082"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70" w:history="1">
        <w:r w:rsidR="008F3215" w:rsidRPr="00BE0CE1">
          <w:rPr>
            <w:rStyle w:val="Hyperlink"/>
            <w:rFonts w:eastAsia="Times New Roman" w:cs="Times New Roman"/>
            <w:i/>
            <w:noProof/>
            <w:lang w:val="bg-BG"/>
          </w:rPr>
          <w:t>Таблица 11 Постигната степен на оползотворяване, вкл. рециклиране, 2018 г.</w:t>
        </w:r>
        <w:r w:rsidR="008F3215">
          <w:rPr>
            <w:noProof/>
            <w:webHidden/>
          </w:rPr>
          <w:tab/>
        </w:r>
        <w:r w:rsidR="008F3215">
          <w:rPr>
            <w:noProof/>
            <w:webHidden/>
          </w:rPr>
          <w:fldChar w:fldCharType="begin"/>
        </w:r>
        <w:r w:rsidR="008F3215">
          <w:rPr>
            <w:noProof/>
            <w:webHidden/>
          </w:rPr>
          <w:instrText xml:space="preserve"> PAGEREF _Toc72919670 \h </w:instrText>
        </w:r>
        <w:r w:rsidR="008F3215">
          <w:rPr>
            <w:noProof/>
            <w:webHidden/>
          </w:rPr>
        </w:r>
        <w:r w:rsidR="008F3215">
          <w:rPr>
            <w:noProof/>
            <w:webHidden/>
          </w:rPr>
          <w:fldChar w:fldCharType="separate"/>
        </w:r>
        <w:r w:rsidR="008F3215">
          <w:rPr>
            <w:noProof/>
            <w:webHidden/>
          </w:rPr>
          <w:t>21</w:t>
        </w:r>
        <w:r w:rsidR="008F3215">
          <w:rPr>
            <w:noProof/>
            <w:webHidden/>
          </w:rPr>
          <w:fldChar w:fldCharType="end"/>
        </w:r>
      </w:hyperlink>
    </w:p>
    <w:p w14:paraId="2C38940E"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71" w:history="1">
        <w:r w:rsidR="008F3215" w:rsidRPr="00BE0CE1">
          <w:rPr>
            <w:rStyle w:val="Hyperlink"/>
            <w:rFonts w:cs="Times New Roman"/>
            <w:i/>
            <w:noProof/>
            <w:lang w:val="bg-BG"/>
          </w:rPr>
          <w:t>Таблица 12 Емисии на вредни вещества в атмосферния въздух за 2018 в резултат от дейностите по третиране и депониране на отпадъци</w:t>
        </w:r>
        <w:r w:rsidR="008F3215">
          <w:rPr>
            <w:noProof/>
            <w:webHidden/>
          </w:rPr>
          <w:tab/>
        </w:r>
        <w:r w:rsidR="008F3215">
          <w:rPr>
            <w:noProof/>
            <w:webHidden/>
          </w:rPr>
          <w:fldChar w:fldCharType="begin"/>
        </w:r>
        <w:r w:rsidR="008F3215">
          <w:rPr>
            <w:noProof/>
            <w:webHidden/>
          </w:rPr>
          <w:instrText xml:space="preserve"> PAGEREF _Toc72919671 \h </w:instrText>
        </w:r>
        <w:r w:rsidR="008F3215">
          <w:rPr>
            <w:noProof/>
            <w:webHidden/>
          </w:rPr>
        </w:r>
        <w:r w:rsidR="008F3215">
          <w:rPr>
            <w:noProof/>
            <w:webHidden/>
          </w:rPr>
          <w:fldChar w:fldCharType="separate"/>
        </w:r>
        <w:r w:rsidR="008F3215">
          <w:rPr>
            <w:noProof/>
            <w:webHidden/>
          </w:rPr>
          <w:t>23</w:t>
        </w:r>
        <w:r w:rsidR="008F3215">
          <w:rPr>
            <w:noProof/>
            <w:webHidden/>
          </w:rPr>
          <w:fldChar w:fldCharType="end"/>
        </w:r>
      </w:hyperlink>
    </w:p>
    <w:p w14:paraId="1194950F"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72" w:history="1">
        <w:r w:rsidR="008F3215" w:rsidRPr="00BE0CE1">
          <w:rPr>
            <w:rStyle w:val="Hyperlink"/>
            <w:rFonts w:cs="Times New Roman"/>
            <w:i/>
            <w:iCs/>
            <w:noProof/>
            <w:lang w:val="bg-BG"/>
          </w:rPr>
          <w:t>Таблица 13 Тенденции и перспективи за сектор отпадъци, България</w:t>
        </w:r>
        <w:r w:rsidR="008F3215">
          <w:rPr>
            <w:noProof/>
            <w:webHidden/>
          </w:rPr>
          <w:tab/>
        </w:r>
        <w:r w:rsidR="008F3215">
          <w:rPr>
            <w:noProof/>
            <w:webHidden/>
          </w:rPr>
          <w:fldChar w:fldCharType="begin"/>
        </w:r>
        <w:r w:rsidR="008F3215">
          <w:rPr>
            <w:noProof/>
            <w:webHidden/>
          </w:rPr>
          <w:instrText xml:space="preserve"> PAGEREF _Toc72919672 \h </w:instrText>
        </w:r>
        <w:r w:rsidR="008F3215">
          <w:rPr>
            <w:noProof/>
            <w:webHidden/>
          </w:rPr>
        </w:r>
        <w:r w:rsidR="008F3215">
          <w:rPr>
            <w:noProof/>
            <w:webHidden/>
          </w:rPr>
          <w:fldChar w:fldCharType="separate"/>
        </w:r>
        <w:r w:rsidR="008F3215">
          <w:rPr>
            <w:noProof/>
            <w:webHidden/>
          </w:rPr>
          <w:t>34</w:t>
        </w:r>
        <w:r w:rsidR="008F3215">
          <w:rPr>
            <w:noProof/>
            <w:webHidden/>
          </w:rPr>
          <w:fldChar w:fldCharType="end"/>
        </w:r>
      </w:hyperlink>
    </w:p>
    <w:p w14:paraId="0C272E3A" w14:textId="77777777" w:rsidR="008F3215" w:rsidRDefault="008F3215" w:rsidP="008F3215">
      <w:pPr>
        <w:spacing w:line="256" w:lineRule="auto"/>
        <w:rPr>
          <w:rFonts w:ascii="Times New Roman" w:eastAsia="Calibri" w:hAnsi="Times New Roman" w:cs="Times New Roman"/>
          <w:b/>
          <w:color w:val="1F497D"/>
          <w:sz w:val="24"/>
          <w:szCs w:val="24"/>
          <w:lang w:val="bg-BG"/>
        </w:rPr>
      </w:pPr>
      <w:r>
        <w:rPr>
          <w:lang w:val="en-GB"/>
        </w:rPr>
        <w:fldChar w:fldCharType="end"/>
      </w:r>
    </w:p>
    <w:p w14:paraId="56252F60" w14:textId="77777777" w:rsidR="008F3215" w:rsidRDefault="008F3215" w:rsidP="008F3215">
      <w:pPr>
        <w:spacing w:line="256" w:lineRule="auto"/>
        <w:rPr>
          <w:rFonts w:ascii="Times New Roman" w:eastAsia="Calibri" w:hAnsi="Times New Roman" w:cs="Times New Roman"/>
          <w:b/>
          <w:color w:val="1F497D"/>
          <w:sz w:val="24"/>
          <w:szCs w:val="24"/>
          <w:lang w:val="bg-BG"/>
        </w:rPr>
      </w:pPr>
      <w:r>
        <w:rPr>
          <w:rFonts w:ascii="Times New Roman" w:eastAsia="Calibri" w:hAnsi="Times New Roman" w:cs="Times New Roman"/>
          <w:b/>
          <w:color w:val="1F497D"/>
          <w:sz w:val="24"/>
          <w:szCs w:val="24"/>
          <w:lang w:val="bg-BG"/>
        </w:rPr>
        <w:t>СПИСЪК НА ФИГУРИТЕ</w:t>
      </w:r>
    </w:p>
    <w:p w14:paraId="6B975A94" w14:textId="77777777" w:rsidR="008F3215" w:rsidRDefault="008F3215">
      <w:pPr>
        <w:pStyle w:val="TableofFigures"/>
        <w:tabs>
          <w:tab w:val="right" w:leader="dot" w:pos="9350"/>
        </w:tabs>
        <w:rPr>
          <w:rFonts w:asciiTheme="minorHAnsi" w:eastAsiaTheme="minorEastAsia" w:hAnsiTheme="minorHAnsi"/>
          <w:noProof/>
          <w:lang w:val="en-GB" w:eastAsia="en-GB"/>
        </w:rPr>
      </w:pPr>
      <w:r>
        <w:rPr>
          <w:lang w:val="en-GB"/>
        </w:rPr>
        <w:fldChar w:fldCharType="begin"/>
      </w:r>
      <w:r>
        <w:rPr>
          <w:lang w:val="en-GB"/>
        </w:rPr>
        <w:instrText xml:space="preserve"> TOC \h \z \c "Фигура" </w:instrText>
      </w:r>
      <w:r>
        <w:rPr>
          <w:lang w:val="en-GB"/>
        </w:rPr>
        <w:fldChar w:fldCharType="separate"/>
      </w:r>
      <w:hyperlink w:anchor="_Toc72919682" w:history="1">
        <w:r w:rsidRPr="00674055">
          <w:rPr>
            <w:rStyle w:val="Hyperlink"/>
            <w:rFonts w:eastAsia="Times New Roman" w:cs="Times New Roman"/>
            <w:i/>
            <w:noProof/>
            <w:lang w:val="bg-BG"/>
          </w:rPr>
          <w:t>Фигура 1 Общо образувани и третирани утайки, 2010-2018 г. (тон)</w:t>
        </w:r>
        <w:r>
          <w:rPr>
            <w:noProof/>
            <w:webHidden/>
          </w:rPr>
          <w:tab/>
        </w:r>
        <w:r>
          <w:rPr>
            <w:noProof/>
            <w:webHidden/>
          </w:rPr>
          <w:fldChar w:fldCharType="begin"/>
        </w:r>
        <w:r>
          <w:rPr>
            <w:noProof/>
            <w:webHidden/>
          </w:rPr>
          <w:instrText xml:space="preserve"> PAGEREF _Toc72919682 \h </w:instrText>
        </w:r>
        <w:r>
          <w:rPr>
            <w:noProof/>
            <w:webHidden/>
          </w:rPr>
        </w:r>
        <w:r>
          <w:rPr>
            <w:noProof/>
            <w:webHidden/>
          </w:rPr>
          <w:fldChar w:fldCharType="separate"/>
        </w:r>
        <w:r>
          <w:rPr>
            <w:noProof/>
            <w:webHidden/>
          </w:rPr>
          <w:t>15</w:t>
        </w:r>
        <w:r>
          <w:rPr>
            <w:noProof/>
            <w:webHidden/>
          </w:rPr>
          <w:fldChar w:fldCharType="end"/>
        </w:r>
      </w:hyperlink>
    </w:p>
    <w:p w14:paraId="287ABE67"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3" w:history="1">
        <w:r w:rsidR="008F3215" w:rsidRPr="00674055">
          <w:rPr>
            <w:rStyle w:val="Hyperlink"/>
            <w:rFonts w:eastAsia="Times New Roman" w:cs="Times New Roman"/>
            <w:i/>
            <w:noProof/>
            <w:lang w:val="bg-BG"/>
          </w:rPr>
          <w:t>Фигура 2 Общо образувани отпадъци от лечебни и здравни заведения, и биологични отпадъци (тона)</w:t>
        </w:r>
        <w:r w:rsidR="008F3215">
          <w:rPr>
            <w:noProof/>
            <w:webHidden/>
          </w:rPr>
          <w:tab/>
        </w:r>
        <w:r w:rsidR="008F3215">
          <w:rPr>
            <w:noProof/>
            <w:webHidden/>
          </w:rPr>
          <w:fldChar w:fldCharType="begin"/>
        </w:r>
        <w:r w:rsidR="008F3215">
          <w:rPr>
            <w:noProof/>
            <w:webHidden/>
          </w:rPr>
          <w:instrText xml:space="preserve"> PAGEREF _Toc72919683 \h </w:instrText>
        </w:r>
        <w:r w:rsidR="008F3215">
          <w:rPr>
            <w:noProof/>
            <w:webHidden/>
          </w:rPr>
        </w:r>
        <w:r w:rsidR="008F3215">
          <w:rPr>
            <w:noProof/>
            <w:webHidden/>
          </w:rPr>
          <w:fldChar w:fldCharType="separate"/>
        </w:r>
        <w:r w:rsidR="008F3215">
          <w:rPr>
            <w:noProof/>
            <w:webHidden/>
          </w:rPr>
          <w:t>15</w:t>
        </w:r>
        <w:r w:rsidR="008F3215">
          <w:rPr>
            <w:noProof/>
            <w:webHidden/>
          </w:rPr>
          <w:fldChar w:fldCharType="end"/>
        </w:r>
      </w:hyperlink>
    </w:p>
    <w:p w14:paraId="07E738C8"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4" w:history="1">
        <w:r w:rsidR="008F3215" w:rsidRPr="00674055">
          <w:rPr>
            <w:rStyle w:val="Hyperlink"/>
            <w:rFonts w:cs="Times New Roman"/>
            <w:i/>
            <w:iCs/>
            <w:noProof/>
            <w:lang w:val="bg-BG"/>
          </w:rPr>
          <w:t>Фигура 3 Битови отпадъци (депониране, предварително третиране, рециклиране), 2018 г.</w:t>
        </w:r>
        <w:r w:rsidR="008F3215">
          <w:rPr>
            <w:noProof/>
            <w:webHidden/>
          </w:rPr>
          <w:tab/>
        </w:r>
        <w:r w:rsidR="008F3215">
          <w:rPr>
            <w:noProof/>
            <w:webHidden/>
          </w:rPr>
          <w:fldChar w:fldCharType="begin"/>
        </w:r>
        <w:r w:rsidR="008F3215">
          <w:rPr>
            <w:noProof/>
            <w:webHidden/>
          </w:rPr>
          <w:instrText xml:space="preserve"> PAGEREF _Toc72919684 \h </w:instrText>
        </w:r>
        <w:r w:rsidR="008F3215">
          <w:rPr>
            <w:noProof/>
            <w:webHidden/>
          </w:rPr>
        </w:r>
        <w:r w:rsidR="008F3215">
          <w:rPr>
            <w:noProof/>
            <w:webHidden/>
          </w:rPr>
          <w:fldChar w:fldCharType="separate"/>
        </w:r>
        <w:r w:rsidR="008F3215">
          <w:rPr>
            <w:noProof/>
            <w:webHidden/>
          </w:rPr>
          <w:t>19</w:t>
        </w:r>
        <w:r w:rsidR="008F3215">
          <w:rPr>
            <w:noProof/>
            <w:webHidden/>
          </w:rPr>
          <w:fldChar w:fldCharType="end"/>
        </w:r>
      </w:hyperlink>
    </w:p>
    <w:p w14:paraId="4C7A0F72"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5" w:history="1">
        <w:r w:rsidR="008F3215" w:rsidRPr="00674055">
          <w:rPr>
            <w:rStyle w:val="Hyperlink"/>
            <w:rFonts w:cs="Times New Roman"/>
            <w:i/>
            <w:iCs/>
            <w:noProof/>
            <w:lang w:val="bg-BG"/>
          </w:rPr>
          <w:t>Фигура 4 Дял на третираните битови отпадъци, спрямо образуваните, kt</w:t>
        </w:r>
        <w:r w:rsidR="008F3215">
          <w:rPr>
            <w:noProof/>
            <w:webHidden/>
          </w:rPr>
          <w:tab/>
        </w:r>
        <w:r w:rsidR="008F3215">
          <w:rPr>
            <w:noProof/>
            <w:webHidden/>
          </w:rPr>
          <w:fldChar w:fldCharType="begin"/>
        </w:r>
        <w:r w:rsidR="008F3215">
          <w:rPr>
            <w:noProof/>
            <w:webHidden/>
          </w:rPr>
          <w:instrText xml:space="preserve"> PAGEREF _Toc72919685 \h </w:instrText>
        </w:r>
        <w:r w:rsidR="008F3215">
          <w:rPr>
            <w:noProof/>
            <w:webHidden/>
          </w:rPr>
        </w:r>
        <w:r w:rsidR="008F3215">
          <w:rPr>
            <w:noProof/>
            <w:webHidden/>
          </w:rPr>
          <w:fldChar w:fldCharType="separate"/>
        </w:r>
        <w:r w:rsidR="008F3215">
          <w:rPr>
            <w:noProof/>
            <w:webHidden/>
          </w:rPr>
          <w:t>19</w:t>
        </w:r>
        <w:r w:rsidR="008F3215">
          <w:rPr>
            <w:noProof/>
            <w:webHidden/>
          </w:rPr>
          <w:fldChar w:fldCharType="end"/>
        </w:r>
      </w:hyperlink>
    </w:p>
    <w:p w14:paraId="01AF6A80"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6" w:history="1">
        <w:r w:rsidR="008F3215" w:rsidRPr="00674055">
          <w:rPr>
            <w:rStyle w:val="Hyperlink"/>
            <w:rFonts w:cs="Times New Roman"/>
            <w:i/>
            <w:iCs/>
            <w:noProof/>
            <w:lang w:val="bg-BG"/>
          </w:rPr>
          <w:t>Фигура 5 Образувани производствени и опасни отпадъци (третиране), 2018 г.</w:t>
        </w:r>
        <w:r w:rsidR="008F3215">
          <w:rPr>
            <w:noProof/>
            <w:webHidden/>
          </w:rPr>
          <w:tab/>
        </w:r>
        <w:r w:rsidR="008F3215">
          <w:rPr>
            <w:noProof/>
            <w:webHidden/>
          </w:rPr>
          <w:fldChar w:fldCharType="begin"/>
        </w:r>
        <w:r w:rsidR="008F3215">
          <w:rPr>
            <w:noProof/>
            <w:webHidden/>
          </w:rPr>
          <w:instrText xml:space="preserve"> PAGEREF _Toc72919686 \h </w:instrText>
        </w:r>
        <w:r w:rsidR="008F3215">
          <w:rPr>
            <w:noProof/>
            <w:webHidden/>
          </w:rPr>
        </w:r>
        <w:r w:rsidR="008F3215">
          <w:rPr>
            <w:noProof/>
            <w:webHidden/>
          </w:rPr>
          <w:fldChar w:fldCharType="separate"/>
        </w:r>
        <w:r w:rsidR="008F3215">
          <w:rPr>
            <w:noProof/>
            <w:webHidden/>
          </w:rPr>
          <w:t>20</w:t>
        </w:r>
        <w:r w:rsidR="008F3215">
          <w:rPr>
            <w:noProof/>
            <w:webHidden/>
          </w:rPr>
          <w:fldChar w:fldCharType="end"/>
        </w:r>
      </w:hyperlink>
    </w:p>
    <w:p w14:paraId="41955B0F"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7" w:history="1">
        <w:r w:rsidR="008F3215" w:rsidRPr="00674055">
          <w:rPr>
            <w:rStyle w:val="Hyperlink"/>
            <w:rFonts w:eastAsia="Times New Roman" w:cs="Times New Roman"/>
            <w:i/>
            <w:noProof/>
            <w:lang w:val="bg-BG"/>
          </w:rPr>
          <w:t>Фигура 6 Строителни отпадъци, предадени за оползотворяване и обезвреждане, 2008-2018 г.</w:t>
        </w:r>
        <w:r w:rsidR="008F3215">
          <w:rPr>
            <w:noProof/>
            <w:webHidden/>
          </w:rPr>
          <w:tab/>
        </w:r>
        <w:r w:rsidR="008F3215">
          <w:rPr>
            <w:noProof/>
            <w:webHidden/>
          </w:rPr>
          <w:fldChar w:fldCharType="begin"/>
        </w:r>
        <w:r w:rsidR="008F3215">
          <w:rPr>
            <w:noProof/>
            <w:webHidden/>
          </w:rPr>
          <w:instrText xml:space="preserve"> PAGEREF _Toc72919687 \h </w:instrText>
        </w:r>
        <w:r w:rsidR="008F3215">
          <w:rPr>
            <w:noProof/>
            <w:webHidden/>
          </w:rPr>
        </w:r>
        <w:r w:rsidR="008F3215">
          <w:rPr>
            <w:noProof/>
            <w:webHidden/>
          </w:rPr>
          <w:fldChar w:fldCharType="separate"/>
        </w:r>
        <w:r w:rsidR="008F3215">
          <w:rPr>
            <w:noProof/>
            <w:webHidden/>
          </w:rPr>
          <w:t>21</w:t>
        </w:r>
        <w:r w:rsidR="008F3215">
          <w:rPr>
            <w:noProof/>
            <w:webHidden/>
          </w:rPr>
          <w:fldChar w:fldCharType="end"/>
        </w:r>
      </w:hyperlink>
    </w:p>
    <w:p w14:paraId="19D32EE3"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8" w:history="1">
        <w:r w:rsidR="008F3215" w:rsidRPr="00674055">
          <w:rPr>
            <w:rStyle w:val="Hyperlink"/>
            <w:rFonts w:cs="Times New Roman"/>
            <w:i/>
            <w:noProof/>
            <w:lang w:val="bg-BG"/>
          </w:rPr>
          <w:t>Фигура 7 Емисии NVMOC по източници, 2018 г.</w:t>
        </w:r>
        <w:r w:rsidR="008F3215">
          <w:rPr>
            <w:noProof/>
            <w:webHidden/>
          </w:rPr>
          <w:tab/>
        </w:r>
        <w:r w:rsidR="008F3215">
          <w:rPr>
            <w:noProof/>
            <w:webHidden/>
          </w:rPr>
          <w:fldChar w:fldCharType="begin"/>
        </w:r>
        <w:r w:rsidR="008F3215">
          <w:rPr>
            <w:noProof/>
            <w:webHidden/>
          </w:rPr>
          <w:instrText xml:space="preserve"> PAGEREF _Toc72919688 \h </w:instrText>
        </w:r>
        <w:r w:rsidR="008F3215">
          <w:rPr>
            <w:noProof/>
            <w:webHidden/>
          </w:rPr>
        </w:r>
        <w:r w:rsidR="008F3215">
          <w:rPr>
            <w:noProof/>
            <w:webHidden/>
          </w:rPr>
          <w:fldChar w:fldCharType="separate"/>
        </w:r>
        <w:r w:rsidR="008F3215">
          <w:rPr>
            <w:noProof/>
            <w:webHidden/>
          </w:rPr>
          <w:t>25</w:t>
        </w:r>
        <w:r w:rsidR="008F3215">
          <w:rPr>
            <w:noProof/>
            <w:webHidden/>
          </w:rPr>
          <w:fldChar w:fldCharType="end"/>
        </w:r>
      </w:hyperlink>
    </w:p>
    <w:p w14:paraId="55BA7C2D"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89" w:history="1">
        <w:r w:rsidR="008F3215" w:rsidRPr="00674055">
          <w:rPr>
            <w:rStyle w:val="Hyperlink"/>
            <w:rFonts w:cs="Times New Roman"/>
            <w:i/>
            <w:noProof/>
            <w:lang w:val="bg-BG"/>
          </w:rPr>
          <w:t>Фигура 8 Емисии DIOX по източници, 2018 г.</w:t>
        </w:r>
        <w:r w:rsidR="008F3215">
          <w:rPr>
            <w:noProof/>
            <w:webHidden/>
          </w:rPr>
          <w:tab/>
        </w:r>
        <w:r w:rsidR="008F3215">
          <w:rPr>
            <w:noProof/>
            <w:webHidden/>
          </w:rPr>
          <w:fldChar w:fldCharType="begin"/>
        </w:r>
        <w:r w:rsidR="008F3215">
          <w:rPr>
            <w:noProof/>
            <w:webHidden/>
          </w:rPr>
          <w:instrText xml:space="preserve"> PAGEREF _Toc72919689 \h </w:instrText>
        </w:r>
        <w:r w:rsidR="008F3215">
          <w:rPr>
            <w:noProof/>
            <w:webHidden/>
          </w:rPr>
        </w:r>
        <w:r w:rsidR="008F3215">
          <w:rPr>
            <w:noProof/>
            <w:webHidden/>
          </w:rPr>
          <w:fldChar w:fldCharType="separate"/>
        </w:r>
        <w:r w:rsidR="008F3215">
          <w:rPr>
            <w:noProof/>
            <w:webHidden/>
          </w:rPr>
          <w:t>25</w:t>
        </w:r>
        <w:r w:rsidR="008F3215">
          <w:rPr>
            <w:noProof/>
            <w:webHidden/>
          </w:rPr>
          <w:fldChar w:fldCharType="end"/>
        </w:r>
      </w:hyperlink>
    </w:p>
    <w:p w14:paraId="6E3AAFA6"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0" w:history="1">
        <w:r w:rsidR="008F3215" w:rsidRPr="00674055">
          <w:rPr>
            <w:rStyle w:val="Hyperlink"/>
            <w:rFonts w:eastAsia="Times New Roman,Bold" w:cs="Times New Roman"/>
            <w:i/>
            <w:iCs/>
            <w:noProof/>
            <w:lang w:val="bg-BG"/>
          </w:rPr>
          <w:t>Фигура 9 Принос на сектор Отпадъци към общите емисии ПГ, 2018 г.</w:t>
        </w:r>
        <w:r w:rsidR="008F3215">
          <w:rPr>
            <w:noProof/>
            <w:webHidden/>
          </w:rPr>
          <w:tab/>
        </w:r>
        <w:r w:rsidR="008F3215">
          <w:rPr>
            <w:noProof/>
            <w:webHidden/>
          </w:rPr>
          <w:fldChar w:fldCharType="begin"/>
        </w:r>
        <w:r w:rsidR="008F3215">
          <w:rPr>
            <w:noProof/>
            <w:webHidden/>
          </w:rPr>
          <w:instrText xml:space="preserve"> PAGEREF _Toc72919690 \h </w:instrText>
        </w:r>
        <w:r w:rsidR="008F3215">
          <w:rPr>
            <w:noProof/>
            <w:webHidden/>
          </w:rPr>
        </w:r>
        <w:r w:rsidR="008F3215">
          <w:rPr>
            <w:noProof/>
            <w:webHidden/>
          </w:rPr>
          <w:fldChar w:fldCharType="separate"/>
        </w:r>
        <w:r w:rsidR="008F3215">
          <w:rPr>
            <w:noProof/>
            <w:webHidden/>
          </w:rPr>
          <w:t>26</w:t>
        </w:r>
        <w:r w:rsidR="008F3215">
          <w:rPr>
            <w:noProof/>
            <w:webHidden/>
          </w:rPr>
          <w:fldChar w:fldCharType="end"/>
        </w:r>
      </w:hyperlink>
    </w:p>
    <w:p w14:paraId="5C716352"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1" w:history="1">
        <w:r w:rsidR="008F3215" w:rsidRPr="00674055">
          <w:rPr>
            <w:rStyle w:val="Hyperlink"/>
            <w:rFonts w:cs="Times New Roman"/>
            <w:i/>
            <w:noProof/>
            <w:lang w:val="bg-BG"/>
          </w:rPr>
          <w:t>Фигура 10 Основни заплахи за морските екосистеми в района на Черно море</w:t>
        </w:r>
        <w:r w:rsidR="008F3215">
          <w:rPr>
            <w:noProof/>
            <w:webHidden/>
          </w:rPr>
          <w:tab/>
        </w:r>
        <w:r w:rsidR="008F3215">
          <w:rPr>
            <w:noProof/>
            <w:webHidden/>
          </w:rPr>
          <w:fldChar w:fldCharType="begin"/>
        </w:r>
        <w:r w:rsidR="008F3215">
          <w:rPr>
            <w:noProof/>
            <w:webHidden/>
          </w:rPr>
          <w:instrText xml:space="preserve"> PAGEREF _Toc72919691 \h </w:instrText>
        </w:r>
        <w:r w:rsidR="008F3215">
          <w:rPr>
            <w:noProof/>
            <w:webHidden/>
          </w:rPr>
        </w:r>
        <w:r w:rsidR="008F3215">
          <w:rPr>
            <w:noProof/>
            <w:webHidden/>
          </w:rPr>
          <w:fldChar w:fldCharType="separate"/>
        </w:r>
        <w:r w:rsidR="008F3215">
          <w:rPr>
            <w:noProof/>
            <w:webHidden/>
          </w:rPr>
          <w:t>28</w:t>
        </w:r>
        <w:r w:rsidR="008F3215">
          <w:rPr>
            <w:noProof/>
            <w:webHidden/>
          </w:rPr>
          <w:fldChar w:fldCharType="end"/>
        </w:r>
      </w:hyperlink>
    </w:p>
    <w:p w14:paraId="04FC2FE9"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2" w:history="1">
        <w:r w:rsidR="008F3215" w:rsidRPr="00674055">
          <w:rPr>
            <w:rStyle w:val="Hyperlink"/>
            <w:rFonts w:cs="Times New Roman"/>
            <w:i/>
            <w:noProof/>
            <w:lang w:val="bg-BG"/>
          </w:rPr>
          <w:t>Фигура 11 Заплахи пред различните видове местообитания в Европа</w:t>
        </w:r>
        <w:r w:rsidR="008F3215">
          <w:rPr>
            <w:noProof/>
            <w:webHidden/>
          </w:rPr>
          <w:tab/>
        </w:r>
        <w:r w:rsidR="008F3215">
          <w:rPr>
            <w:noProof/>
            <w:webHidden/>
          </w:rPr>
          <w:fldChar w:fldCharType="begin"/>
        </w:r>
        <w:r w:rsidR="008F3215">
          <w:rPr>
            <w:noProof/>
            <w:webHidden/>
          </w:rPr>
          <w:instrText xml:space="preserve"> PAGEREF _Toc72919692 \h </w:instrText>
        </w:r>
        <w:r w:rsidR="008F3215">
          <w:rPr>
            <w:noProof/>
            <w:webHidden/>
          </w:rPr>
        </w:r>
        <w:r w:rsidR="008F3215">
          <w:rPr>
            <w:noProof/>
            <w:webHidden/>
          </w:rPr>
          <w:fldChar w:fldCharType="separate"/>
        </w:r>
        <w:r w:rsidR="008F3215">
          <w:rPr>
            <w:noProof/>
            <w:webHidden/>
          </w:rPr>
          <w:t>29</w:t>
        </w:r>
        <w:r w:rsidR="008F3215">
          <w:rPr>
            <w:noProof/>
            <w:webHidden/>
          </w:rPr>
          <w:fldChar w:fldCharType="end"/>
        </w:r>
      </w:hyperlink>
    </w:p>
    <w:p w14:paraId="59C6BF6E"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3" w:history="1">
        <w:r w:rsidR="008F3215" w:rsidRPr="00674055">
          <w:rPr>
            <w:rStyle w:val="Hyperlink"/>
            <w:rFonts w:cs="Times New Roman"/>
            <w:i/>
            <w:iCs/>
            <w:noProof/>
            <w:lang w:val="bg-BG"/>
          </w:rPr>
          <w:t>Фигура 12 Брутна добавена стойност на основни икономически сектори 2010 – 2018 г. (млн. лв.)</w:t>
        </w:r>
        <w:r w:rsidR="008F3215">
          <w:rPr>
            <w:noProof/>
            <w:webHidden/>
          </w:rPr>
          <w:tab/>
        </w:r>
        <w:r w:rsidR="008F3215">
          <w:rPr>
            <w:noProof/>
            <w:webHidden/>
          </w:rPr>
          <w:fldChar w:fldCharType="begin"/>
        </w:r>
        <w:r w:rsidR="008F3215">
          <w:rPr>
            <w:noProof/>
            <w:webHidden/>
          </w:rPr>
          <w:instrText xml:space="preserve"> PAGEREF _Toc72919693 \h </w:instrText>
        </w:r>
        <w:r w:rsidR="008F3215">
          <w:rPr>
            <w:noProof/>
            <w:webHidden/>
          </w:rPr>
        </w:r>
        <w:r w:rsidR="008F3215">
          <w:rPr>
            <w:noProof/>
            <w:webHidden/>
          </w:rPr>
          <w:fldChar w:fldCharType="separate"/>
        </w:r>
        <w:r w:rsidR="008F3215">
          <w:rPr>
            <w:noProof/>
            <w:webHidden/>
          </w:rPr>
          <w:t>30</w:t>
        </w:r>
        <w:r w:rsidR="008F3215">
          <w:rPr>
            <w:noProof/>
            <w:webHidden/>
          </w:rPr>
          <w:fldChar w:fldCharType="end"/>
        </w:r>
      </w:hyperlink>
    </w:p>
    <w:p w14:paraId="38AACB3C"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4" w:history="1">
        <w:r w:rsidR="008F3215" w:rsidRPr="00674055">
          <w:rPr>
            <w:rStyle w:val="Hyperlink"/>
            <w:rFonts w:cs="Times New Roman"/>
            <w:i/>
            <w:noProof/>
            <w:lang w:val="bg-BG"/>
          </w:rPr>
          <w:t>Фигура 13 Образувани производствени отпадъци по икономически дейности, 2015 – 2018 г.</w:t>
        </w:r>
        <w:r w:rsidR="008F3215">
          <w:rPr>
            <w:noProof/>
            <w:webHidden/>
          </w:rPr>
          <w:tab/>
        </w:r>
        <w:r w:rsidR="008F3215">
          <w:rPr>
            <w:noProof/>
            <w:webHidden/>
          </w:rPr>
          <w:fldChar w:fldCharType="begin"/>
        </w:r>
        <w:r w:rsidR="008F3215">
          <w:rPr>
            <w:noProof/>
            <w:webHidden/>
          </w:rPr>
          <w:instrText xml:space="preserve"> PAGEREF _Toc72919694 \h </w:instrText>
        </w:r>
        <w:r w:rsidR="008F3215">
          <w:rPr>
            <w:noProof/>
            <w:webHidden/>
          </w:rPr>
        </w:r>
        <w:r w:rsidR="008F3215">
          <w:rPr>
            <w:noProof/>
            <w:webHidden/>
          </w:rPr>
          <w:fldChar w:fldCharType="separate"/>
        </w:r>
        <w:r w:rsidR="008F3215">
          <w:rPr>
            <w:noProof/>
            <w:webHidden/>
          </w:rPr>
          <w:t>31</w:t>
        </w:r>
        <w:r w:rsidR="008F3215">
          <w:rPr>
            <w:noProof/>
            <w:webHidden/>
          </w:rPr>
          <w:fldChar w:fldCharType="end"/>
        </w:r>
      </w:hyperlink>
    </w:p>
    <w:p w14:paraId="0B438255"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5" w:history="1">
        <w:r w:rsidR="008F3215" w:rsidRPr="00674055">
          <w:rPr>
            <w:rStyle w:val="Hyperlink"/>
            <w:rFonts w:cs="Times New Roman"/>
            <w:i/>
            <w:noProof/>
            <w:lang w:val="bg-BG"/>
          </w:rPr>
          <w:t>Фигура 14 Кръгово използване на материалите в икономиката, 2018 г.</w:t>
        </w:r>
        <w:r w:rsidR="008F3215">
          <w:rPr>
            <w:noProof/>
            <w:webHidden/>
          </w:rPr>
          <w:tab/>
        </w:r>
        <w:r w:rsidR="008F3215">
          <w:rPr>
            <w:noProof/>
            <w:webHidden/>
          </w:rPr>
          <w:fldChar w:fldCharType="begin"/>
        </w:r>
        <w:r w:rsidR="008F3215">
          <w:rPr>
            <w:noProof/>
            <w:webHidden/>
          </w:rPr>
          <w:instrText xml:space="preserve"> PAGEREF _Toc72919695 \h </w:instrText>
        </w:r>
        <w:r w:rsidR="008F3215">
          <w:rPr>
            <w:noProof/>
            <w:webHidden/>
          </w:rPr>
        </w:r>
        <w:r w:rsidR="008F3215">
          <w:rPr>
            <w:noProof/>
            <w:webHidden/>
          </w:rPr>
          <w:fldChar w:fldCharType="separate"/>
        </w:r>
        <w:r w:rsidR="008F3215">
          <w:rPr>
            <w:noProof/>
            <w:webHidden/>
          </w:rPr>
          <w:t>31</w:t>
        </w:r>
        <w:r w:rsidR="008F3215">
          <w:rPr>
            <w:noProof/>
            <w:webHidden/>
          </w:rPr>
          <w:fldChar w:fldCharType="end"/>
        </w:r>
      </w:hyperlink>
    </w:p>
    <w:p w14:paraId="37EBBFEF"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6" w:history="1">
        <w:r w:rsidR="008F3215" w:rsidRPr="00674055">
          <w:rPr>
            <w:rStyle w:val="Hyperlink"/>
            <w:rFonts w:cs="Times New Roman"/>
            <w:i/>
            <w:iCs/>
            <w:noProof/>
            <w:lang w:val="bg-BG"/>
          </w:rPr>
          <w:t>Фигура 15 Директно влагани материали в икономиката за периода 2011-2018 г.</w:t>
        </w:r>
        <w:r w:rsidR="008F3215">
          <w:rPr>
            <w:noProof/>
            <w:webHidden/>
          </w:rPr>
          <w:tab/>
        </w:r>
        <w:r w:rsidR="008F3215">
          <w:rPr>
            <w:noProof/>
            <w:webHidden/>
          </w:rPr>
          <w:fldChar w:fldCharType="begin"/>
        </w:r>
        <w:r w:rsidR="008F3215">
          <w:rPr>
            <w:noProof/>
            <w:webHidden/>
          </w:rPr>
          <w:instrText xml:space="preserve"> PAGEREF _Toc72919696 \h </w:instrText>
        </w:r>
        <w:r w:rsidR="008F3215">
          <w:rPr>
            <w:noProof/>
            <w:webHidden/>
          </w:rPr>
        </w:r>
        <w:r w:rsidR="008F3215">
          <w:rPr>
            <w:noProof/>
            <w:webHidden/>
          </w:rPr>
          <w:fldChar w:fldCharType="separate"/>
        </w:r>
        <w:r w:rsidR="008F3215">
          <w:rPr>
            <w:noProof/>
            <w:webHidden/>
          </w:rPr>
          <w:t>32</w:t>
        </w:r>
        <w:r w:rsidR="008F3215">
          <w:rPr>
            <w:noProof/>
            <w:webHidden/>
          </w:rPr>
          <w:fldChar w:fldCharType="end"/>
        </w:r>
      </w:hyperlink>
    </w:p>
    <w:p w14:paraId="6A2F117B"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7" w:history="1">
        <w:r w:rsidR="008F3215" w:rsidRPr="00674055">
          <w:rPr>
            <w:rStyle w:val="Hyperlink"/>
            <w:rFonts w:cs="Times New Roman"/>
            <w:i/>
            <w:iCs/>
            <w:noProof/>
            <w:lang w:val="bg-BG"/>
          </w:rPr>
          <w:t>Фигура 16 Производителност на ресурсите, 2018 г.</w:t>
        </w:r>
        <w:r w:rsidR="008F3215">
          <w:rPr>
            <w:noProof/>
            <w:webHidden/>
          </w:rPr>
          <w:tab/>
        </w:r>
        <w:r w:rsidR="008F3215">
          <w:rPr>
            <w:noProof/>
            <w:webHidden/>
          </w:rPr>
          <w:fldChar w:fldCharType="begin"/>
        </w:r>
        <w:r w:rsidR="008F3215">
          <w:rPr>
            <w:noProof/>
            <w:webHidden/>
          </w:rPr>
          <w:instrText xml:space="preserve"> PAGEREF _Toc72919697 \h </w:instrText>
        </w:r>
        <w:r w:rsidR="008F3215">
          <w:rPr>
            <w:noProof/>
            <w:webHidden/>
          </w:rPr>
        </w:r>
        <w:r w:rsidR="008F3215">
          <w:rPr>
            <w:noProof/>
            <w:webHidden/>
          </w:rPr>
          <w:fldChar w:fldCharType="separate"/>
        </w:r>
        <w:r w:rsidR="008F3215">
          <w:rPr>
            <w:noProof/>
            <w:webHidden/>
          </w:rPr>
          <w:t>32</w:t>
        </w:r>
        <w:r w:rsidR="008F3215">
          <w:rPr>
            <w:noProof/>
            <w:webHidden/>
          </w:rPr>
          <w:fldChar w:fldCharType="end"/>
        </w:r>
      </w:hyperlink>
    </w:p>
    <w:p w14:paraId="2ABE9DD6" w14:textId="77777777" w:rsidR="008F3215" w:rsidRDefault="000E6301">
      <w:pPr>
        <w:pStyle w:val="TableofFigures"/>
        <w:tabs>
          <w:tab w:val="right" w:leader="dot" w:pos="9350"/>
        </w:tabs>
        <w:rPr>
          <w:rFonts w:asciiTheme="minorHAnsi" w:eastAsiaTheme="minorEastAsia" w:hAnsiTheme="minorHAnsi"/>
          <w:noProof/>
          <w:lang w:val="en-GB" w:eastAsia="en-GB"/>
        </w:rPr>
      </w:pPr>
      <w:hyperlink w:anchor="_Toc72919698" w:history="1">
        <w:r w:rsidR="008F3215" w:rsidRPr="00674055">
          <w:rPr>
            <w:rStyle w:val="Hyperlink"/>
            <w:rFonts w:cs="Times New Roman"/>
            <w:i/>
            <w:iCs/>
            <w:noProof/>
            <w:lang w:val="bg-BG"/>
          </w:rPr>
          <w:t>Фигура 17 Тенденции и перспективи за сектор отпадъци, ЕС</w:t>
        </w:r>
        <w:r w:rsidR="008F3215">
          <w:rPr>
            <w:noProof/>
            <w:webHidden/>
          </w:rPr>
          <w:tab/>
        </w:r>
        <w:r w:rsidR="008F3215">
          <w:rPr>
            <w:noProof/>
            <w:webHidden/>
          </w:rPr>
          <w:fldChar w:fldCharType="begin"/>
        </w:r>
        <w:r w:rsidR="008F3215">
          <w:rPr>
            <w:noProof/>
            <w:webHidden/>
          </w:rPr>
          <w:instrText xml:space="preserve"> PAGEREF _Toc72919698 \h </w:instrText>
        </w:r>
        <w:r w:rsidR="008F3215">
          <w:rPr>
            <w:noProof/>
            <w:webHidden/>
          </w:rPr>
        </w:r>
        <w:r w:rsidR="008F3215">
          <w:rPr>
            <w:noProof/>
            <w:webHidden/>
          </w:rPr>
          <w:fldChar w:fldCharType="separate"/>
        </w:r>
        <w:r w:rsidR="008F3215">
          <w:rPr>
            <w:noProof/>
            <w:webHidden/>
          </w:rPr>
          <w:t>33</w:t>
        </w:r>
        <w:r w:rsidR="008F3215">
          <w:rPr>
            <w:noProof/>
            <w:webHidden/>
          </w:rPr>
          <w:fldChar w:fldCharType="end"/>
        </w:r>
      </w:hyperlink>
    </w:p>
    <w:p w14:paraId="6DB9E1C6" w14:textId="77777777" w:rsidR="00C204C7" w:rsidRDefault="008F3215" w:rsidP="00E21F3C">
      <w:pPr>
        <w:pStyle w:val="Heading2"/>
        <w:rPr>
          <w:lang w:val="en-GB"/>
        </w:rPr>
      </w:pPr>
      <w:r>
        <w:rPr>
          <w:lang w:val="en-GB"/>
        </w:rPr>
        <w:fldChar w:fldCharType="end"/>
      </w:r>
    </w:p>
    <w:p w14:paraId="0F174A44" w14:textId="77777777" w:rsidR="00E3017F" w:rsidRPr="00C04BF9" w:rsidRDefault="00B115FD" w:rsidP="00F834BF">
      <w:pPr>
        <w:pStyle w:val="Heading2"/>
        <w:pageBreakBefore/>
      </w:pPr>
      <w:r w:rsidRPr="00C04BF9">
        <w:lastRenderedPageBreak/>
        <w:t>Въведение</w:t>
      </w:r>
      <w:bookmarkEnd w:id="1"/>
    </w:p>
    <w:p w14:paraId="0B88C462" w14:textId="77777777" w:rsidR="00563A45" w:rsidRPr="005241FC" w:rsidRDefault="00B115FD" w:rsidP="005241FC">
      <w:pPr>
        <w:pStyle w:val="NormalWeb"/>
        <w:shd w:val="clear" w:color="auto" w:fill="FFFFFF"/>
        <w:spacing w:before="120" w:beforeAutospacing="0" w:after="120" w:afterAutospacing="0" w:line="264" w:lineRule="auto"/>
        <w:jc w:val="both"/>
        <w:rPr>
          <w:sz w:val="22"/>
          <w:szCs w:val="22"/>
          <w:lang w:val="bg-BG"/>
        </w:rPr>
      </w:pPr>
      <w:r w:rsidRPr="005241FC">
        <w:rPr>
          <w:sz w:val="22"/>
          <w:szCs w:val="22"/>
          <w:lang w:val="bg-BG"/>
        </w:rPr>
        <w:t>Образуването и управлението на отпадъци се разглежда като един от аспектите на управлението на околната среда и в същото време като основен фактор на въздействие върху нейното състояние, инструмент за ефективен отговор за превенция и управление на съществуващи и зараждащи се негативни тенденции. Образуването на отпадъци</w:t>
      </w:r>
      <w:r w:rsidR="00563A45" w:rsidRPr="005241FC">
        <w:rPr>
          <w:sz w:val="22"/>
          <w:szCs w:val="22"/>
          <w:lang w:val="bg-BG"/>
        </w:rPr>
        <w:t xml:space="preserve"> от една страна</w:t>
      </w:r>
      <w:r w:rsidRPr="005241FC">
        <w:rPr>
          <w:sz w:val="22"/>
          <w:szCs w:val="22"/>
          <w:lang w:val="bg-BG"/>
        </w:rPr>
        <w:t xml:space="preserve"> </w:t>
      </w:r>
      <w:r w:rsidR="009652D5" w:rsidRPr="005241FC">
        <w:rPr>
          <w:sz w:val="22"/>
          <w:szCs w:val="22"/>
          <w:lang w:val="bg-BG"/>
        </w:rPr>
        <w:t>е</w:t>
      </w:r>
      <w:r w:rsidRPr="005241FC">
        <w:rPr>
          <w:sz w:val="22"/>
          <w:szCs w:val="22"/>
          <w:lang w:val="bg-BG"/>
        </w:rPr>
        <w:t xml:space="preserve"> следствие от промените на всички нива </w:t>
      </w:r>
      <w:r w:rsidR="009652D5" w:rsidRPr="005241FC">
        <w:rPr>
          <w:sz w:val="22"/>
          <w:szCs w:val="22"/>
          <w:lang w:val="bg-BG"/>
        </w:rPr>
        <w:t xml:space="preserve">на </w:t>
      </w:r>
      <w:r w:rsidRPr="005241FC">
        <w:rPr>
          <w:sz w:val="22"/>
          <w:szCs w:val="22"/>
          <w:lang w:val="bg-BG"/>
        </w:rPr>
        <w:t>социално – икономическ</w:t>
      </w:r>
      <w:r w:rsidR="009652D5" w:rsidRPr="005241FC">
        <w:rPr>
          <w:sz w:val="22"/>
          <w:szCs w:val="22"/>
          <w:lang w:val="bg-BG"/>
        </w:rPr>
        <w:t>ото развитие: икономика</w:t>
      </w:r>
      <w:r w:rsidRPr="005241FC">
        <w:rPr>
          <w:sz w:val="22"/>
          <w:szCs w:val="22"/>
          <w:lang w:val="bg-BG"/>
        </w:rPr>
        <w:t xml:space="preserve"> (индустрия, туризъм), политики (законодателство и системи за управление), културни особености и начин на живот (консуматорски модели), фундаментални тенденции (демографски процеси, климатични промени).</w:t>
      </w:r>
      <w:r w:rsidR="009652D5" w:rsidRPr="005241FC">
        <w:rPr>
          <w:sz w:val="22"/>
          <w:szCs w:val="22"/>
          <w:lang w:val="bg-BG"/>
        </w:rPr>
        <w:t xml:space="preserve"> </w:t>
      </w:r>
      <w:r w:rsidRPr="005241FC">
        <w:rPr>
          <w:sz w:val="22"/>
          <w:szCs w:val="22"/>
          <w:lang w:val="bg-BG"/>
        </w:rPr>
        <w:t>Ефективността и обхвата на системите за управление на отпадъците</w:t>
      </w:r>
      <w:r w:rsidR="00563A45" w:rsidRPr="005241FC">
        <w:rPr>
          <w:sz w:val="22"/>
          <w:szCs w:val="22"/>
          <w:lang w:val="bg-BG"/>
        </w:rPr>
        <w:t xml:space="preserve"> от друга,</w:t>
      </w:r>
      <w:r w:rsidRPr="005241FC">
        <w:rPr>
          <w:sz w:val="22"/>
          <w:szCs w:val="22"/>
          <w:lang w:val="bg-BG"/>
        </w:rPr>
        <w:t xml:space="preserve"> </w:t>
      </w:r>
      <w:r w:rsidR="009652D5" w:rsidRPr="005241FC">
        <w:rPr>
          <w:sz w:val="22"/>
          <w:szCs w:val="22"/>
          <w:lang w:val="bg-BG"/>
        </w:rPr>
        <w:t>са</w:t>
      </w:r>
      <w:r w:rsidRPr="005241FC">
        <w:rPr>
          <w:sz w:val="22"/>
          <w:szCs w:val="22"/>
          <w:lang w:val="bg-BG"/>
        </w:rPr>
        <w:t xml:space="preserve"> основен фактор </w:t>
      </w:r>
      <w:r w:rsidR="009652D5" w:rsidRPr="005241FC">
        <w:rPr>
          <w:sz w:val="22"/>
          <w:szCs w:val="22"/>
          <w:lang w:val="bg-BG"/>
        </w:rPr>
        <w:t>на въздействие върху</w:t>
      </w:r>
      <w:r w:rsidRPr="005241FC">
        <w:rPr>
          <w:sz w:val="22"/>
          <w:szCs w:val="22"/>
          <w:lang w:val="bg-BG"/>
        </w:rPr>
        <w:t xml:space="preserve"> екологичния статус на отделните екосистеми и тяхната съвкупност, както и </w:t>
      </w:r>
      <w:r w:rsidR="00563A45" w:rsidRPr="005241FC">
        <w:rPr>
          <w:sz w:val="22"/>
          <w:szCs w:val="22"/>
          <w:lang w:val="bg-BG"/>
        </w:rPr>
        <w:t xml:space="preserve">върху </w:t>
      </w:r>
      <w:r w:rsidRPr="005241FC">
        <w:rPr>
          <w:sz w:val="22"/>
          <w:szCs w:val="22"/>
          <w:lang w:val="bg-BG"/>
        </w:rPr>
        <w:t xml:space="preserve">оползотворяването на отпадъците </w:t>
      </w:r>
      <w:r w:rsidR="00563A45" w:rsidRPr="005241FC">
        <w:rPr>
          <w:sz w:val="22"/>
          <w:szCs w:val="22"/>
          <w:lang w:val="bg-BG"/>
        </w:rPr>
        <w:t>и</w:t>
      </w:r>
      <w:r w:rsidRPr="005241FC">
        <w:rPr>
          <w:sz w:val="22"/>
          <w:szCs w:val="22"/>
          <w:lang w:val="bg-BG"/>
        </w:rPr>
        <w:t xml:space="preserve"> устойчиво</w:t>
      </w:r>
      <w:r w:rsidR="00563A45" w:rsidRPr="005241FC">
        <w:rPr>
          <w:sz w:val="22"/>
          <w:szCs w:val="22"/>
          <w:lang w:val="bg-BG"/>
        </w:rPr>
        <w:t>то</w:t>
      </w:r>
      <w:r w:rsidRPr="005241FC">
        <w:rPr>
          <w:sz w:val="22"/>
          <w:szCs w:val="22"/>
          <w:lang w:val="bg-BG"/>
        </w:rPr>
        <w:t xml:space="preserve"> използване на материални ресурси</w:t>
      </w:r>
      <w:r w:rsidR="00563A45" w:rsidRPr="005241FC">
        <w:rPr>
          <w:sz w:val="22"/>
          <w:szCs w:val="22"/>
          <w:lang w:val="bg-BG"/>
        </w:rPr>
        <w:t xml:space="preserve">. </w:t>
      </w:r>
    </w:p>
    <w:p w14:paraId="18E2A77D" w14:textId="77777777" w:rsidR="003A59A6" w:rsidRPr="005241FC" w:rsidRDefault="003A59A6"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За целите на настоящия анализ отпадъците са разгледани във всеки един от горепосочените аспекти, за да се очертаят основни тенденции, предизвикателства и възможни решения в краткосрочен и средносрочен план.</w:t>
      </w:r>
    </w:p>
    <w:p w14:paraId="4A402F9D" w14:textId="77777777" w:rsidR="003A59A6" w:rsidRPr="005241FC" w:rsidRDefault="003A59A6"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В съответствие със спецификата на сектора, анализът разглежда данни за периода 2010 – 2018 г., обосновано от:</w:t>
      </w:r>
    </w:p>
    <w:p w14:paraId="1B6F85A2" w14:textId="77777777" w:rsidR="003A59A6" w:rsidRPr="005241FC" w:rsidRDefault="003A59A6"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наличните данни от официални източници;</w:t>
      </w:r>
    </w:p>
    <w:p w14:paraId="20666B66" w14:textId="77777777" w:rsidR="003A59A6" w:rsidRPr="005241FC" w:rsidRDefault="003A59A6"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необходимостта от проследяване на дългосрочни тенденции;</w:t>
      </w:r>
    </w:p>
    <w:p w14:paraId="1432EFD7" w14:textId="77777777" w:rsidR="003A59A6" w:rsidRPr="005241FC" w:rsidRDefault="003A59A6"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отчитане на периодите на значителни инвестиции в инфраструктурата и нормативни промени в сферата на управлението на отпадъците</w:t>
      </w:r>
    </w:p>
    <w:p w14:paraId="0127BF09" w14:textId="77777777" w:rsidR="003A59A6" w:rsidRPr="005241FC" w:rsidRDefault="003A59A6"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Анализирана е количествена информация, достъпна от базата данни на НСИ, Евростат, доклади на Европейската агенция по околна среда, национални доклади за състоянието и опазването на околната среда на Изпълнителна агенция по околна среда и др. информация от националната система за мониторинг. Изведените тенденции са поставени в контекста на общите за сектора европейски тенденции и препоръките от </w:t>
      </w:r>
      <w:r w:rsidRPr="005241FC">
        <w:rPr>
          <w:rFonts w:ascii="Times New Roman" w:hAnsi="Times New Roman" w:cs="Times New Roman"/>
          <w:lang w:val="bg-BG" w:eastAsia="bg-BG"/>
        </w:rPr>
        <w:t>Доклада на ЕК за България от  2019 г. Преглед на изпълнението на политиките за околната среда</w:t>
      </w:r>
      <w:r w:rsidRPr="005241FC">
        <w:rPr>
          <w:rFonts w:ascii="Times New Roman" w:hAnsi="Times New Roman" w:cs="Times New Roman"/>
          <w:lang w:val="bg-BG"/>
        </w:rPr>
        <w:t xml:space="preserve"> и Европейския доклад за устойчиво развитие от 2019 г. на Европейския институт за политики по околна среда.</w:t>
      </w:r>
    </w:p>
    <w:p w14:paraId="6CD86B06" w14:textId="77777777" w:rsidR="003A59A6" w:rsidRPr="005241FC" w:rsidRDefault="003A59A6"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Оценката на съществуващите тенденции и перспективите за постигане на целите по околна среда в сектор отпадъци е структурирана в четири основни елемента: кръгово (вторично) използване на материали, ресурсна ефективност, образуване и управление на отпадъци, като е възприет подход на идентифициране на настоящи тенденции и процеси за последните 10 години и прогноза за перспективите за напредък по постигане на целите за хоризонта на разработваната Национална стратегия за околна среда до 2030 г.</w:t>
      </w:r>
      <w:r w:rsidRPr="005241FC">
        <w:rPr>
          <w:rStyle w:val="FootnoteReference"/>
          <w:rFonts w:ascii="Times New Roman" w:hAnsi="Times New Roman" w:cs="Times New Roman"/>
          <w:lang w:val="bg-BG"/>
        </w:rPr>
        <w:footnoteReference w:id="1"/>
      </w:r>
    </w:p>
    <w:p w14:paraId="458EAC35" w14:textId="77777777" w:rsidR="00563A45" w:rsidRPr="005241FC" w:rsidRDefault="00B115FD"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Политиките по прилагане на йерархията за управление на отпадъците са ключови за изпълнение на моделите за превенция, отстраняване, компенсиране или намаляване на последиците от негативното въздействие от натиска на различни фактори върху екологичния статус на екосистемите. Усилията в глобален план са свързани с ограничаване на образуването на отпадъци и тяхното негативно въздействие върху околната среда, предотвратяване на загубата на природни ресурси и отпадъците като основа за въвеждането и прилагането на концепцията за кръгова икономика.</w:t>
      </w:r>
      <w:r w:rsidR="00563A45" w:rsidRPr="005241FC">
        <w:rPr>
          <w:rFonts w:ascii="Times New Roman" w:hAnsi="Times New Roman" w:cs="Times New Roman"/>
          <w:lang w:val="bg-BG"/>
        </w:rPr>
        <w:t xml:space="preserve"> Оценката на съществуващите тенденции и перспективите за постигане на целите по околна среда в сектор </w:t>
      </w:r>
      <w:r w:rsidR="00563A45" w:rsidRPr="005241FC">
        <w:rPr>
          <w:rFonts w:ascii="Times New Roman" w:hAnsi="Times New Roman" w:cs="Times New Roman"/>
          <w:lang w:val="bg-BG"/>
        </w:rPr>
        <w:lastRenderedPageBreak/>
        <w:t>отпадъци се структурира в четири основни елемента: кръгово (вторично) използване на материали, ресурсна ефективност, образуване и управление на отпадъци.</w:t>
      </w:r>
    </w:p>
    <w:p w14:paraId="0D714958" w14:textId="77777777" w:rsidR="00B115FD" w:rsidRPr="00E21F3C" w:rsidRDefault="00B115FD" w:rsidP="00E21F3C">
      <w:pPr>
        <w:pStyle w:val="Heading2"/>
      </w:pPr>
      <w:bookmarkStart w:id="2" w:name="_Toc72909887"/>
      <w:bookmarkEnd w:id="0"/>
      <w:r w:rsidRPr="00E21F3C">
        <w:t>Контекст и цели на политик</w:t>
      </w:r>
      <w:r w:rsidR="00E3017F" w:rsidRPr="00E21F3C">
        <w:t>ата</w:t>
      </w:r>
      <w:r w:rsidRPr="00E21F3C">
        <w:t xml:space="preserve"> в областта на управлението на отпадъците</w:t>
      </w:r>
      <w:r w:rsidR="003F1E11" w:rsidRPr="00E21F3C">
        <w:t xml:space="preserve"> – международен, европейски и национален</w:t>
      </w:r>
      <w:bookmarkEnd w:id="2"/>
    </w:p>
    <w:p w14:paraId="4E177183" w14:textId="77777777" w:rsidR="00BA3B5E" w:rsidRPr="005241FC" w:rsidRDefault="00BA3B5E" w:rsidP="005241FC">
      <w:pPr>
        <w:spacing w:before="120" w:after="120" w:line="264" w:lineRule="auto"/>
        <w:jc w:val="both"/>
        <w:rPr>
          <w:rFonts w:ascii="Times New Roman" w:hAnsi="Times New Roman" w:cs="Times New Roman"/>
          <w:lang w:val="bg-BG"/>
        </w:rPr>
      </w:pPr>
      <w:bookmarkStart w:id="3" w:name="_Hlk72860058"/>
      <w:r w:rsidRPr="005241FC">
        <w:rPr>
          <w:rFonts w:ascii="Times New Roman" w:hAnsi="Times New Roman" w:cs="Times New Roman"/>
          <w:lang w:val="bg-BG"/>
        </w:rPr>
        <w:t xml:space="preserve">Политиките в областта на отпадъците са </w:t>
      </w:r>
      <w:r w:rsidR="0008667F" w:rsidRPr="005241FC">
        <w:rPr>
          <w:rFonts w:ascii="Times New Roman" w:hAnsi="Times New Roman" w:cs="Times New Roman"/>
          <w:lang w:val="bg-BG"/>
        </w:rPr>
        <w:t xml:space="preserve">и </w:t>
      </w:r>
      <w:r w:rsidRPr="005241FC">
        <w:rPr>
          <w:rFonts w:ascii="Times New Roman" w:hAnsi="Times New Roman" w:cs="Times New Roman"/>
          <w:lang w:val="bg-BG"/>
        </w:rPr>
        <w:t>динамичен отговор на основните тенденции в сектора и се фокусират върху въвеждането на ефективни инструменти и модели за</w:t>
      </w:r>
      <w:r w:rsidR="0008667F" w:rsidRPr="005241FC">
        <w:rPr>
          <w:rFonts w:ascii="Times New Roman" w:hAnsi="Times New Roman" w:cs="Times New Roman"/>
          <w:lang w:val="bg-BG"/>
        </w:rPr>
        <w:t xml:space="preserve"> </w:t>
      </w:r>
      <w:r w:rsidRPr="005241FC">
        <w:rPr>
          <w:rFonts w:ascii="Times New Roman" w:hAnsi="Times New Roman" w:cs="Times New Roman"/>
          <w:lang w:val="bg-BG"/>
        </w:rPr>
        <w:t>намаляване на количествата образувани отпадъци</w:t>
      </w:r>
      <w:r w:rsidR="0008667F" w:rsidRPr="005241FC">
        <w:rPr>
          <w:rFonts w:ascii="Times New Roman" w:hAnsi="Times New Roman" w:cs="Times New Roman"/>
          <w:lang w:val="bg-BG"/>
        </w:rPr>
        <w:t xml:space="preserve">, </w:t>
      </w:r>
      <w:r w:rsidRPr="005241FC">
        <w:rPr>
          <w:rFonts w:ascii="Times New Roman" w:hAnsi="Times New Roman" w:cs="Times New Roman"/>
          <w:lang w:val="bg-BG"/>
        </w:rPr>
        <w:t xml:space="preserve">подобряване на управлението </w:t>
      </w:r>
      <w:r w:rsidR="0008667F" w:rsidRPr="005241FC">
        <w:rPr>
          <w:rFonts w:ascii="Times New Roman" w:hAnsi="Times New Roman" w:cs="Times New Roman"/>
          <w:lang w:val="bg-BG"/>
        </w:rPr>
        <w:t xml:space="preserve">и </w:t>
      </w:r>
      <w:r w:rsidRPr="005241FC">
        <w:rPr>
          <w:rFonts w:ascii="Times New Roman" w:hAnsi="Times New Roman" w:cs="Times New Roman"/>
          <w:lang w:val="bg-BG"/>
        </w:rPr>
        <w:t>стимулиране на иновациите и преход към кръгова и ресурсно ефективна икономика.</w:t>
      </w:r>
    </w:p>
    <w:p w14:paraId="746A7F6F" w14:textId="77777777" w:rsidR="0008667F" w:rsidRPr="005241FC" w:rsidRDefault="0008667F" w:rsidP="005241FC">
      <w:pPr>
        <w:pStyle w:val="NormalWeb"/>
        <w:shd w:val="clear" w:color="auto" w:fill="FFFFFF"/>
        <w:spacing w:before="120" w:beforeAutospacing="0" w:after="120" w:afterAutospacing="0" w:line="264" w:lineRule="auto"/>
        <w:jc w:val="both"/>
        <w:rPr>
          <w:sz w:val="22"/>
          <w:szCs w:val="22"/>
          <w:lang w:val="bg-BG"/>
        </w:rPr>
      </w:pPr>
      <w:r w:rsidRPr="005241FC">
        <w:rPr>
          <w:sz w:val="22"/>
          <w:szCs w:val="22"/>
          <w:lang w:val="bg-BG"/>
        </w:rPr>
        <w:t>Съвременните политики в областта на управлението на отпадъците поставят като основен въпрос отпадъците като проблем или ресурс. Йерархията на управлението на отпадъците е с приоритет превенцията на образуването, като специален фокус е поставен и върху управлението на отпадъците с няколко акцента:</w:t>
      </w:r>
    </w:p>
    <w:p w14:paraId="34A7C527" w14:textId="77777777" w:rsidR="0008667F" w:rsidRPr="005241FC" w:rsidRDefault="0008667F"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интегрирано управление;</w:t>
      </w:r>
    </w:p>
    <w:p w14:paraId="23433E83" w14:textId="77777777" w:rsidR="0008667F" w:rsidRPr="005241FC" w:rsidRDefault="0008667F"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използване на възможностите на кръговата икономика за генериране на икономически растеж и намаляване на разходите;</w:t>
      </w:r>
    </w:p>
    <w:p w14:paraId="65C1FD28" w14:textId="77777777" w:rsidR="0008667F" w:rsidRPr="005241FC" w:rsidRDefault="0008667F"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намаляване на отрицателното въздействие върху околната среда и природните екосистеми през целия цикъл на управление на отпадъците.</w:t>
      </w:r>
    </w:p>
    <w:p w14:paraId="5E19D201" w14:textId="77777777" w:rsidR="00BA3B5E" w:rsidRPr="005241FC" w:rsidRDefault="0008667F"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w:t>
      </w:r>
      <w:r w:rsidR="00BA3B5E" w:rsidRPr="005241FC">
        <w:rPr>
          <w:rFonts w:ascii="Times New Roman" w:hAnsi="Times New Roman" w:cs="Times New Roman"/>
          <w:lang w:val="bg-BG"/>
        </w:rPr>
        <w:t>рилагане</w:t>
      </w:r>
      <w:r w:rsidRPr="005241FC">
        <w:rPr>
          <w:rFonts w:ascii="Times New Roman" w:hAnsi="Times New Roman" w:cs="Times New Roman"/>
          <w:lang w:val="bg-BG"/>
        </w:rPr>
        <w:t>то</w:t>
      </w:r>
      <w:r w:rsidR="00BA3B5E" w:rsidRPr="005241FC">
        <w:rPr>
          <w:rFonts w:ascii="Times New Roman" w:hAnsi="Times New Roman" w:cs="Times New Roman"/>
          <w:lang w:val="bg-BG"/>
        </w:rPr>
        <w:t xml:space="preserve"> на йерархията за управление на отпадъците </w:t>
      </w:r>
      <w:r w:rsidRPr="005241FC">
        <w:rPr>
          <w:rFonts w:ascii="Times New Roman" w:hAnsi="Times New Roman" w:cs="Times New Roman"/>
          <w:lang w:val="bg-BG"/>
        </w:rPr>
        <w:t>е</w:t>
      </w:r>
      <w:r w:rsidR="00BA3B5E" w:rsidRPr="005241FC">
        <w:rPr>
          <w:rFonts w:ascii="Times New Roman" w:hAnsi="Times New Roman" w:cs="Times New Roman"/>
          <w:lang w:val="bg-BG"/>
        </w:rPr>
        <w:t xml:space="preserve"> ключов</w:t>
      </w:r>
      <w:r w:rsidRPr="005241FC">
        <w:rPr>
          <w:rFonts w:ascii="Times New Roman" w:hAnsi="Times New Roman" w:cs="Times New Roman"/>
          <w:lang w:val="bg-BG"/>
        </w:rPr>
        <w:t>о</w:t>
      </w:r>
      <w:r w:rsidR="00BA3B5E" w:rsidRPr="005241FC">
        <w:rPr>
          <w:rFonts w:ascii="Times New Roman" w:hAnsi="Times New Roman" w:cs="Times New Roman"/>
          <w:lang w:val="bg-BG"/>
        </w:rPr>
        <w:t xml:space="preserve"> за изпълнение на моделите за превенция, отстраняване, компенсиране или намаляване на последиците от негативното въздействие на сектора върху състоянието на околната среда. Едновременно с това отпадъците се разглеждат като ресурс с особено място в процеса на преход към чиста и кръгова икономика. </w:t>
      </w:r>
    </w:p>
    <w:p w14:paraId="1F9A4E7A" w14:textId="77777777" w:rsidR="0008667F" w:rsidRPr="005241FC" w:rsidRDefault="00A76EB1"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Политиката по управление на отпадъците се поставя в глобалния контекст на целите за устойчиво развитие</w:t>
      </w:r>
      <w:r w:rsidR="00D4546A" w:rsidRPr="005241FC">
        <w:rPr>
          <w:rFonts w:ascii="Times New Roman" w:hAnsi="Times New Roman" w:cs="Times New Roman"/>
          <w:lang w:val="bg-BG"/>
        </w:rPr>
        <w:t xml:space="preserve"> (ЦУР)</w:t>
      </w:r>
      <w:r w:rsidRPr="005241FC">
        <w:rPr>
          <w:rFonts w:ascii="Times New Roman" w:hAnsi="Times New Roman" w:cs="Times New Roman"/>
          <w:lang w:val="bg-BG"/>
        </w:rPr>
        <w:t xml:space="preserve"> 2030 и по-конкретно Цел 12: Устойчиви модели на потребление и производство. Програмата до 2030 г. на Организацията на обединените нации дефинира основните ангажименти на държавите, свързани с: устойчиво управление и ефикасно използване на ресурсите (ЦУР 12.2), намаляването на хранителните отпадъци и загубата на храни</w:t>
      </w:r>
      <w:r w:rsidR="000C0A65" w:rsidRPr="005241FC">
        <w:rPr>
          <w:rFonts w:ascii="Times New Roman" w:hAnsi="Times New Roman" w:cs="Times New Roman"/>
          <w:lang w:val="bg-BG"/>
        </w:rPr>
        <w:t xml:space="preserve"> (ЦУР 12.3)</w:t>
      </w:r>
      <w:r w:rsidRPr="005241FC">
        <w:rPr>
          <w:rFonts w:ascii="Times New Roman" w:hAnsi="Times New Roman" w:cs="Times New Roman"/>
          <w:lang w:val="bg-BG"/>
        </w:rPr>
        <w:t xml:space="preserve">, ориентирано към опазването на околната среда и намаляване на вредното въздействие върху човешкото здраве управление на отпадъците през целия </w:t>
      </w:r>
      <w:r w:rsidR="000C0A65" w:rsidRPr="005241FC">
        <w:rPr>
          <w:rFonts w:ascii="Times New Roman" w:hAnsi="Times New Roman" w:cs="Times New Roman"/>
          <w:lang w:val="bg-BG"/>
        </w:rPr>
        <w:t xml:space="preserve">им жизнен </w:t>
      </w:r>
      <w:r w:rsidRPr="005241FC">
        <w:rPr>
          <w:rFonts w:ascii="Times New Roman" w:hAnsi="Times New Roman" w:cs="Times New Roman"/>
          <w:lang w:val="bg-BG"/>
        </w:rPr>
        <w:t>цикъл</w:t>
      </w:r>
      <w:r w:rsidR="000C0A65" w:rsidRPr="005241FC">
        <w:rPr>
          <w:rFonts w:ascii="Times New Roman" w:hAnsi="Times New Roman" w:cs="Times New Roman"/>
          <w:lang w:val="bg-BG"/>
        </w:rPr>
        <w:t xml:space="preserve"> (ЦУР 12.4), намаляване на количествата образувани отпадъци (ЦУР 12.5), стимулиране на устойчиви практики на производство и отчетност от страна на бизнеса и особено големите и транснационалните такива (ЦУР 12.6), устойчиви практики на възлагане на обществени поръчки (ЦУР 12.7) и осигуряване на подходящо ниво на информираност относно устойчивото развитие и начин на живот в хармония с природата (ЦУР 12.8).</w:t>
      </w:r>
      <w:r w:rsidR="00D4546A" w:rsidRPr="005241FC">
        <w:rPr>
          <w:rFonts w:ascii="Times New Roman" w:hAnsi="Times New Roman" w:cs="Times New Roman"/>
          <w:lang w:val="bg-BG"/>
        </w:rPr>
        <w:t xml:space="preserve"> </w:t>
      </w:r>
      <w:r w:rsidR="0008667F" w:rsidRPr="005241FC">
        <w:rPr>
          <w:rFonts w:ascii="Times New Roman" w:hAnsi="Times New Roman" w:cs="Times New Roman"/>
          <w:lang w:val="bg-BG"/>
        </w:rPr>
        <w:t xml:space="preserve">Цел 11: Устойчиви градове и общности </w:t>
      </w:r>
      <w:r w:rsidR="00D4546A" w:rsidRPr="005241FC">
        <w:rPr>
          <w:rFonts w:ascii="Times New Roman" w:hAnsi="Times New Roman" w:cs="Times New Roman"/>
          <w:lang w:val="bg-BG"/>
        </w:rPr>
        <w:t>очертава водещата роля на градовете в утвърждаване на модела на устойчива и приобщаваща урбанизация, като обръща особено внимание на управлението на градските и други отпадъци.</w:t>
      </w:r>
    </w:p>
    <w:p w14:paraId="7DC15730" w14:textId="77777777" w:rsidR="000C0A65" w:rsidRPr="005241FC" w:rsidRDefault="000C0A65"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ЕС и държавите членки са </w:t>
      </w:r>
      <w:r w:rsidR="005D4CF9" w:rsidRPr="005241FC">
        <w:rPr>
          <w:rFonts w:ascii="Times New Roman" w:hAnsi="Times New Roman" w:cs="Times New Roman"/>
          <w:lang w:val="bg-BG"/>
        </w:rPr>
        <w:t xml:space="preserve">с водеща роля при </w:t>
      </w:r>
      <w:r w:rsidR="00287A5E" w:rsidRPr="005241FC">
        <w:rPr>
          <w:rFonts w:ascii="Times New Roman" w:hAnsi="Times New Roman" w:cs="Times New Roman"/>
          <w:lang w:val="bg-BG"/>
        </w:rPr>
        <w:t>изпълнение на Програмата</w:t>
      </w:r>
      <w:r w:rsidR="005D4CF9" w:rsidRPr="005241FC">
        <w:rPr>
          <w:rFonts w:ascii="Times New Roman" w:hAnsi="Times New Roman" w:cs="Times New Roman"/>
          <w:lang w:val="bg-BG"/>
        </w:rPr>
        <w:t xml:space="preserve"> за устойчиво развитие</w:t>
      </w:r>
      <w:r w:rsidR="00287A5E" w:rsidRPr="005241FC">
        <w:rPr>
          <w:rFonts w:ascii="Times New Roman" w:hAnsi="Times New Roman" w:cs="Times New Roman"/>
          <w:lang w:val="bg-BG"/>
        </w:rPr>
        <w:t xml:space="preserve"> до 2030, като посредством различни инструменти на политиките разработват холистична стратегия и подход за постигане на целите</w:t>
      </w:r>
      <w:r w:rsidR="00234C8E" w:rsidRPr="005241FC">
        <w:rPr>
          <w:rFonts w:ascii="Times New Roman" w:hAnsi="Times New Roman" w:cs="Times New Roman"/>
          <w:lang w:val="bg-BG"/>
        </w:rPr>
        <w:t xml:space="preserve"> при спазване на принципа на субсидиарност</w:t>
      </w:r>
      <w:r w:rsidR="00287A5E" w:rsidRPr="005241FC">
        <w:rPr>
          <w:rFonts w:ascii="Times New Roman" w:hAnsi="Times New Roman" w:cs="Times New Roman"/>
          <w:lang w:val="bg-BG"/>
        </w:rPr>
        <w:t>. Стратегическият подход на ЕК към изпълнението на Програмата се основава на:</w:t>
      </w:r>
    </w:p>
    <w:p w14:paraId="7D3AC777" w14:textId="77777777" w:rsidR="00287A5E" w:rsidRPr="005241FC" w:rsidRDefault="00287A5E"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lastRenderedPageBreak/>
        <w:t>включване на ЦУР в политиките и инициативите на ЕС във всички области и разглеждане на устойчивото развитие като важен ръководен принцип за всички политики на Европейската комисия;</w:t>
      </w:r>
    </w:p>
    <w:p w14:paraId="53032A53" w14:textId="77777777" w:rsidR="00287A5E" w:rsidRPr="005241FC" w:rsidRDefault="00287A5E"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осигуряване на редовно докладване за напредъка на ЕС</w:t>
      </w:r>
      <w:r w:rsidR="00234C8E" w:rsidRPr="005241FC">
        <w:rPr>
          <w:rFonts w:ascii="Times New Roman" w:hAnsi="Times New Roman" w:cs="Times New Roman"/>
          <w:lang w:val="bg-BG"/>
        </w:rPr>
        <w:t>;</w:t>
      </w:r>
    </w:p>
    <w:p w14:paraId="3B7B8300" w14:textId="77777777" w:rsidR="00287A5E" w:rsidRPr="005241FC" w:rsidRDefault="00287A5E"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координиране на изпълнението на Програмата до 2030 г. с правителствата на страните от ЕС, Европейския парламент, други европейски институции, международни организации, организации на гражданското общество, граждани и други заинтересовани страни</w:t>
      </w:r>
      <w:r w:rsidR="00234C8E" w:rsidRPr="005241FC">
        <w:rPr>
          <w:rFonts w:ascii="Times New Roman" w:hAnsi="Times New Roman" w:cs="Times New Roman"/>
          <w:lang w:val="bg-BG"/>
        </w:rPr>
        <w:t>;</w:t>
      </w:r>
    </w:p>
    <w:p w14:paraId="0C5D7078" w14:textId="77777777" w:rsidR="00287A5E" w:rsidRPr="005241FC" w:rsidRDefault="00287A5E"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създаване на </w:t>
      </w:r>
      <w:hyperlink r:id="rId8" w:history="1">
        <w:r w:rsidRPr="005241FC">
          <w:rPr>
            <w:rFonts w:ascii="Times New Roman" w:hAnsi="Times New Roman" w:cs="Times New Roman"/>
            <w:lang w:val="bg-BG"/>
          </w:rPr>
          <w:t>многостранна платформа на високо равнище</w:t>
        </w:r>
      </w:hyperlink>
      <w:r w:rsidRPr="005241FC">
        <w:rPr>
          <w:rFonts w:ascii="Times New Roman" w:hAnsi="Times New Roman" w:cs="Times New Roman"/>
          <w:lang w:val="bg-BG"/>
        </w:rPr>
        <w:t> в подкрепа на обмена на добри практики по отношение на изпълнението в различните сектори на национално и европейско равнище</w:t>
      </w:r>
      <w:r w:rsidR="00234C8E" w:rsidRPr="005241FC">
        <w:rPr>
          <w:rFonts w:ascii="Times New Roman" w:hAnsi="Times New Roman" w:cs="Times New Roman"/>
          <w:lang w:val="bg-BG"/>
        </w:rPr>
        <w:t>;</w:t>
      </w:r>
    </w:p>
    <w:p w14:paraId="77B05A6C" w14:textId="77777777" w:rsidR="00287A5E" w:rsidRPr="005241FC" w:rsidRDefault="00287A5E"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изграждане на по-дългосрочна визия с перспективи за периода след 2020 г.</w:t>
      </w:r>
      <w:r w:rsidR="00234C8E" w:rsidRPr="005241FC">
        <w:rPr>
          <w:rStyle w:val="FootnoteReference"/>
          <w:rFonts w:ascii="Times New Roman" w:hAnsi="Times New Roman" w:cs="Times New Roman"/>
          <w:lang w:val="bg-BG"/>
        </w:rPr>
        <w:footnoteReference w:id="2"/>
      </w:r>
    </w:p>
    <w:bookmarkEnd w:id="3"/>
    <w:p w14:paraId="4389CF3B" w14:textId="77777777" w:rsidR="00BA3B5E" w:rsidRPr="005241FC" w:rsidRDefault="00BA3B5E" w:rsidP="005241FC">
      <w:pPr>
        <w:spacing w:before="120" w:after="120" w:line="264" w:lineRule="auto"/>
        <w:jc w:val="both"/>
        <w:rPr>
          <w:rFonts w:ascii="Times New Roman" w:hAnsi="Times New Roman" w:cs="Times New Roman"/>
          <w:b/>
          <w:bCs/>
          <w:lang w:val="bg-BG"/>
        </w:rPr>
      </w:pPr>
      <w:r w:rsidRPr="005241FC">
        <w:rPr>
          <w:rFonts w:ascii="Times New Roman" w:eastAsia="Times New Roman" w:hAnsi="Times New Roman" w:cs="Times New Roman"/>
          <w:b/>
          <w:bCs/>
          <w:lang w:val="bg-BG"/>
        </w:rPr>
        <w:t>Политики на ЕС в областта на управлението на отпадъците</w:t>
      </w:r>
    </w:p>
    <w:p w14:paraId="18DFD6CA" w14:textId="77777777" w:rsidR="00BA3B5E" w:rsidRPr="005241FC" w:rsidRDefault="00BA3B5E"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В Европейски контекст </w:t>
      </w:r>
      <w:bookmarkStart w:id="4" w:name="_Hlk72861084"/>
      <w:r w:rsidRPr="005241FC">
        <w:rPr>
          <w:rFonts w:ascii="Times New Roman" w:hAnsi="Times New Roman" w:cs="Times New Roman"/>
          <w:lang w:val="bg-BG"/>
        </w:rPr>
        <w:t>рамката и целите за управление на отпадъците с акцент върху превенцията на образуването се въвежда от Директива 2008/98/ЕО на Европейския парламент и на Съвета относно отпадъците.</w:t>
      </w:r>
      <w:bookmarkEnd w:id="4"/>
      <w:r w:rsidRPr="005241FC">
        <w:rPr>
          <w:rFonts w:ascii="Times New Roman" w:hAnsi="Times New Roman" w:cs="Times New Roman"/>
          <w:lang w:val="bg-BG"/>
        </w:rPr>
        <w:t xml:space="preserve"> С Директивата се установяват основни концепции и определения в областта на управлението на отпадъците, включително приоритетния ред при управлението на отпадъците и мерки за намаляване на цялостното въздействие от използването на ресурси.</w:t>
      </w:r>
    </w:p>
    <w:p w14:paraId="5E3FBA61"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hAnsi="Times New Roman" w:cs="Times New Roman"/>
          <w:lang w:val="bg-BG"/>
        </w:rPr>
        <w:t xml:space="preserve">Наблюдението и контрола върху превоза на отпадъци </w:t>
      </w:r>
      <w:r w:rsidR="00D4546A" w:rsidRPr="005241FC">
        <w:rPr>
          <w:rFonts w:ascii="Times New Roman" w:hAnsi="Times New Roman" w:cs="Times New Roman"/>
          <w:lang w:val="bg-BG"/>
        </w:rPr>
        <w:t>е в приложното поле на</w:t>
      </w:r>
      <w:r w:rsidRPr="005241FC">
        <w:rPr>
          <w:rFonts w:ascii="Times New Roman" w:hAnsi="Times New Roman" w:cs="Times New Roman"/>
          <w:lang w:val="bg-BG"/>
        </w:rPr>
        <w:t xml:space="preserve"> Регламент (ЕО) №1013/2006 на Европейския парламент и на Съвета относно превоза на отпадъци, с който се определят изискванията за превозите на отпадъци в рамките на Съюза и между държавите членки и трети държави. С Регламент (ЕС) №660/ 2014 на Европейския парламент и на Съвета за изменение на Регламент (ЕО) №1013/2006 на Европейския парламент и на Съвета относно превоза на отпадъци се утвърждават разпоредбите, </w:t>
      </w:r>
      <w:r w:rsidRPr="005241FC">
        <w:rPr>
          <w:rFonts w:ascii="Times New Roman" w:eastAsia="Times New Roman" w:hAnsi="Times New Roman" w:cs="Times New Roman"/>
          <w:lang w:val="bg-BG"/>
        </w:rPr>
        <w:t>свързани с правилата за превоз на отпадъците и с цел  подобряване на опазването на околната среда, като се поставя акцент върху изискванията за планиране и извършване на национални инспекции на превозите, сътрудничество за предотвратяване и откриване на незаконни превози.</w:t>
      </w:r>
    </w:p>
    <w:p w14:paraId="4DDE0184" w14:textId="3DE95761" w:rsidR="00BA3B5E" w:rsidRPr="005241FC" w:rsidRDefault="00981F59" w:rsidP="005241FC">
      <w:pPr>
        <w:spacing w:before="120" w:after="120" w:line="264" w:lineRule="auto"/>
        <w:jc w:val="both"/>
        <w:rPr>
          <w:rFonts w:ascii="Times New Roman" w:eastAsia="Times New Roman" w:hAnsi="Times New Roman" w:cs="Times New Roman"/>
          <w:lang w:val="bg-BG"/>
        </w:rPr>
      </w:pPr>
      <w:r>
        <w:rPr>
          <w:rFonts w:ascii="Times New Roman" w:eastAsia="Times New Roman" w:hAnsi="Times New Roman" w:cs="Times New Roman"/>
          <w:lang w:val="bg-BG"/>
        </w:rPr>
        <w:t xml:space="preserve">Приетият </w:t>
      </w:r>
      <w:r w:rsidR="00BA3B5E" w:rsidRPr="005241FC">
        <w:rPr>
          <w:rFonts w:ascii="Times New Roman" w:eastAsia="Times New Roman" w:hAnsi="Times New Roman" w:cs="Times New Roman"/>
          <w:lang w:val="bg-BG"/>
        </w:rPr>
        <w:t xml:space="preserve">от ЕК през 2008 г. </w:t>
      </w:r>
      <w:r w:rsidR="00BA3B5E" w:rsidRPr="005241FC">
        <w:rPr>
          <w:rFonts w:ascii="Times New Roman" w:eastAsia="Times New Roman" w:hAnsi="Times New Roman" w:cs="Times New Roman"/>
          <w:b/>
          <w:bCs/>
          <w:lang w:val="bg-BG"/>
        </w:rPr>
        <w:t xml:space="preserve">План за действие за устойчиво потребление и производство </w:t>
      </w:r>
      <w:r>
        <w:rPr>
          <w:rFonts w:ascii="Times New Roman" w:eastAsia="Times New Roman" w:hAnsi="Times New Roman" w:cs="Times New Roman"/>
          <w:b/>
          <w:bCs/>
          <w:lang w:val="bg-BG"/>
        </w:rPr>
        <w:t xml:space="preserve">и за устойчива промишлена политика </w:t>
      </w:r>
      <w:r w:rsidR="00BA3B5E" w:rsidRPr="005241FC">
        <w:rPr>
          <w:rFonts w:ascii="Times New Roman" w:eastAsia="Times New Roman" w:hAnsi="Times New Roman" w:cs="Times New Roman"/>
          <w:lang w:val="bg-BG"/>
        </w:rPr>
        <w:t>включва пакет от дейности и предложения, които целят подобряване на екологичните показатели на продуктите по време на жизнения им цикъл, увеличаване на информираността на потребителите, на търсенето на устойчиви продукти и производствени технологии, насърчаване на иновациите. Планът стимулира развитието на редица инициативи, свързани с разширяване на обхвата на Директивата за екодизайна, преразглеждане на Регламента за екомаркировката, преразглеждане на Регламента за Схемата на Общността за управление по околна среда и одитиране, законодателство в областта на съобразеното с околната среда възлагане на обществени поръчки, Пътната карта за ефективно използване на ресурсите и Плана за действие за екологични иновации. Като част от водещата инициатива за ефективно използване на ресурсите на стратегията „Европа 2020“, Пътната карта за ефективно използване на ресурсите в Европа (COM(2011)0571) очертава визията за развитие на икономиката на ЕС до 2050 г. основана на растеж, съобразен с ограничените ресурси и възможности на планетата, като по този начин се допринесе за глобална икономическа промяна.</w:t>
      </w:r>
    </w:p>
    <w:p w14:paraId="58ECFC78" w14:textId="2C10F2CF"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lastRenderedPageBreak/>
        <w:t xml:space="preserve">През декември 2015 г. ЕК представи и </w:t>
      </w:r>
      <w:bookmarkStart w:id="5" w:name="_Hlk72861294"/>
      <w:r w:rsidR="00710B61" w:rsidRPr="005241FC">
        <w:rPr>
          <w:rFonts w:ascii="Times New Roman" w:eastAsia="Times New Roman" w:hAnsi="Times New Roman" w:cs="Times New Roman"/>
          <w:b/>
          <w:bCs/>
          <w:lang w:val="bg-BG"/>
        </w:rPr>
        <w:t>П</w:t>
      </w:r>
      <w:r w:rsidRPr="005241FC">
        <w:rPr>
          <w:rFonts w:ascii="Times New Roman" w:eastAsia="Times New Roman" w:hAnsi="Times New Roman" w:cs="Times New Roman"/>
          <w:b/>
          <w:bCs/>
          <w:lang w:val="bg-BG"/>
        </w:rPr>
        <w:t>лан за действие за кръговата икономика</w:t>
      </w:r>
      <w:r w:rsidRPr="005241FC">
        <w:rPr>
          <w:rFonts w:ascii="Times New Roman" w:eastAsia="Times New Roman" w:hAnsi="Times New Roman" w:cs="Times New Roman"/>
          <w:lang w:val="bg-BG"/>
        </w:rPr>
        <w:t xml:space="preserve"> и четири законодателни предложения за изменение на Рамковата директива</w:t>
      </w:r>
      <w:r w:rsidR="007F55B8">
        <w:rPr>
          <w:rFonts w:ascii="Times New Roman" w:eastAsia="Times New Roman" w:hAnsi="Times New Roman" w:cs="Times New Roman"/>
        </w:rPr>
        <w:t xml:space="preserve"> (</w:t>
      </w:r>
      <w:r w:rsidR="007F55B8">
        <w:rPr>
          <w:rFonts w:ascii="Times New Roman" w:eastAsia="Times New Roman" w:hAnsi="Times New Roman" w:cs="Times New Roman"/>
          <w:lang w:val="bg-BG"/>
        </w:rPr>
        <w:t>ЕС</w:t>
      </w:r>
      <w:r w:rsidR="007F55B8">
        <w:rPr>
          <w:rFonts w:ascii="Times New Roman" w:eastAsia="Times New Roman" w:hAnsi="Times New Roman" w:cs="Times New Roman"/>
        </w:rPr>
        <w:t>)</w:t>
      </w:r>
      <w:r w:rsidR="007F55B8">
        <w:rPr>
          <w:rFonts w:ascii="Times New Roman" w:eastAsia="Times New Roman" w:hAnsi="Times New Roman" w:cs="Times New Roman"/>
          <w:lang w:val="bg-BG"/>
        </w:rPr>
        <w:t xml:space="preserve"> 2018/851 </w:t>
      </w:r>
      <w:r w:rsidRPr="005241FC">
        <w:rPr>
          <w:rFonts w:ascii="Times New Roman" w:eastAsia="Times New Roman" w:hAnsi="Times New Roman" w:cs="Times New Roman"/>
          <w:lang w:val="bg-BG"/>
        </w:rPr>
        <w:t>относно отпадъците,  Директивата</w:t>
      </w:r>
      <w:r w:rsidR="007F55B8">
        <w:rPr>
          <w:rFonts w:ascii="Times New Roman" w:eastAsia="Times New Roman" w:hAnsi="Times New Roman" w:cs="Times New Roman"/>
          <w:lang w:val="bg-BG"/>
        </w:rPr>
        <w:t xml:space="preserve"> (ЕС) 2018/850</w:t>
      </w:r>
      <w:r w:rsidRPr="005241FC">
        <w:rPr>
          <w:rFonts w:ascii="Times New Roman" w:eastAsia="Times New Roman" w:hAnsi="Times New Roman" w:cs="Times New Roman"/>
          <w:color w:val="0000FF"/>
          <w:u w:val="single"/>
          <w:lang w:val="bg-BG"/>
        </w:rPr>
        <w:t xml:space="preserve"> </w:t>
      </w:r>
      <w:r w:rsidRPr="005241FC">
        <w:rPr>
          <w:rFonts w:ascii="Times New Roman" w:eastAsia="Times New Roman" w:hAnsi="Times New Roman" w:cs="Times New Roman"/>
          <w:lang w:val="bg-BG"/>
        </w:rPr>
        <w:t>относно депонирането на отпадъци, Директивата (EС) 2018/852 относно опаковките и отпадъците от опаковки и Директивите (EС) 2018/849 относно излезлите от употреба превозни средства, относно батерии и акумулатори и отпадъци от батерии и акумулатори и относно отпадъци от електрическо и електронно оборудване (EС).</w:t>
      </w:r>
      <w:bookmarkEnd w:id="5"/>
      <w:r w:rsidRPr="005241FC">
        <w:rPr>
          <w:rFonts w:ascii="Times New Roman" w:eastAsia="Times New Roman" w:hAnsi="Times New Roman" w:cs="Times New Roman"/>
          <w:lang w:val="bg-BG"/>
        </w:rPr>
        <w:t xml:space="preserve"> Приети през май 2018 г., четирите директиви включват следните основни елементи:</w:t>
      </w:r>
    </w:p>
    <w:p w14:paraId="169E676E"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Обща за ЕС цел за рециклиране на 65 % от битовите отпадъци до 2035 г. (55 % до 2025 г. и 60 % до 2030 г.); </w:t>
      </w:r>
    </w:p>
    <w:p w14:paraId="55F2A6A6"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Обща за ЕС цел за рециклиране на 70 % от опаковъчните отпадъци до 2030 г.; </w:t>
      </w:r>
    </w:p>
    <w:p w14:paraId="58F01747"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Задължителна цел за депата за намаляване на депонирането с 10 % от битовите отпадъци до 2035 г.; </w:t>
      </w:r>
    </w:p>
    <w:p w14:paraId="0DB9EAFE"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Забрана за депониране на разделно събирани отпадъци, като се изисква разделно събиране на биологичните отпадъци до 2023 г. и за текстила и опасните отпадъци от домакинствата до 2025 г.; </w:t>
      </w:r>
    </w:p>
    <w:p w14:paraId="3078D0D7"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Популяризиране на икономически инструменти за намаляване на депонирането; </w:t>
      </w:r>
    </w:p>
    <w:p w14:paraId="25F09549"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Опростени и подобрени определения и хармонизирани методи за изчисляване на равнищата на рециклиране в ЕС; </w:t>
      </w:r>
    </w:p>
    <w:p w14:paraId="199BC872"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Конкретни </w:t>
      </w:r>
      <w:bookmarkStart w:id="6" w:name="_Hlk72861535"/>
      <w:r w:rsidRPr="005241FC">
        <w:rPr>
          <w:rFonts w:ascii="Times New Roman" w:eastAsia="Times New Roman" w:hAnsi="Times New Roman" w:cs="Times New Roman"/>
          <w:lang w:val="bg-BG"/>
        </w:rPr>
        <w:t xml:space="preserve">мерки за насърчаване на повторното използване и стимулиране на промишлената симбиоза </w:t>
      </w:r>
      <w:bookmarkEnd w:id="6"/>
      <w:r w:rsidRPr="005241FC">
        <w:rPr>
          <w:rFonts w:ascii="Times New Roman" w:eastAsia="Times New Roman" w:hAnsi="Times New Roman" w:cs="Times New Roman"/>
          <w:lang w:val="bg-BG"/>
        </w:rPr>
        <w:t xml:space="preserve">— превръщането на страничен за един отрасъл продукт в суровина за друг; </w:t>
      </w:r>
    </w:p>
    <w:p w14:paraId="0865765D" w14:textId="77777777" w:rsidR="00BA3B5E" w:rsidRPr="005241FC" w:rsidRDefault="00BA3B5E" w:rsidP="005241FC">
      <w:pPr>
        <w:numPr>
          <w:ilvl w:val="0"/>
          <w:numId w:val="3"/>
        </w:num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Задължителни </w:t>
      </w:r>
      <w:bookmarkStart w:id="7" w:name="_Hlk72861553"/>
      <w:r w:rsidRPr="005241FC">
        <w:rPr>
          <w:rFonts w:ascii="Times New Roman" w:eastAsia="Times New Roman" w:hAnsi="Times New Roman" w:cs="Times New Roman"/>
          <w:lang w:val="bg-BG"/>
        </w:rPr>
        <w:t xml:space="preserve">режими на разширена отговорност на производителите </w:t>
      </w:r>
      <w:bookmarkEnd w:id="7"/>
      <w:r w:rsidRPr="005241FC">
        <w:rPr>
          <w:rFonts w:ascii="Times New Roman" w:eastAsia="Times New Roman" w:hAnsi="Times New Roman" w:cs="Times New Roman"/>
          <w:lang w:val="bg-BG"/>
        </w:rPr>
        <w:t xml:space="preserve">— за производителите да пускат по-екологосъобразни продукти на пазара и да подкрепят схеми за възстановяване и рециклиране (за опаковки, батерии, електрическо и електронно оборудване и излезли от употреба превозни средства, например). </w:t>
      </w:r>
    </w:p>
    <w:p w14:paraId="377A830F"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На 16 януари 2018 г. Комисията публикува съобщение (</w:t>
      </w:r>
      <w:bookmarkStart w:id="8" w:name="_Hlk72861731"/>
      <w:r w:rsidRPr="005241FC">
        <w:rPr>
          <w:rFonts w:ascii="Times New Roman" w:hAnsi="Times New Roman" w:cs="Times New Roman"/>
          <w:color w:val="000000" w:themeColor="text1"/>
          <w:shd w:val="clear" w:color="auto" w:fill="FFFFFF"/>
          <w:lang w:val="bg-BG"/>
        </w:rPr>
        <w:t>COM/2018/028</w:t>
      </w:r>
      <w:r w:rsidRPr="005241FC">
        <w:rPr>
          <w:rFonts w:ascii="Times New Roman" w:eastAsia="Times New Roman" w:hAnsi="Times New Roman" w:cs="Times New Roman"/>
          <w:lang w:val="bg-BG"/>
        </w:rPr>
        <w:t>)</w:t>
      </w:r>
      <w:bookmarkEnd w:id="8"/>
      <w:r w:rsidRPr="005241FC">
        <w:rPr>
          <w:rFonts w:ascii="Times New Roman" w:eastAsia="Times New Roman" w:hAnsi="Times New Roman" w:cs="Times New Roman"/>
          <w:lang w:val="bg-BG"/>
        </w:rPr>
        <w:t xml:space="preserve"> до Европейския парламент, Съвета, Икономическия и социален комитет и Комитета на регионите, в което </w:t>
      </w:r>
      <w:r w:rsidR="00710B61" w:rsidRPr="005241FC">
        <w:rPr>
          <w:rFonts w:ascii="Times New Roman" w:eastAsia="Times New Roman" w:hAnsi="Times New Roman" w:cs="Times New Roman"/>
          <w:lang w:val="bg-BG"/>
        </w:rPr>
        <w:t xml:space="preserve">се </w:t>
      </w:r>
      <w:r w:rsidRPr="005241FC">
        <w:rPr>
          <w:rFonts w:ascii="Times New Roman" w:eastAsia="Times New Roman" w:hAnsi="Times New Roman" w:cs="Times New Roman"/>
          <w:lang w:val="bg-BG"/>
        </w:rPr>
        <w:t xml:space="preserve">излага </w:t>
      </w:r>
      <w:r w:rsidRPr="005241FC">
        <w:rPr>
          <w:rFonts w:ascii="Times New Roman" w:eastAsia="Times New Roman" w:hAnsi="Times New Roman" w:cs="Times New Roman"/>
          <w:b/>
          <w:bCs/>
          <w:lang w:val="bg-BG"/>
        </w:rPr>
        <w:t>стратегия за пластмасите в кръговата икономика</w:t>
      </w:r>
      <w:r w:rsidRPr="005241FC">
        <w:rPr>
          <w:rStyle w:val="FootnoteReference"/>
          <w:rFonts w:ascii="Times New Roman" w:eastAsia="Times New Roman" w:hAnsi="Times New Roman" w:cs="Times New Roman"/>
          <w:b/>
          <w:bCs/>
          <w:lang w:val="bg-BG"/>
        </w:rPr>
        <w:footnoteReference w:id="3"/>
      </w:r>
      <w:r w:rsidRPr="005241FC">
        <w:rPr>
          <w:rFonts w:ascii="Times New Roman" w:eastAsia="Times New Roman" w:hAnsi="Times New Roman" w:cs="Times New Roman"/>
          <w:lang w:val="bg-BG"/>
        </w:rPr>
        <w:t>. В стратегията се определят основните предизвикателства, включително ниската степен на повторна употреба и рециклиране на пластмасовите отпадъци, емисиите на парникови газове, свързани с производството и изгарянето на пластмаси, както и наличието на пластмасови отпадъци в океаните. Основната цел е до 2030 г. всички опаковки от пластмаси да бъдат годни за рециклиране или повторно използване. Стратегията представя широк спектър от мерки, съсредоточени в четири области: 1) подобряване на рентабилността и качеството на рециклирането на пластмаси; 2) ограничаване на замърсяването с пластмасови отпадъци; 3) привличане на инвестиции и иновации във веригата за създаване на стойност от пластмаси; и 4) овладяване на глобалните действия.</w:t>
      </w:r>
    </w:p>
    <w:p w14:paraId="7202B5E8"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Ключов резултат от усилията за ограничаване на замърсяването с пластмаса е приетата през юни 2019 г. </w:t>
      </w:r>
      <w:bookmarkStart w:id="9" w:name="_Hlk72861759"/>
      <w:r w:rsidRPr="005241FC">
        <w:rPr>
          <w:rFonts w:ascii="Times New Roman" w:eastAsia="Times New Roman" w:hAnsi="Times New Roman" w:cs="Times New Roman"/>
          <w:lang w:val="bg-BG"/>
        </w:rPr>
        <w:t>Директива (ЕС) 2019/904 на Европейския парламент и на Съвета относно намаляването на въздействието на определени пластмасови продукти върху околната среда.</w:t>
      </w:r>
      <w:bookmarkEnd w:id="9"/>
      <w:r w:rsidRPr="005241FC">
        <w:rPr>
          <w:rFonts w:ascii="Times New Roman" w:eastAsia="Times New Roman" w:hAnsi="Times New Roman" w:cs="Times New Roman"/>
          <w:lang w:val="bg-BG"/>
        </w:rPr>
        <w:t xml:space="preserve"> Този законодателен акт има за цел да предотврати и намали въздействието върху околната среда на определени пластмасови </w:t>
      </w:r>
      <w:r w:rsidRPr="005241FC">
        <w:rPr>
          <w:rFonts w:ascii="Times New Roman" w:eastAsia="Times New Roman" w:hAnsi="Times New Roman" w:cs="Times New Roman"/>
          <w:lang w:val="bg-BG"/>
        </w:rPr>
        <w:lastRenderedPageBreak/>
        <w:t xml:space="preserve">продукти и да насърчи прехода към кръгова икономика чрез въвеждането на комбинация от мерки, пригодени към продуктите, обхванати от директивата, включително забрана в целия ЕС на пластмасови продукти за еднократна употреба, когато са налични алтернативи. </w:t>
      </w:r>
    </w:p>
    <w:p w14:paraId="6D096EDA"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От 2025 г. задължителните цели за държавите членки включват всички бутилки за напитки от PET да съдържат поне 25 % рециклирана пластмаса, а до 2030 г. - всички пластмасови бутилки да бъдат с минимум 30 % рециклирано съдържание. </w:t>
      </w:r>
    </w:p>
    <w:p w14:paraId="1DEE9EDA"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От държавите от ЕС се изисква да предприемат мерки за намаляване на потреблението на определени пластмаси за еднократна употреба, когато няма алтернатива, да наблюдават потреблението на тези продукти за еднократна употреба, както и предприетите мерки, и да докладват за постигнатия напредък на Европейската комисия. Директивата изисква амбициозно и устойчиво количествено намаление в потреблението на тези продукти до 2026 г. спрямо 2022 г. </w:t>
      </w:r>
    </w:p>
    <w:p w14:paraId="6650DC32"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 xml:space="preserve">Предвидени са изисквания за отделно събиране и дизайн за пластмасовите бутилки, както и задължителна маркировка. </w:t>
      </w:r>
    </w:p>
    <w:p w14:paraId="471C638C" w14:textId="77777777" w:rsidR="00BA3B5E" w:rsidRPr="005241FC" w:rsidRDefault="00BA3B5E" w:rsidP="005241FC">
      <w:pPr>
        <w:spacing w:before="120" w:after="120" w:line="264" w:lineRule="auto"/>
        <w:jc w:val="both"/>
        <w:rPr>
          <w:rFonts w:ascii="Times New Roman" w:eastAsia="Times New Roman" w:hAnsi="Times New Roman" w:cs="Times New Roman"/>
          <w:lang w:val="bg-BG"/>
        </w:rPr>
      </w:pPr>
      <w:r w:rsidRPr="005241FC">
        <w:rPr>
          <w:rFonts w:ascii="Times New Roman" w:eastAsia="Times New Roman" w:hAnsi="Times New Roman" w:cs="Times New Roman"/>
          <w:lang w:val="bg-BG"/>
        </w:rPr>
        <w:t>Директивата включва принципа „замърсителят плаща“, като производителите трябва да покрият разходите за почистване при управлението на отпадъците, събиране на данни и повишаване на осведомеността. Държавите членки следва да предприемат мерки, за да информират потребителите и да насърчават отговорното поведение на потребителите, за да намалят отпадъците от такива продукти и да осведомяват потребителите за алтернативни продукти за многократна употреба и за въздействието на неправилното изхвърляне на пластмасови отпадъци за еднократна употреба в отходната система.</w:t>
      </w:r>
    </w:p>
    <w:p w14:paraId="2723D597" w14:textId="77777777" w:rsidR="00BA3B5E" w:rsidRPr="005241FC" w:rsidRDefault="00BA3B5E" w:rsidP="005241FC">
      <w:pPr>
        <w:spacing w:before="120" w:after="120" w:line="264" w:lineRule="auto"/>
        <w:jc w:val="both"/>
        <w:rPr>
          <w:rFonts w:ascii="Times New Roman" w:hAnsi="Times New Roman" w:cs="Times New Roman"/>
          <w:lang w:val="bg-BG"/>
        </w:rPr>
      </w:pPr>
      <w:bookmarkStart w:id="10" w:name="_Hlk72862139"/>
      <w:r w:rsidRPr="005241FC">
        <w:rPr>
          <w:rFonts w:ascii="Times New Roman" w:hAnsi="Times New Roman" w:cs="Times New Roman"/>
          <w:lang w:val="bg-BG"/>
        </w:rPr>
        <w:t xml:space="preserve">Приетият през 2019 г. </w:t>
      </w:r>
      <w:r w:rsidRPr="005241FC">
        <w:rPr>
          <w:rFonts w:ascii="Times New Roman" w:hAnsi="Times New Roman" w:cs="Times New Roman"/>
          <w:b/>
          <w:bCs/>
          <w:lang w:val="bg-BG"/>
        </w:rPr>
        <w:t>Европейски зелен пакт</w:t>
      </w:r>
      <w:r w:rsidRPr="005241FC">
        <w:rPr>
          <w:rFonts w:ascii="Times New Roman" w:hAnsi="Times New Roman" w:cs="Times New Roman"/>
          <w:lang w:val="bg-BG"/>
        </w:rPr>
        <w:t xml:space="preserve"> очертава няколко ключови политики от значение за стимулиране на ефективното използване на ресурси в прехода към чиста и кръгова икономика, за възстановяване на биоразнообразието и ограничаване на замърсяването. </w:t>
      </w:r>
    </w:p>
    <w:p w14:paraId="24C5D2A1" w14:textId="77777777" w:rsidR="00BA3B5E" w:rsidRPr="005241FC" w:rsidRDefault="00BA3B5E"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Като елемент на Европейския зелен пакт, публикуваният през 2020 г. </w:t>
      </w:r>
      <w:r w:rsidRPr="005241FC">
        <w:rPr>
          <w:rFonts w:ascii="Times New Roman" w:hAnsi="Times New Roman" w:cs="Times New Roman"/>
          <w:b/>
          <w:bCs/>
          <w:lang w:val="bg-BG"/>
        </w:rPr>
        <w:t>План за действие за кръговата икономика</w:t>
      </w:r>
      <w:r w:rsidRPr="005241FC">
        <w:rPr>
          <w:rFonts w:ascii="Times New Roman" w:hAnsi="Times New Roman" w:cs="Times New Roman"/>
          <w:lang w:val="bg-BG"/>
        </w:rPr>
        <w:t xml:space="preserve"> </w:t>
      </w:r>
      <w:r w:rsidRPr="005241FC">
        <w:rPr>
          <w:rStyle w:val="A2"/>
          <w:rFonts w:ascii="Times New Roman" w:hAnsi="Times New Roman" w:cs="Times New Roman"/>
          <w:lang w:val="bg-BG"/>
        </w:rPr>
        <w:t>има за цел</w:t>
      </w:r>
      <w:r w:rsidRPr="005241FC">
        <w:rPr>
          <w:rFonts w:ascii="Times New Roman" w:hAnsi="Times New Roman" w:cs="Times New Roman"/>
          <w:lang w:val="bg-BG"/>
        </w:rPr>
        <w:t xml:space="preserve"> да спомогне за прекъсване на връзката между икономическия растеж и използването на ресурси.</w:t>
      </w:r>
      <w:bookmarkEnd w:id="10"/>
      <w:r w:rsidRPr="005241FC">
        <w:rPr>
          <w:rFonts w:ascii="Times New Roman" w:hAnsi="Times New Roman" w:cs="Times New Roman"/>
          <w:lang w:val="bg-BG"/>
        </w:rPr>
        <w:t xml:space="preserve"> Планът за действие съдържа мерки за: превръщане на устойчивите продукти в норма за ЕС, предотвратяване и ограничаване на образуването на отпадъци, разширяване на правата на потребителите, фокусиране върху секторите, в които се използват най-много ресурси и където потенциалът за кръгова икономика е голям, както и гарантиране на по-малко отпадъци. </w:t>
      </w:r>
    </w:p>
    <w:p w14:paraId="542E3CFC" w14:textId="77777777" w:rsidR="00BA3B5E" w:rsidRPr="005241FC" w:rsidRDefault="00BA3B5E" w:rsidP="005241FC">
      <w:pPr>
        <w:spacing w:before="120" w:after="120" w:line="264" w:lineRule="auto"/>
        <w:jc w:val="both"/>
        <w:rPr>
          <w:rStyle w:val="A2"/>
          <w:rFonts w:ascii="Times New Roman" w:hAnsi="Times New Roman" w:cs="Times New Roman"/>
          <w:lang w:val="bg-BG"/>
        </w:rPr>
      </w:pPr>
      <w:r w:rsidRPr="005241FC">
        <w:rPr>
          <w:rFonts w:ascii="Times New Roman" w:hAnsi="Times New Roman" w:cs="Times New Roman"/>
          <w:lang w:val="bg-BG"/>
        </w:rPr>
        <w:t>Предвидените законодателни и незаконодателни инициативи</w:t>
      </w:r>
      <w:r w:rsidR="003A3C8A" w:rsidRPr="005241FC">
        <w:rPr>
          <w:rFonts w:ascii="Times New Roman" w:hAnsi="Times New Roman" w:cs="Times New Roman"/>
          <w:lang w:val="bg-BG"/>
        </w:rPr>
        <w:t xml:space="preserve"> в плана</w:t>
      </w:r>
      <w:r w:rsidRPr="005241FC">
        <w:rPr>
          <w:rFonts w:ascii="Times New Roman" w:hAnsi="Times New Roman" w:cs="Times New Roman"/>
          <w:lang w:val="bg-BG"/>
        </w:rPr>
        <w:t xml:space="preserve"> засягат следните ключови сектори: електроника и ИКТ (инициатива за кръгова електроника за постигане на по-дълъг жизнен цикъл на продуктите и подобряване на събирането и третирането на отпадъците), акумулаторни батерии и превозни средства (нова регулаторна рамка относно акумулаторните батерии с цел повишаване на устойчивостта и насърчаване на кръговия потенциал на акумулаторните батерии), опаковки (нови задължителни изисквания относно това какво се допуска на пазара на ЕС, включително намаляване на (свръх)опаковането), пластмаси (нови задължителни изисквания за съдържанието на рециклирани материали и специален акцент върху пластмасовите микрочастици, както и пластмасите на биологична основа и биоразградимите пластмаси), текстилни изделия (нова стратегия на ЕС за текстила с цел засилване на конкурентоспособността и иновациите в сектора и насърчаване на пазара на ЕС за повторна употреба на текстилните продукти), строителство и сгради (всеобхватна стратегия за устойчива архитектурна среда, с която се насърчават принципите на </w:t>
      </w:r>
      <w:r w:rsidRPr="005241FC">
        <w:rPr>
          <w:rFonts w:ascii="Times New Roman" w:hAnsi="Times New Roman" w:cs="Times New Roman"/>
          <w:lang w:val="bg-BG"/>
        </w:rPr>
        <w:lastRenderedPageBreak/>
        <w:t>кръговата икономика), храни (нова законодателна инициатива относно повторната употреба с цел да бъдат заменени опаковките, съдовете и приборите за еднократна употреба в хранителния сектор с продукти за многократна употреба). В областта на отпадъците усилията се насочват</w:t>
      </w:r>
      <w:r w:rsidR="00C04BF9">
        <w:rPr>
          <w:rFonts w:ascii="Times New Roman" w:hAnsi="Times New Roman" w:cs="Times New Roman"/>
          <w:lang w:val="bg-BG"/>
        </w:rPr>
        <w:t xml:space="preserve"> към избягване на образуването</w:t>
      </w:r>
      <w:r w:rsidRPr="005241FC">
        <w:rPr>
          <w:rFonts w:ascii="Times New Roman" w:hAnsi="Times New Roman" w:cs="Times New Roman"/>
          <w:lang w:val="bg-BG"/>
        </w:rPr>
        <w:t xml:space="preserve"> на отпадъци като цяло и преобразуването им във висококачествени вторични ресурси, за които е необходим добре функциониращ пазар на вторични суровини. Планът за действие съдържа и поредица от действия за свеждане до минимум на износа на отпадъци от ЕС и за справяне с незаконния превоз на отпадъци. Предвиждат се междусекторни действия, чрез които да бъдат засилени полезните взаимодействия, както и ЕС да заеме челна позиция в усилията на световно равнище за преход към кръгова икономика с ефективно използване на ресурсите. </w:t>
      </w:r>
      <w:r w:rsidRPr="005241FC">
        <w:rPr>
          <w:rStyle w:val="A2"/>
          <w:rFonts w:ascii="Times New Roman" w:hAnsi="Times New Roman" w:cs="Times New Roman"/>
          <w:lang w:val="bg-BG"/>
        </w:rPr>
        <w:t xml:space="preserve"> </w:t>
      </w:r>
    </w:p>
    <w:p w14:paraId="0CE668DD" w14:textId="4EF71902" w:rsidR="00BA3B5E" w:rsidRPr="005241FC" w:rsidRDefault="00BA3B5E" w:rsidP="005241FC">
      <w:p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През 2021 г. Европейската комисия </w:t>
      </w:r>
      <w:r w:rsidRPr="005241FC">
        <w:rPr>
          <w:rFonts w:ascii="Times New Roman" w:hAnsi="Times New Roman" w:cs="Times New Roman"/>
          <w:lang w:val="bg-BG"/>
        </w:rPr>
        <w:t>прие</w:t>
      </w:r>
      <w:r w:rsidRPr="005241FC">
        <w:rPr>
          <w:rFonts w:ascii="Times New Roman" w:hAnsi="Times New Roman" w:cs="Times New Roman"/>
          <w:color w:val="000000" w:themeColor="text1"/>
          <w:lang w:val="bg-BG"/>
        </w:rPr>
        <w:t xml:space="preserve"> </w:t>
      </w:r>
      <w:bookmarkStart w:id="11" w:name="_Hlk72862197"/>
      <w:r w:rsidRPr="005241FC">
        <w:rPr>
          <w:rFonts w:ascii="Times New Roman" w:hAnsi="Times New Roman" w:cs="Times New Roman"/>
          <w:b/>
          <w:bCs/>
          <w:color w:val="000000" w:themeColor="text1"/>
          <w:lang w:val="bg-BG"/>
        </w:rPr>
        <w:t>План за действие на ЕС „Към нулево замърсяване на въздуха, водата и почвата“ (</w:t>
      </w:r>
      <w:r w:rsidRPr="005241FC">
        <w:rPr>
          <w:rFonts w:ascii="Times New Roman" w:hAnsi="Times New Roman" w:cs="Times New Roman"/>
          <w:lang w:val="bg-BG"/>
        </w:rPr>
        <w:t>COM(2021) 400)</w:t>
      </w:r>
      <w:r w:rsidRPr="005241FC">
        <w:rPr>
          <w:rFonts w:ascii="Times New Roman" w:hAnsi="Times New Roman" w:cs="Times New Roman"/>
          <w:color w:val="000000" w:themeColor="text1"/>
          <w:lang w:val="bg-BG"/>
        </w:rPr>
        <w:t xml:space="preserve">. Планът утвърждава визията на ЕС за постигане на нулево замърсяване през 2050 г. „Здрава планета за всички“. Определени са и няколко ключови цели до 2030 г., които в синергия със законодателството на ЕС в областта на околната среда, амбициите на Зеления пакт и други инициативи ще доведат до </w:t>
      </w:r>
      <w:bookmarkEnd w:id="11"/>
      <w:r w:rsidR="007F55B8">
        <w:rPr>
          <w:rFonts w:ascii="Times New Roman" w:hAnsi="Times New Roman" w:cs="Times New Roman"/>
          <w:color w:val="000000" w:themeColor="text1"/>
          <w:lang w:val="bg-BG"/>
        </w:rPr>
        <w:t>намаляване на</w:t>
      </w:r>
      <w:r w:rsidRPr="005241FC">
        <w:rPr>
          <w:rFonts w:ascii="Times New Roman" w:hAnsi="Times New Roman" w:cs="Times New Roman"/>
          <w:color w:val="000000" w:themeColor="text1"/>
          <w:lang w:val="bg-BG"/>
        </w:rPr>
        <w:t>:</w:t>
      </w:r>
    </w:p>
    <w:p w14:paraId="545709AE" w14:textId="1A3F7D72" w:rsidR="00BA3B5E" w:rsidRPr="005241FC" w:rsidRDefault="00BA3B5E" w:rsidP="005241FC">
      <w:pPr>
        <w:pStyle w:val="ListParagraph"/>
        <w:numPr>
          <w:ilvl w:val="0"/>
          <w:numId w:val="2"/>
        </w:num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загубите на хранителни вещества</w:t>
      </w:r>
      <w:r w:rsidR="007F55B8">
        <w:rPr>
          <w:rFonts w:ascii="Times New Roman" w:hAnsi="Times New Roman" w:cs="Times New Roman"/>
          <w:color w:val="000000" w:themeColor="text1"/>
          <w:lang w:val="bg-BG"/>
        </w:rPr>
        <w:t xml:space="preserve"> с 50%</w:t>
      </w:r>
      <w:r w:rsidRPr="005241FC">
        <w:rPr>
          <w:rFonts w:ascii="Times New Roman" w:hAnsi="Times New Roman" w:cs="Times New Roman"/>
          <w:color w:val="000000" w:themeColor="text1"/>
          <w:lang w:val="bg-BG"/>
        </w:rPr>
        <w:t>, използването и риска от пестициди, използването на опасни такива, продажбата на антимикробни средства за селскостопански животни и аквакултури;</w:t>
      </w:r>
    </w:p>
    <w:p w14:paraId="2A1B3919" w14:textId="33418BBF" w:rsidR="00BA3B5E" w:rsidRPr="005241FC" w:rsidRDefault="00BA3B5E" w:rsidP="005241FC">
      <w:pPr>
        <w:pStyle w:val="ListParagraph"/>
        <w:numPr>
          <w:ilvl w:val="0"/>
          <w:numId w:val="2"/>
        </w:num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 xml:space="preserve">замърсяването с пластмаса на океаните </w:t>
      </w:r>
      <w:r w:rsidR="007F55B8">
        <w:rPr>
          <w:rFonts w:ascii="Times New Roman" w:hAnsi="Times New Roman" w:cs="Times New Roman"/>
          <w:color w:val="000000" w:themeColor="text1"/>
          <w:lang w:val="bg-BG"/>
        </w:rPr>
        <w:t xml:space="preserve">с 50% </w:t>
      </w:r>
      <w:r w:rsidRPr="005241FC">
        <w:rPr>
          <w:rFonts w:ascii="Times New Roman" w:hAnsi="Times New Roman" w:cs="Times New Roman"/>
          <w:color w:val="000000" w:themeColor="text1"/>
          <w:lang w:val="bg-BG"/>
        </w:rPr>
        <w:t>и на количеството микро пластмаса изхвърляно в околната среда</w:t>
      </w:r>
      <w:r w:rsidR="007F55B8">
        <w:rPr>
          <w:rFonts w:ascii="Times New Roman" w:hAnsi="Times New Roman" w:cs="Times New Roman"/>
          <w:color w:val="000000" w:themeColor="text1"/>
          <w:lang w:val="bg-BG"/>
        </w:rPr>
        <w:t xml:space="preserve"> с 30%</w:t>
      </w:r>
      <w:r w:rsidRPr="005241FC">
        <w:rPr>
          <w:rFonts w:ascii="Times New Roman" w:hAnsi="Times New Roman" w:cs="Times New Roman"/>
          <w:color w:val="000000" w:themeColor="text1"/>
          <w:lang w:val="bg-BG"/>
        </w:rPr>
        <w:t>;</w:t>
      </w:r>
    </w:p>
    <w:p w14:paraId="716A393D" w14:textId="749AF4A0" w:rsidR="00BA3B5E" w:rsidRPr="005241FC" w:rsidRDefault="00BA3B5E" w:rsidP="005241FC">
      <w:pPr>
        <w:pStyle w:val="ListParagraph"/>
        <w:numPr>
          <w:ilvl w:val="0"/>
          <w:numId w:val="2"/>
        </w:num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общото количество образувани отпадъци и с 50% на количеството битови отпадъци.</w:t>
      </w:r>
    </w:p>
    <w:p w14:paraId="1322CC1A" w14:textId="77777777" w:rsidR="00BA3B5E" w:rsidRPr="005241FC" w:rsidRDefault="00BA3B5E" w:rsidP="005241FC">
      <w:p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 xml:space="preserve">Планът утвърждава „йерархия за нулево замърсяване“, </w:t>
      </w:r>
      <w:bookmarkStart w:id="12" w:name="_Hlk72789413"/>
      <w:r w:rsidRPr="005241FC">
        <w:rPr>
          <w:rFonts w:ascii="Times New Roman" w:hAnsi="Times New Roman" w:cs="Times New Roman"/>
          <w:color w:val="000000" w:themeColor="text1"/>
          <w:lang w:val="bg-BG"/>
        </w:rPr>
        <w:t>основана на прилагането на принципите на предпазливостта, превенцията на замърсяването, възстановяването на околната среда при източника и замърсителят плаща</w:t>
      </w:r>
      <w:bookmarkEnd w:id="12"/>
      <w:r w:rsidRPr="005241FC">
        <w:rPr>
          <w:rFonts w:ascii="Times New Roman" w:hAnsi="Times New Roman" w:cs="Times New Roman"/>
          <w:color w:val="000000" w:themeColor="text1"/>
          <w:lang w:val="bg-BG"/>
        </w:rPr>
        <w:t>.</w:t>
      </w:r>
    </w:p>
    <w:p w14:paraId="38FCCD80" w14:textId="77777777" w:rsidR="00BA3B5E" w:rsidRPr="005241FC" w:rsidRDefault="00BA3B5E" w:rsidP="005241FC">
      <w:pPr>
        <w:autoSpaceDE w:val="0"/>
        <w:autoSpaceDN w:val="0"/>
        <w:adjustRightInd w:val="0"/>
        <w:spacing w:before="120" w:after="120" w:line="264" w:lineRule="auto"/>
        <w:jc w:val="both"/>
        <w:rPr>
          <w:rFonts w:ascii="Times New Roman" w:hAnsi="Times New Roman" w:cs="Times New Roman"/>
          <w:color w:val="000000" w:themeColor="text1"/>
          <w:lang w:val="bg-BG"/>
        </w:rPr>
      </w:pPr>
      <w:r w:rsidRPr="005241FC">
        <w:rPr>
          <w:rFonts w:ascii="Times New Roman" w:hAnsi="Times New Roman" w:cs="Times New Roman"/>
          <w:color w:val="000000" w:themeColor="text1"/>
          <w:lang w:val="bg-BG"/>
        </w:rPr>
        <w:t xml:space="preserve">Наред с други приоритети, Планът за действие за нулево замърсяване се фокусира върху подобряване на прилагането на съществуващото и новото законодателство, преразглеждане на основните инструменти за контрол на замърсяването, справяне с новопоявили се замърсители и създаване на интегрирана рамка за мониторинг и перспективи за нулево замърсяване. </w:t>
      </w:r>
    </w:p>
    <w:p w14:paraId="556468FD" w14:textId="77777777" w:rsidR="00BA3B5E" w:rsidRPr="00655BDE" w:rsidRDefault="00BA3B5E" w:rsidP="00655BDE">
      <w:pPr>
        <w:autoSpaceDE w:val="0"/>
        <w:autoSpaceDN w:val="0"/>
        <w:adjustRightInd w:val="0"/>
        <w:spacing w:before="120" w:after="120" w:line="264" w:lineRule="auto"/>
        <w:rPr>
          <w:rFonts w:ascii="Times New Roman" w:hAnsi="Times New Roman" w:cs="Times New Roman"/>
          <w:b/>
          <w:bCs/>
          <w:color w:val="000000"/>
          <w:lang w:val="bg-BG"/>
        </w:rPr>
      </w:pPr>
      <w:r w:rsidRPr="00655BDE">
        <w:rPr>
          <w:rFonts w:ascii="Times New Roman" w:hAnsi="Times New Roman" w:cs="Times New Roman"/>
          <w:b/>
          <w:bCs/>
          <w:color w:val="000000"/>
          <w:lang w:val="bg-BG"/>
        </w:rPr>
        <w:t>Политики на България в областта на управлението на отпадъците</w:t>
      </w:r>
    </w:p>
    <w:p w14:paraId="081C8250" w14:textId="77A7A0F2" w:rsidR="00BA3B5E" w:rsidRPr="00655BDE" w:rsidRDefault="00BA3B5E" w:rsidP="00655BDE">
      <w:pPr>
        <w:spacing w:before="120" w:after="120" w:line="264" w:lineRule="auto"/>
        <w:jc w:val="both"/>
        <w:rPr>
          <w:rStyle w:val="A2"/>
          <w:rFonts w:ascii="Times New Roman" w:hAnsi="Times New Roman" w:cs="Times New Roman"/>
          <w:lang w:val="bg-BG"/>
        </w:rPr>
      </w:pPr>
      <w:bookmarkStart w:id="13" w:name="_Hlk72862291"/>
      <w:r w:rsidRPr="00655BDE">
        <w:rPr>
          <w:rStyle w:val="A2"/>
          <w:rFonts w:ascii="Times New Roman" w:hAnsi="Times New Roman" w:cs="Times New Roman"/>
          <w:b/>
          <w:bCs/>
          <w:lang w:val="bg-BG"/>
        </w:rPr>
        <w:t>Политиките за управление на отпадъците в национален мащаб</w:t>
      </w:r>
      <w:r w:rsidRPr="00655BDE">
        <w:rPr>
          <w:rStyle w:val="A2"/>
          <w:rFonts w:ascii="Times New Roman" w:hAnsi="Times New Roman" w:cs="Times New Roman"/>
          <w:lang w:val="bg-BG"/>
        </w:rPr>
        <w:t xml:space="preserve"> </w:t>
      </w:r>
      <w:r w:rsidR="007F55B8">
        <w:rPr>
          <w:rStyle w:val="A2"/>
          <w:rFonts w:ascii="Times New Roman" w:hAnsi="Times New Roman" w:cs="Times New Roman"/>
          <w:lang w:val="bg-BG"/>
        </w:rPr>
        <w:t>отразяват</w:t>
      </w:r>
      <w:r w:rsidRPr="00655BDE">
        <w:rPr>
          <w:rStyle w:val="A2"/>
          <w:rFonts w:ascii="Times New Roman" w:hAnsi="Times New Roman" w:cs="Times New Roman"/>
          <w:lang w:val="bg-BG"/>
        </w:rPr>
        <w:t xml:space="preserve"> европейските инициативи и законодателство на две основни нива: стратегическо и законодателно.</w:t>
      </w:r>
    </w:p>
    <w:p w14:paraId="48BFE6B7" w14:textId="77777777" w:rsidR="00BA3B5E" w:rsidRPr="00655BDE" w:rsidRDefault="00BA3B5E" w:rsidP="00655BDE">
      <w:pPr>
        <w:spacing w:before="120" w:after="120" w:line="264" w:lineRule="auto"/>
        <w:jc w:val="both"/>
        <w:rPr>
          <w:rStyle w:val="A2"/>
          <w:rFonts w:ascii="Times New Roman" w:hAnsi="Times New Roman" w:cs="Times New Roman"/>
          <w:lang w:val="bg-BG"/>
        </w:rPr>
      </w:pPr>
      <w:r w:rsidRPr="00655BDE">
        <w:rPr>
          <w:rStyle w:val="A2"/>
          <w:rFonts w:ascii="Times New Roman" w:hAnsi="Times New Roman" w:cs="Times New Roman"/>
          <w:lang w:val="bg-BG"/>
        </w:rPr>
        <w:t>Националната стратегическа рамка в сектор отпадъци функционира при отсъствие на рамков стратегически документ за целите на опазването на околната среда посредством:</w:t>
      </w:r>
    </w:p>
    <w:p w14:paraId="0502E867" w14:textId="77777777" w:rsidR="00BA3B5E" w:rsidRPr="00655BDE" w:rsidRDefault="00BA3B5E" w:rsidP="00655BDE">
      <w:pPr>
        <w:pStyle w:val="ListParagraph"/>
        <w:numPr>
          <w:ilvl w:val="0"/>
          <w:numId w:val="2"/>
        </w:numPr>
        <w:spacing w:before="120" w:after="120" w:line="264" w:lineRule="auto"/>
        <w:jc w:val="both"/>
        <w:rPr>
          <w:rStyle w:val="A2"/>
          <w:rFonts w:ascii="Times New Roman" w:hAnsi="Times New Roman" w:cs="Times New Roman"/>
          <w:lang w:val="bg-BG"/>
        </w:rPr>
      </w:pPr>
      <w:r w:rsidRPr="00655BDE">
        <w:rPr>
          <w:rStyle w:val="A2"/>
          <w:rFonts w:ascii="Times New Roman" w:hAnsi="Times New Roman" w:cs="Times New Roman"/>
          <w:lang w:val="bg-BG"/>
        </w:rPr>
        <w:t>пакет от национални планове: Национален план за управление на отпадъците, Национален стратегически план за поетапно намаляване на количествата биоразградими отпадъци, предназначени за депониране, Национален стратегически план за управление на отпадъците от строителство и разрушаване на територията на Р</w:t>
      </w:r>
      <w:r w:rsidRPr="00655BDE">
        <w:rPr>
          <w:rStyle w:val="A2"/>
          <w:rFonts w:ascii="Times New Roman" w:hAnsi="Times New Roman" w:cs="Times New Roman"/>
        </w:rPr>
        <w:t xml:space="preserve">. </w:t>
      </w:r>
      <w:r w:rsidRPr="00655BDE">
        <w:rPr>
          <w:rStyle w:val="A2"/>
          <w:rFonts w:ascii="Times New Roman" w:hAnsi="Times New Roman" w:cs="Times New Roman"/>
          <w:lang w:val="bg-BG"/>
        </w:rPr>
        <w:t>България, Национален стратегически план за управление на утайките от градските пречиствателни станции за отпадъчни води на територията на Р</w:t>
      </w:r>
      <w:r w:rsidRPr="00655BDE">
        <w:rPr>
          <w:rStyle w:val="A2"/>
          <w:rFonts w:ascii="Times New Roman" w:hAnsi="Times New Roman" w:cs="Times New Roman"/>
        </w:rPr>
        <w:t xml:space="preserve">. </w:t>
      </w:r>
      <w:r w:rsidRPr="00655BDE">
        <w:rPr>
          <w:rStyle w:val="A2"/>
          <w:rFonts w:ascii="Times New Roman" w:hAnsi="Times New Roman" w:cs="Times New Roman"/>
          <w:lang w:val="bg-BG"/>
        </w:rPr>
        <w:t>България, интегриране на целите за предотвратяване и устойчиво управление на отпадъците в други секторни политики и програми.</w:t>
      </w:r>
    </w:p>
    <w:p w14:paraId="5B9A7CCD" w14:textId="77777777" w:rsidR="00BA3B5E" w:rsidRPr="00655BDE" w:rsidRDefault="00BA3B5E" w:rsidP="00655BDE">
      <w:pPr>
        <w:pStyle w:val="ListParagraph"/>
        <w:numPr>
          <w:ilvl w:val="0"/>
          <w:numId w:val="2"/>
        </w:numPr>
        <w:spacing w:before="120" w:after="120" w:line="264" w:lineRule="auto"/>
        <w:jc w:val="both"/>
        <w:rPr>
          <w:rStyle w:val="A2"/>
          <w:rFonts w:ascii="Times New Roman" w:hAnsi="Times New Roman" w:cs="Times New Roman"/>
          <w:lang w:val="bg-BG"/>
        </w:rPr>
      </w:pPr>
      <w:r w:rsidRPr="00655BDE">
        <w:rPr>
          <w:rStyle w:val="A2"/>
          <w:rFonts w:ascii="Times New Roman" w:hAnsi="Times New Roman" w:cs="Times New Roman"/>
          <w:lang w:val="bg-BG"/>
        </w:rPr>
        <w:t>общински програми за управление на отпадъците в съответствие с изискванията на чл. 52 от Закона за управление на отпадъците.</w:t>
      </w:r>
    </w:p>
    <w:bookmarkEnd w:id="13"/>
    <w:p w14:paraId="50B2A5F4" w14:textId="77777777" w:rsidR="00BA3B5E" w:rsidRPr="00655BDE" w:rsidRDefault="00BA3B5E" w:rsidP="00655BDE">
      <w:pPr>
        <w:shd w:val="clear" w:color="auto" w:fill="FFFFFF"/>
        <w:spacing w:before="120" w:after="120" w:line="264" w:lineRule="auto"/>
        <w:jc w:val="both"/>
        <w:rPr>
          <w:rFonts w:ascii="Times New Roman" w:eastAsia="Times New Roman" w:hAnsi="Times New Roman" w:cs="Times New Roman"/>
          <w:color w:val="333333"/>
          <w:lang w:val="bg-BG"/>
        </w:rPr>
      </w:pPr>
      <w:r w:rsidRPr="00655BDE">
        <w:rPr>
          <w:rFonts w:ascii="Times New Roman" w:eastAsia="Times New Roman" w:hAnsi="Times New Roman" w:cs="Times New Roman"/>
          <w:color w:val="333333"/>
          <w:lang w:val="bg-BG"/>
        </w:rPr>
        <w:lastRenderedPageBreak/>
        <w:t>Към момента на изготвяне на настоящия анализ няколко документа на национално ниво определят рамката на политиките в областта на управлението на отпадъците и прехода към ресурсоефективна икономика:</w:t>
      </w:r>
    </w:p>
    <w:p w14:paraId="7095678A" w14:textId="77777777" w:rsidR="00BA3B5E" w:rsidRPr="00655BDE" w:rsidRDefault="00BA3B5E" w:rsidP="00655BDE">
      <w:pPr>
        <w:shd w:val="clear" w:color="auto" w:fill="FFFFFF"/>
        <w:spacing w:before="120" w:after="120" w:line="264" w:lineRule="auto"/>
        <w:jc w:val="both"/>
        <w:rPr>
          <w:rFonts w:ascii="Times New Roman" w:hAnsi="Times New Roman" w:cs="Times New Roman"/>
          <w:lang w:val="bg-BG"/>
        </w:rPr>
      </w:pPr>
      <w:bookmarkStart w:id="14" w:name="_Hlk72862410"/>
      <w:r w:rsidRPr="00655BDE">
        <w:rPr>
          <w:rFonts w:ascii="Times New Roman" w:eastAsia="Times New Roman" w:hAnsi="Times New Roman" w:cs="Times New Roman"/>
          <w:b/>
          <w:bCs/>
          <w:color w:val="333333"/>
          <w:lang w:val="bg-BG"/>
        </w:rPr>
        <w:t xml:space="preserve">Националната програма за развитие БЪЛГАРИЯ 2030 </w:t>
      </w:r>
      <w:bookmarkEnd w:id="14"/>
      <w:r w:rsidRPr="00655BDE">
        <w:rPr>
          <w:rFonts w:ascii="Times New Roman" w:eastAsia="Times New Roman" w:hAnsi="Times New Roman" w:cs="Times New Roman"/>
          <w:b/>
          <w:bCs/>
          <w:color w:val="333333"/>
          <w:lang w:val="bg-BG"/>
        </w:rPr>
        <w:t>(НПР 2030)</w:t>
      </w:r>
      <w:r w:rsidRPr="00655BDE">
        <w:rPr>
          <w:rFonts w:ascii="Times New Roman" w:eastAsia="Times New Roman" w:hAnsi="Times New Roman" w:cs="Times New Roman"/>
          <w:color w:val="333333"/>
          <w:lang w:val="bg-BG"/>
        </w:rPr>
        <w:t xml:space="preserve">, приета с Протокол № 67 на Министерския съвет от 02.12.2020 г. определя визията и общите цели на политиките за развитие във всички сектори на държавното управление, включително техните териториални измерения. </w:t>
      </w:r>
      <w:r w:rsidRPr="00655BDE">
        <w:rPr>
          <w:rFonts w:ascii="Times New Roman" w:hAnsi="Times New Roman" w:cs="Times New Roman"/>
          <w:lang w:val="bg-BG"/>
        </w:rPr>
        <w:t>Една от петте оси на развитие, заложени в НПР 2030 е „Зелена и устойчива България“, в рамките на която са определени три национални приоритета. Основна цел на приоритет „Кръгова и нисковъглеродна икономика“ е намаляването на ресурсната интензивност на икономиката на страната и увеличаване ефективността на използваните материали. Ключовите индикатори по приоритета предвиждат следните целеви стойности до 2030 г.</w:t>
      </w:r>
    </w:p>
    <w:tbl>
      <w:tblPr>
        <w:tblStyle w:val="TableGrid"/>
        <w:tblW w:w="0" w:type="auto"/>
        <w:tblLook w:val="04A0" w:firstRow="1" w:lastRow="0" w:firstColumn="1" w:lastColumn="0" w:noHBand="0" w:noVBand="1"/>
      </w:tblPr>
      <w:tblGrid>
        <w:gridCol w:w="4855"/>
        <w:gridCol w:w="1530"/>
        <w:gridCol w:w="1530"/>
        <w:gridCol w:w="1435"/>
      </w:tblGrid>
      <w:tr w:rsidR="00BA3B5E" w:rsidRPr="002A5B6B" w14:paraId="3B067505" w14:textId="77777777" w:rsidTr="00D27783">
        <w:tc>
          <w:tcPr>
            <w:tcW w:w="4855" w:type="dxa"/>
          </w:tcPr>
          <w:p w14:paraId="2EB21A89"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Индикатор</w:t>
            </w:r>
          </w:p>
        </w:tc>
        <w:tc>
          <w:tcPr>
            <w:tcW w:w="1530" w:type="dxa"/>
          </w:tcPr>
          <w:p w14:paraId="01B0C7ED"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Текуща стойност</w:t>
            </w:r>
          </w:p>
        </w:tc>
        <w:tc>
          <w:tcPr>
            <w:tcW w:w="1530" w:type="dxa"/>
          </w:tcPr>
          <w:p w14:paraId="75F26D84"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Целева стойност</w:t>
            </w:r>
          </w:p>
        </w:tc>
        <w:tc>
          <w:tcPr>
            <w:tcW w:w="1435" w:type="dxa"/>
          </w:tcPr>
          <w:p w14:paraId="7060576A"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Средна стойност ЕС</w:t>
            </w:r>
          </w:p>
        </w:tc>
      </w:tr>
      <w:tr w:rsidR="00BA3B5E" w:rsidRPr="002A5B6B" w14:paraId="2A20FD04" w14:textId="77777777" w:rsidTr="00D27783">
        <w:tc>
          <w:tcPr>
            <w:tcW w:w="4855" w:type="dxa"/>
          </w:tcPr>
          <w:p w14:paraId="01C40FDF" w14:textId="77777777" w:rsidR="00BA3B5E" w:rsidRPr="002A5B6B" w:rsidRDefault="00BA3B5E" w:rsidP="00D27783">
            <w:pPr>
              <w:pStyle w:val="Default"/>
              <w:jc w:val="both"/>
              <w:rPr>
                <w:lang w:val="bg-BG"/>
              </w:rPr>
            </w:pPr>
            <w:r w:rsidRPr="002A5B6B">
              <w:rPr>
                <w:sz w:val="22"/>
                <w:szCs w:val="22"/>
                <w:lang w:val="bg-BG"/>
              </w:rPr>
              <w:t xml:space="preserve">Дял на кръговото (вторичното) използване на материалите в икономиката, % </w:t>
            </w:r>
          </w:p>
        </w:tc>
        <w:tc>
          <w:tcPr>
            <w:tcW w:w="1530" w:type="dxa"/>
          </w:tcPr>
          <w:p w14:paraId="59A18353"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4.7</w:t>
            </w:r>
          </w:p>
        </w:tc>
        <w:tc>
          <w:tcPr>
            <w:tcW w:w="1530" w:type="dxa"/>
          </w:tcPr>
          <w:p w14:paraId="2437F287"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11.7</w:t>
            </w:r>
          </w:p>
        </w:tc>
        <w:tc>
          <w:tcPr>
            <w:tcW w:w="1435" w:type="dxa"/>
          </w:tcPr>
          <w:p w14:paraId="115FFAB0"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11.7</w:t>
            </w:r>
          </w:p>
        </w:tc>
      </w:tr>
      <w:tr w:rsidR="00BA3B5E" w:rsidRPr="002A5B6B" w14:paraId="742A83D0" w14:textId="77777777" w:rsidTr="00D27783">
        <w:tc>
          <w:tcPr>
            <w:tcW w:w="4855" w:type="dxa"/>
          </w:tcPr>
          <w:p w14:paraId="4E975C71" w14:textId="77777777" w:rsidR="00BA3B5E" w:rsidRPr="002A5B6B" w:rsidRDefault="00BA3B5E" w:rsidP="00D27783">
            <w:pPr>
              <w:pStyle w:val="Default"/>
              <w:jc w:val="both"/>
              <w:rPr>
                <w:lang w:val="bg-BG"/>
              </w:rPr>
            </w:pPr>
            <w:r w:rsidRPr="002A5B6B">
              <w:rPr>
                <w:sz w:val="22"/>
                <w:szCs w:val="22"/>
                <w:lang w:val="bg-BG"/>
              </w:rPr>
              <w:t xml:space="preserve">Индекс за екологични иновации </w:t>
            </w:r>
          </w:p>
        </w:tc>
        <w:tc>
          <w:tcPr>
            <w:tcW w:w="1530" w:type="dxa"/>
          </w:tcPr>
          <w:p w14:paraId="1FC23AA9"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50</w:t>
            </w:r>
          </w:p>
        </w:tc>
        <w:tc>
          <w:tcPr>
            <w:tcW w:w="1530" w:type="dxa"/>
          </w:tcPr>
          <w:p w14:paraId="7951368A"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83</w:t>
            </w:r>
          </w:p>
        </w:tc>
        <w:tc>
          <w:tcPr>
            <w:tcW w:w="1435" w:type="dxa"/>
          </w:tcPr>
          <w:p w14:paraId="3BA64179"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100</w:t>
            </w:r>
          </w:p>
        </w:tc>
      </w:tr>
      <w:tr w:rsidR="00BA3B5E" w:rsidRPr="002A5B6B" w14:paraId="2E68AC78" w14:textId="77777777" w:rsidTr="00D27783">
        <w:tc>
          <w:tcPr>
            <w:tcW w:w="4855" w:type="dxa"/>
          </w:tcPr>
          <w:p w14:paraId="1E0FBFFF" w14:textId="77777777" w:rsidR="00BA3B5E" w:rsidRPr="002A5B6B" w:rsidRDefault="00BA3B5E" w:rsidP="00D27783">
            <w:pPr>
              <w:pStyle w:val="Default"/>
              <w:jc w:val="both"/>
              <w:rPr>
                <w:lang w:val="bg-BG"/>
              </w:rPr>
            </w:pPr>
            <w:r w:rsidRPr="002A5B6B">
              <w:rPr>
                <w:sz w:val="22"/>
                <w:szCs w:val="22"/>
                <w:lang w:val="bg-BG"/>
              </w:rPr>
              <w:t xml:space="preserve">Генерирани отпадъци, на единица БВП, кг/1 000 евро </w:t>
            </w:r>
          </w:p>
        </w:tc>
        <w:tc>
          <w:tcPr>
            <w:tcW w:w="1530" w:type="dxa"/>
          </w:tcPr>
          <w:p w14:paraId="5D454FCF"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418</w:t>
            </w:r>
          </w:p>
        </w:tc>
        <w:tc>
          <w:tcPr>
            <w:tcW w:w="1530" w:type="dxa"/>
          </w:tcPr>
          <w:p w14:paraId="47139E8D"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205</w:t>
            </w:r>
          </w:p>
        </w:tc>
        <w:tc>
          <w:tcPr>
            <w:tcW w:w="1435" w:type="dxa"/>
          </w:tcPr>
          <w:p w14:paraId="56B665B5"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65</w:t>
            </w:r>
          </w:p>
        </w:tc>
      </w:tr>
      <w:tr w:rsidR="00BA3B5E" w:rsidRPr="002A5B6B" w14:paraId="508F4888" w14:textId="77777777" w:rsidTr="00D27783">
        <w:tc>
          <w:tcPr>
            <w:tcW w:w="4855" w:type="dxa"/>
          </w:tcPr>
          <w:p w14:paraId="00AD37A9" w14:textId="77777777" w:rsidR="00BA3B5E" w:rsidRPr="002A5B6B" w:rsidRDefault="00BA3B5E" w:rsidP="00D27783">
            <w:pPr>
              <w:pStyle w:val="Default"/>
              <w:jc w:val="both"/>
              <w:rPr>
                <w:sz w:val="22"/>
                <w:szCs w:val="22"/>
                <w:lang w:val="bg-BG"/>
              </w:rPr>
            </w:pPr>
            <w:r w:rsidRPr="002A5B6B">
              <w:rPr>
                <w:sz w:val="22"/>
                <w:szCs w:val="22"/>
                <w:lang w:val="bg-BG"/>
              </w:rPr>
              <w:t xml:space="preserve">Рециклиране на отпадъци от опаковки, % </w:t>
            </w:r>
          </w:p>
        </w:tc>
        <w:tc>
          <w:tcPr>
            <w:tcW w:w="1530" w:type="dxa"/>
          </w:tcPr>
          <w:p w14:paraId="103D0D7D"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66</w:t>
            </w:r>
          </w:p>
        </w:tc>
        <w:tc>
          <w:tcPr>
            <w:tcW w:w="1530" w:type="dxa"/>
          </w:tcPr>
          <w:p w14:paraId="113B25A4"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70</w:t>
            </w:r>
          </w:p>
        </w:tc>
        <w:tc>
          <w:tcPr>
            <w:tcW w:w="1435" w:type="dxa"/>
          </w:tcPr>
          <w:p w14:paraId="251FD085"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80 (2017)</w:t>
            </w:r>
          </w:p>
        </w:tc>
      </w:tr>
      <w:tr w:rsidR="00BA3B5E" w:rsidRPr="002A5B6B" w14:paraId="110E4C18" w14:textId="77777777" w:rsidTr="00D27783">
        <w:tc>
          <w:tcPr>
            <w:tcW w:w="4855" w:type="dxa"/>
          </w:tcPr>
          <w:p w14:paraId="23DE732B" w14:textId="77777777" w:rsidR="00BA3B5E" w:rsidRPr="002A5B6B" w:rsidRDefault="00BA3B5E" w:rsidP="00D27783">
            <w:pPr>
              <w:pStyle w:val="Default"/>
              <w:jc w:val="both"/>
              <w:rPr>
                <w:sz w:val="22"/>
                <w:szCs w:val="22"/>
                <w:lang w:val="bg-BG"/>
              </w:rPr>
            </w:pPr>
            <w:r w:rsidRPr="002A5B6B">
              <w:rPr>
                <w:sz w:val="22"/>
                <w:szCs w:val="22"/>
                <w:lang w:val="bg-BG"/>
              </w:rPr>
              <w:t xml:space="preserve">Дял на обезвредените (в т.ч. депонирани) от предадените за третиране отпадъци, % </w:t>
            </w:r>
          </w:p>
        </w:tc>
        <w:tc>
          <w:tcPr>
            <w:tcW w:w="1530" w:type="dxa"/>
          </w:tcPr>
          <w:p w14:paraId="27F50E0B"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65</w:t>
            </w:r>
          </w:p>
        </w:tc>
        <w:tc>
          <w:tcPr>
            <w:tcW w:w="1530" w:type="dxa"/>
          </w:tcPr>
          <w:p w14:paraId="7F28722A"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35</w:t>
            </w:r>
          </w:p>
        </w:tc>
        <w:tc>
          <w:tcPr>
            <w:tcW w:w="1435" w:type="dxa"/>
          </w:tcPr>
          <w:p w14:paraId="4DB0C1F9" w14:textId="77777777" w:rsidR="00BA3B5E" w:rsidRPr="002A5B6B" w:rsidRDefault="00BA3B5E" w:rsidP="00D27783">
            <w:pPr>
              <w:spacing w:after="120"/>
              <w:jc w:val="both"/>
              <w:rPr>
                <w:rFonts w:ascii="Times New Roman" w:hAnsi="Times New Roman" w:cs="Times New Roman"/>
                <w:lang w:val="bg-BG"/>
              </w:rPr>
            </w:pPr>
            <w:r w:rsidRPr="002A5B6B">
              <w:rPr>
                <w:rFonts w:ascii="Times New Roman" w:hAnsi="Times New Roman" w:cs="Times New Roman"/>
                <w:lang w:val="bg-BG"/>
              </w:rPr>
              <w:t>46 (2016)</w:t>
            </w:r>
          </w:p>
        </w:tc>
      </w:tr>
    </w:tbl>
    <w:p w14:paraId="6C89F801" w14:textId="77777777" w:rsidR="00BA3B5E" w:rsidRPr="00655BDE" w:rsidRDefault="00BA3B5E" w:rsidP="00655BDE">
      <w:pPr>
        <w:spacing w:before="120" w:after="120" w:line="264" w:lineRule="auto"/>
        <w:jc w:val="both"/>
        <w:rPr>
          <w:rFonts w:ascii="Times New Roman" w:hAnsi="Times New Roman" w:cs="Times New Roman"/>
          <w:iCs/>
          <w:lang w:val="bg-BG"/>
        </w:rPr>
      </w:pPr>
      <w:r w:rsidRPr="00655BDE">
        <w:rPr>
          <w:rFonts w:ascii="Times New Roman" w:hAnsi="Times New Roman" w:cs="Times New Roman"/>
          <w:iCs/>
          <w:lang w:val="bg-BG"/>
        </w:rPr>
        <w:t>Програмата идентифицира и следните ключови действия:</w:t>
      </w:r>
    </w:p>
    <w:p w14:paraId="03FC1C8D"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Увеличаване на дела на компостираните био отпадъци и рециклираните битови, производствени и строителни отпадъци;</w:t>
      </w:r>
    </w:p>
    <w:p w14:paraId="79E00D22"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Предприемане на мерки за подобряване на достъпа на гражданите и бизнеса до системите за разделно събиране и рециклиране на отпадъци;</w:t>
      </w:r>
    </w:p>
    <w:p w14:paraId="2364CF3C"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Достъп до финансови стимули за подпомагане на разделното събиране на отпадъци, както и за употребата на рециклирани суровини;</w:t>
      </w:r>
    </w:p>
    <w:p w14:paraId="6D6EEA44"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Въвеждане на задължително разделно събиране на биоотпадъците и отпадъците от текстил;</w:t>
      </w:r>
    </w:p>
    <w:p w14:paraId="531E18C1"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Ограничаване на депонирането чрез задължителните и до момента режими на разширена отговорност на производителите по отношение на масово разпространените отпадъци с фокус върху повишаване на количествата рециклирани отпадъци и стимулиране на многократната употреба;</w:t>
      </w:r>
    </w:p>
    <w:p w14:paraId="44A88D3D" w14:textId="77777777" w:rsidR="00BA3B5E" w:rsidRPr="00655BDE" w:rsidRDefault="00BA3B5E" w:rsidP="00655BDE">
      <w:pPr>
        <w:pStyle w:val="ListParagraph"/>
        <w:numPr>
          <w:ilvl w:val="0"/>
          <w:numId w:val="2"/>
        </w:numPr>
        <w:spacing w:before="120" w:after="120" w:line="264" w:lineRule="auto"/>
        <w:jc w:val="both"/>
        <w:rPr>
          <w:rFonts w:ascii="Times New Roman" w:hAnsi="Times New Roman" w:cs="Times New Roman"/>
          <w:iCs/>
          <w:lang w:val="bg-BG"/>
        </w:rPr>
      </w:pPr>
      <w:r w:rsidRPr="00655BDE">
        <w:rPr>
          <w:rFonts w:ascii="Times New Roman" w:hAnsi="Times New Roman" w:cs="Times New Roman"/>
          <w:lang w:val="bg-BG"/>
        </w:rPr>
        <w:t>Приоритетна рекултивация на депата за битови отпадъци, които не отговарят на нормативните изисквания и мерки за предотвратяване на незаконното изхвърляне на отпадъци и произтичащото замърсяване.</w:t>
      </w:r>
    </w:p>
    <w:p w14:paraId="113F30EF"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b/>
          <w:bCs/>
          <w:lang w:val="bg-BG"/>
        </w:rPr>
        <w:t xml:space="preserve">Стратегия и план за действие за преход към кръгова икономика на Република България, за периода 2021 – 2027 г. </w:t>
      </w:r>
      <w:r w:rsidRPr="00655BDE">
        <w:rPr>
          <w:rFonts w:ascii="Times New Roman" w:hAnsi="Times New Roman" w:cs="Times New Roman"/>
          <w:lang w:val="bg-BG"/>
        </w:rPr>
        <w:t>е докуме</w:t>
      </w:r>
      <w:r w:rsidR="00846CFE">
        <w:rPr>
          <w:rFonts w:ascii="Times New Roman" w:hAnsi="Times New Roman" w:cs="Times New Roman"/>
          <w:lang w:val="bg-BG"/>
        </w:rPr>
        <w:t>н</w:t>
      </w:r>
      <w:r w:rsidRPr="00655BDE">
        <w:rPr>
          <w:rFonts w:ascii="Times New Roman" w:hAnsi="Times New Roman" w:cs="Times New Roman"/>
          <w:lang w:val="bg-BG"/>
        </w:rPr>
        <w:t>тът, който определя националните цели и приоритетните области на действие за подобряване на конкурентоспособността на икономиката, намаляване на недостига на ресурси и създаване на нови бизнес възможности, чрез иновации в производството и потреблението. Ефективното и устойчиво управление на отпадъците като ресурс е дефинирано като специфичен елемент в общата рамка на целеполагане.</w:t>
      </w:r>
    </w:p>
    <w:p w14:paraId="4044F726"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lastRenderedPageBreak/>
        <w:t>Към момента на изготвяне на настоящия анализ, процесът на изготвяне на стратегията и плана е стартиран с подкрепата на Оперативна програма „Околна среда 2014 – 2020 г.“ , приоритетна ос 6 „Т</w:t>
      </w:r>
      <w:r w:rsidR="00C6115A">
        <w:rPr>
          <w:rFonts w:ascii="Times New Roman" w:hAnsi="Times New Roman" w:cs="Times New Roman"/>
          <w:lang w:val="bg-BG"/>
        </w:rPr>
        <w:t>е</w:t>
      </w:r>
      <w:r w:rsidRPr="00655BDE">
        <w:rPr>
          <w:rFonts w:ascii="Times New Roman" w:hAnsi="Times New Roman" w:cs="Times New Roman"/>
          <w:lang w:val="bg-BG"/>
        </w:rPr>
        <w:t xml:space="preserve">хническа помощ“. </w:t>
      </w:r>
    </w:p>
    <w:p w14:paraId="30CA3ABB"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Style w:val="A2"/>
          <w:rFonts w:ascii="Times New Roman" w:hAnsi="Times New Roman" w:cs="Times New Roman"/>
          <w:b/>
          <w:bCs/>
          <w:lang w:val="bg-BG"/>
        </w:rPr>
        <w:t>Национален план за управление на отпадъците 2021 – 2028 (проект) се разработва</w:t>
      </w:r>
      <w:r w:rsidRPr="00655BDE">
        <w:rPr>
          <w:rFonts w:ascii="Times New Roman" w:hAnsi="Times New Roman" w:cs="Times New Roman"/>
          <w:iCs/>
          <w:lang w:val="bg-BG"/>
        </w:rPr>
        <w:t xml:space="preserve"> на основание </w:t>
      </w:r>
      <w:r w:rsidRPr="00655BDE">
        <w:rPr>
          <w:rFonts w:ascii="Times New Roman" w:hAnsi="Times New Roman" w:cs="Times New Roman"/>
          <w:lang w:val="bg-BG"/>
        </w:rPr>
        <w:t xml:space="preserve">чл. 49 и чл.50 от ЗУО и в съответствие със следните принципи: предотвратяване на образуването на отпадъци, „разширена отговорност на производителя“, „замърсителят плаща“, „превантивност“, близост и самодостатъчност, участие на обществеността. Документът се позиционира като план на прехода от управление на отпадъците към ефективно използване на отпадъците като ресурс и устойчиво развитие чрез предотвратяване на образуването им. </w:t>
      </w:r>
    </w:p>
    <w:p w14:paraId="593BEE2D" w14:textId="77777777" w:rsidR="00BA3B5E" w:rsidRPr="00655BDE" w:rsidRDefault="00BA3B5E" w:rsidP="00655BDE">
      <w:pPr>
        <w:spacing w:before="120" w:after="120" w:line="264" w:lineRule="auto"/>
        <w:jc w:val="both"/>
        <w:rPr>
          <w:rFonts w:ascii="Times New Roman" w:eastAsia="Calibri" w:hAnsi="Times New Roman" w:cs="Times New Roman"/>
          <w:lang w:val="bg-BG"/>
        </w:rPr>
      </w:pPr>
      <w:r w:rsidRPr="00655BDE">
        <w:rPr>
          <w:rFonts w:ascii="Times New Roman" w:hAnsi="Times New Roman" w:cs="Times New Roman"/>
          <w:lang w:val="bg-BG"/>
        </w:rPr>
        <w:t xml:space="preserve">Стратегическата рамка на плана е организирана около Генерална стратегическа цел: </w:t>
      </w:r>
      <w:r w:rsidRPr="00655BDE">
        <w:rPr>
          <w:rFonts w:ascii="Times New Roman" w:hAnsi="Times New Roman" w:cs="Times New Roman"/>
          <w:b/>
          <w:iCs/>
          <w:lang w:val="bg-BG"/>
        </w:rPr>
        <w:t xml:space="preserve">Общество и бизнес, които подобряват прилагането на  йерархията на управление на отпадъците във всички процеси и нива. </w:t>
      </w:r>
      <w:proofErr w:type="spellStart"/>
      <w:r w:rsidRPr="00655BDE">
        <w:rPr>
          <w:rFonts w:ascii="Times New Roman" w:hAnsi="Times New Roman" w:cs="Times New Roman"/>
          <w:bCs/>
          <w:iCs/>
          <w:u w:val="single"/>
        </w:rPr>
        <w:t>Формулирани</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са</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
          <w:iCs/>
          <w:u w:val="single"/>
        </w:rPr>
        <w:t>три</w:t>
      </w:r>
      <w:proofErr w:type="spellEnd"/>
      <w:r w:rsidRPr="00655BDE">
        <w:rPr>
          <w:rFonts w:ascii="Times New Roman" w:hAnsi="Times New Roman" w:cs="Times New Roman"/>
          <w:b/>
          <w:iCs/>
          <w:u w:val="single"/>
        </w:rPr>
        <w:t xml:space="preserve"> </w:t>
      </w:r>
      <w:proofErr w:type="spellStart"/>
      <w:r w:rsidRPr="00655BDE">
        <w:rPr>
          <w:rFonts w:ascii="Times New Roman" w:hAnsi="Times New Roman" w:cs="Times New Roman"/>
          <w:b/>
          <w:iCs/>
          <w:u w:val="single"/>
        </w:rPr>
        <w:t>стратегически</w:t>
      </w:r>
      <w:proofErr w:type="spellEnd"/>
      <w:r w:rsidRPr="00655BDE">
        <w:rPr>
          <w:rFonts w:ascii="Times New Roman" w:hAnsi="Times New Roman" w:cs="Times New Roman"/>
          <w:b/>
          <w:iCs/>
          <w:u w:val="single"/>
        </w:rPr>
        <w:t xml:space="preserve"> </w:t>
      </w:r>
      <w:proofErr w:type="spellStart"/>
      <w:r w:rsidRPr="00655BDE">
        <w:rPr>
          <w:rFonts w:ascii="Times New Roman" w:hAnsi="Times New Roman" w:cs="Times New Roman"/>
          <w:b/>
          <w:iCs/>
          <w:u w:val="single"/>
        </w:rPr>
        <w:t>цели</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гарантиращи</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постигането</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на</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генералната</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стратегическа</w:t>
      </w:r>
      <w:proofErr w:type="spellEnd"/>
      <w:r w:rsidRPr="00655BDE">
        <w:rPr>
          <w:rFonts w:ascii="Times New Roman" w:hAnsi="Times New Roman" w:cs="Times New Roman"/>
          <w:bCs/>
          <w:iCs/>
          <w:u w:val="single"/>
        </w:rPr>
        <w:t xml:space="preserve"> </w:t>
      </w:r>
      <w:proofErr w:type="spellStart"/>
      <w:r w:rsidRPr="00655BDE">
        <w:rPr>
          <w:rFonts w:ascii="Times New Roman" w:hAnsi="Times New Roman" w:cs="Times New Roman"/>
          <w:bCs/>
          <w:iCs/>
          <w:u w:val="single"/>
        </w:rPr>
        <w:t>цел</w:t>
      </w:r>
      <w:proofErr w:type="spellEnd"/>
      <w:r w:rsidRPr="00655BDE">
        <w:rPr>
          <w:rFonts w:ascii="Times New Roman" w:hAnsi="Times New Roman" w:cs="Times New Roman"/>
          <w:bCs/>
          <w:iCs/>
          <w:u w:val="single"/>
        </w:rPr>
        <w:t xml:space="preserve"> и </w:t>
      </w:r>
      <w:proofErr w:type="spellStart"/>
      <w:r w:rsidRPr="00655BDE">
        <w:rPr>
          <w:rFonts w:ascii="Times New Roman" w:hAnsi="Times New Roman" w:cs="Times New Roman"/>
          <w:bCs/>
          <w:iCs/>
          <w:u w:val="single"/>
        </w:rPr>
        <w:t>свързани</w:t>
      </w:r>
      <w:proofErr w:type="spellEnd"/>
      <w:r w:rsidRPr="00655BDE">
        <w:rPr>
          <w:rFonts w:ascii="Times New Roman" w:hAnsi="Times New Roman" w:cs="Times New Roman"/>
          <w:bCs/>
          <w:iCs/>
          <w:u w:val="single"/>
        </w:rPr>
        <w:t xml:space="preserve"> с </w:t>
      </w:r>
      <w:proofErr w:type="spellStart"/>
      <w:r w:rsidRPr="00655BDE">
        <w:rPr>
          <w:rFonts w:ascii="Times New Roman" w:eastAsia="Calibri" w:hAnsi="Times New Roman" w:cs="Times New Roman"/>
          <w:bCs/>
          <w:iCs/>
        </w:rPr>
        <w:t>намаляване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вредното</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въздействие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отпадъците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чрез</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предотвратяване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образуването</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им</w:t>
      </w:r>
      <w:proofErr w:type="spellEnd"/>
      <w:r w:rsidRPr="00655BDE">
        <w:rPr>
          <w:rFonts w:ascii="Times New Roman" w:eastAsia="Calibri" w:hAnsi="Times New Roman" w:cs="Times New Roman"/>
          <w:bCs/>
          <w:iCs/>
        </w:rPr>
        <w:t xml:space="preserve"> и </w:t>
      </w:r>
      <w:proofErr w:type="spellStart"/>
      <w:r w:rsidRPr="00655BDE">
        <w:rPr>
          <w:rFonts w:ascii="Times New Roman" w:eastAsia="Calibri" w:hAnsi="Times New Roman" w:cs="Times New Roman"/>
          <w:bCs/>
          <w:iCs/>
        </w:rPr>
        <w:t>насърчаване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повторното</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им</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използване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увеличаване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количествата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рециклираните</w:t>
      </w:r>
      <w:proofErr w:type="spellEnd"/>
      <w:r w:rsidRPr="00655BDE">
        <w:rPr>
          <w:rFonts w:ascii="Times New Roman" w:eastAsia="Calibri" w:hAnsi="Times New Roman" w:cs="Times New Roman"/>
          <w:bCs/>
          <w:iCs/>
        </w:rPr>
        <w:t xml:space="preserve"> и </w:t>
      </w:r>
      <w:proofErr w:type="spellStart"/>
      <w:r w:rsidRPr="00655BDE">
        <w:rPr>
          <w:rFonts w:ascii="Times New Roman" w:eastAsia="Calibri" w:hAnsi="Times New Roman" w:cs="Times New Roman"/>
          <w:bCs/>
          <w:iCs/>
        </w:rPr>
        <w:t>оползотворени</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отпадъци</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намаляване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количествата</w:t>
      </w:r>
      <w:proofErr w:type="spellEnd"/>
      <w:r w:rsidRPr="00655BDE">
        <w:rPr>
          <w:rFonts w:ascii="Times New Roman" w:eastAsia="Calibri" w:hAnsi="Times New Roman" w:cs="Times New Roman"/>
          <w:bCs/>
          <w:iCs/>
        </w:rPr>
        <w:t xml:space="preserve"> и </w:t>
      </w:r>
      <w:proofErr w:type="spellStart"/>
      <w:r w:rsidRPr="00655BDE">
        <w:rPr>
          <w:rFonts w:ascii="Times New Roman" w:eastAsia="Calibri" w:hAnsi="Times New Roman" w:cs="Times New Roman"/>
          <w:bCs/>
          <w:iCs/>
        </w:rPr>
        <w:t>на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риска</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от</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депонираните</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битови</w:t>
      </w:r>
      <w:proofErr w:type="spellEnd"/>
      <w:r w:rsidRPr="00655BDE">
        <w:rPr>
          <w:rFonts w:ascii="Times New Roman" w:eastAsia="Calibri" w:hAnsi="Times New Roman" w:cs="Times New Roman"/>
          <w:bCs/>
          <w:iCs/>
        </w:rPr>
        <w:t xml:space="preserve"> </w:t>
      </w:r>
      <w:proofErr w:type="spellStart"/>
      <w:r w:rsidRPr="00655BDE">
        <w:rPr>
          <w:rFonts w:ascii="Times New Roman" w:eastAsia="Calibri" w:hAnsi="Times New Roman" w:cs="Times New Roman"/>
          <w:bCs/>
          <w:iCs/>
        </w:rPr>
        <w:t>отпадъци</w:t>
      </w:r>
      <w:proofErr w:type="spellEnd"/>
      <w:r w:rsidRPr="00655BDE">
        <w:rPr>
          <w:rFonts w:ascii="Times New Roman" w:eastAsia="Calibri" w:hAnsi="Times New Roman" w:cs="Times New Roman"/>
          <w:bCs/>
          <w:iCs/>
        </w:rPr>
        <w:t xml:space="preserve">. </w:t>
      </w:r>
    </w:p>
    <w:p w14:paraId="6B2D10CF"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Зеленият преход и дигиталната трансформация заемат основно място сред областите на интервенция в проекта на </w:t>
      </w:r>
      <w:r w:rsidRPr="00655BDE">
        <w:rPr>
          <w:rFonts w:ascii="Times New Roman" w:hAnsi="Times New Roman" w:cs="Times New Roman"/>
          <w:b/>
          <w:bCs/>
          <w:lang w:val="bg-BG"/>
        </w:rPr>
        <w:t>План за възстановяване и устойчивост на Република България</w:t>
      </w:r>
      <w:r w:rsidRPr="00655BDE">
        <w:rPr>
          <w:rFonts w:ascii="Times New Roman" w:hAnsi="Times New Roman" w:cs="Times New Roman"/>
          <w:lang w:val="bg-BG"/>
        </w:rPr>
        <w:t>. Планът е структуриран в четири стълба: Иновативна България, Зелена България, Свързана България и Справедлива България.</w:t>
      </w:r>
    </w:p>
    <w:p w14:paraId="3AEAB495"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Стълб „Иновативна България“, Компонент „Интелигентна индустрия“ предвижда изпълнението на </w:t>
      </w:r>
      <w:r w:rsidRPr="00655BDE">
        <w:rPr>
          <w:rFonts w:ascii="Times New Roman" w:hAnsi="Times New Roman" w:cs="Times New Roman"/>
          <w:color w:val="000000"/>
          <w:lang w:val="bg-BG"/>
        </w:rPr>
        <w:t>Програма за икономическа трансформация за целева подкрепа на българските малки и средни предприятия в основните</w:t>
      </w:r>
      <w:r w:rsidRPr="00655BDE">
        <w:rPr>
          <w:rFonts w:ascii="Times New Roman" w:hAnsi="Times New Roman" w:cs="Times New Roman"/>
          <w:lang w:val="bg-BG"/>
        </w:rPr>
        <w:t xml:space="preserve"> проблемни области, които забавят трансформацията към цифрова, нисковъглеродна и ресурсно ефективна икономика. Предвидените мерки се аргументират с един от основните проблеми пред българската икономика, а именно ниското ниво на производителност на ресурсите. Като освен инструмент за насърчаване на икономическата трансформация, своевременното изпълнение на програмата ще е и катализатор на икономическото възстановяване на българските предприятия от негативните последици от икономическата криза, породена от COVID-19 пандемията.</w:t>
      </w:r>
    </w:p>
    <w:p w14:paraId="591E9ACF" w14:textId="77777777" w:rsidR="00BA3B5E" w:rsidRPr="00655BDE" w:rsidRDefault="00BA3B5E" w:rsidP="00655BDE">
      <w:pPr>
        <w:spacing w:before="120" w:after="120" w:line="264" w:lineRule="auto"/>
        <w:jc w:val="both"/>
        <w:rPr>
          <w:rFonts w:ascii="Times New Roman" w:hAnsi="Times New Roman" w:cs="Times New Roman"/>
          <w:color w:val="000000"/>
          <w:shd w:val="clear" w:color="auto" w:fill="FEFEFE"/>
          <w:lang w:val="bg-BG"/>
        </w:rPr>
      </w:pPr>
      <w:r w:rsidRPr="00655BDE">
        <w:rPr>
          <w:rFonts w:ascii="Times New Roman" w:hAnsi="Times New Roman" w:cs="Times New Roman"/>
          <w:lang w:val="bg-BG"/>
        </w:rPr>
        <w:t>Общият планиран ресурс по Програмата за икономическа трансформация е 1 728.5 млн. лв. с период на изпълнение 2021-2026 г. За постигане на устойчиво използване и управление на ресурсите, като условие за трансформиране на икономиката от линейна в кръгова и намаляване на ресурсната и енергийна интензивност, се предвижда предприятията да получат подкрепа за въвеждане на нисковъглеродни, ресурсно и енергоефективни технологии, насърчаване на ефективното използване на ресурсите по време на целия жизнен цикъл на продуктите, както и разработване и внедряване на иновации в областта на кръговата икономика съгласно Иновационната стратегия за интелигентна специализация 2021-2027.</w:t>
      </w:r>
    </w:p>
    <w:p w14:paraId="0625D982" w14:textId="77777777" w:rsidR="00BA3B5E" w:rsidRPr="00655BDE" w:rsidRDefault="00BA3B5E" w:rsidP="00655BDE">
      <w:pPr>
        <w:spacing w:before="120" w:after="120" w:line="264" w:lineRule="auto"/>
        <w:jc w:val="both"/>
        <w:rPr>
          <w:rFonts w:ascii="Times New Roman" w:hAnsi="Times New Roman" w:cs="Times New Roman"/>
        </w:rPr>
      </w:pPr>
      <w:bookmarkStart w:id="15" w:name="_Hlk72862454"/>
      <w:proofErr w:type="spellStart"/>
      <w:r w:rsidRPr="00655BDE">
        <w:rPr>
          <w:rFonts w:ascii="Times New Roman" w:hAnsi="Times New Roman" w:cs="Times New Roman"/>
        </w:rPr>
        <w:t>З</w:t>
      </w:r>
      <w:r w:rsidRPr="00655BDE">
        <w:rPr>
          <w:rFonts w:ascii="Times New Roman" w:hAnsi="Times New Roman" w:cs="Times New Roman"/>
          <w:b/>
          <w:bCs/>
        </w:rPr>
        <w:t>аконодателна</w:t>
      </w:r>
      <w:proofErr w:type="spellEnd"/>
      <w:r w:rsidRPr="00655BDE">
        <w:rPr>
          <w:rFonts w:ascii="Times New Roman" w:hAnsi="Times New Roman" w:cs="Times New Roman"/>
          <w:b/>
          <w:bCs/>
        </w:rPr>
        <w:t xml:space="preserve"> </w:t>
      </w:r>
      <w:proofErr w:type="spellStart"/>
      <w:r w:rsidRPr="00655BDE">
        <w:rPr>
          <w:rFonts w:ascii="Times New Roman" w:hAnsi="Times New Roman" w:cs="Times New Roman"/>
          <w:b/>
          <w:bCs/>
        </w:rPr>
        <w:t>основа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b/>
          <w:bCs/>
        </w:rPr>
        <w:t>на</w:t>
      </w:r>
      <w:proofErr w:type="spellEnd"/>
      <w:r w:rsidRPr="00655BDE">
        <w:rPr>
          <w:rFonts w:ascii="Times New Roman" w:hAnsi="Times New Roman" w:cs="Times New Roman"/>
          <w:b/>
          <w:bCs/>
        </w:rPr>
        <w:t xml:space="preserve"> </w:t>
      </w:r>
      <w:proofErr w:type="spellStart"/>
      <w:r w:rsidRPr="00655BDE">
        <w:rPr>
          <w:rFonts w:ascii="Times New Roman" w:hAnsi="Times New Roman" w:cs="Times New Roman"/>
          <w:b/>
          <w:bCs/>
        </w:rPr>
        <w:t>политиките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свързани</w:t>
      </w:r>
      <w:proofErr w:type="spellEnd"/>
      <w:r w:rsidRPr="00655BDE">
        <w:rPr>
          <w:rFonts w:ascii="Times New Roman" w:hAnsi="Times New Roman" w:cs="Times New Roman"/>
        </w:rPr>
        <w:t xml:space="preserve"> с </w:t>
      </w:r>
      <w:proofErr w:type="spellStart"/>
      <w:r w:rsidRPr="00655BDE">
        <w:rPr>
          <w:rFonts w:ascii="Times New Roman" w:hAnsi="Times New Roman" w:cs="Times New Roman"/>
        </w:rPr>
        <w:t>управление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Закон</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опазване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околната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среда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обн</w:t>
      </w:r>
      <w:proofErr w:type="spellEnd"/>
      <w:r w:rsidRPr="00655BDE">
        <w:rPr>
          <w:rFonts w:ascii="Times New Roman" w:hAnsi="Times New Roman" w:cs="Times New Roman"/>
        </w:rPr>
        <w:t xml:space="preserve">. ДВ, </w:t>
      </w:r>
      <w:proofErr w:type="spellStart"/>
      <w:r w:rsidRPr="00655BDE">
        <w:rPr>
          <w:rFonts w:ascii="Times New Roman" w:hAnsi="Times New Roman" w:cs="Times New Roman"/>
        </w:rPr>
        <w:t>бр</w:t>
      </w:r>
      <w:proofErr w:type="spellEnd"/>
      <w:r w:rsidRPr="00655BDE">
        <w:rPr>
          <w:rFonts w:ascii="Times New Roman" w:hAnsi="Times New Roman" w:cs="Times New Roman"/>
        </w:rPr>
        <w:t xml:space="preserve">. 91/25.09.2002 г., </w:t>
      </w:r>
      <w:r w:rsidRPr="00655BDE">
        <w:rPr>
          <w:rFonts w:ascii="Times New Roman" w:hAnsi="Times New Roman" w:cs="Times New Roman"/>
          <w:lang w:val="bg-BG"/>
        </w:rPr>
        <w:t>изм. ДВ. бр.21 от 12 март 2021г.</w:t>
      </w:r>
      <w:r w:rsidRPr="00655BDE">
        <w:rPr>
          <w:rFonts w:ascii="Times New Roman" w:hAnsi="Times New Roman" w:cs="Times New Roman"/>
        </w:rPr>
        <w:t>)</w:t>
      </w:r>
      <w:r w:rsidRPr="00655BDE">
        <w:rPr>
          <w:rStyle w:val="FootnoteReference"/>
          <w:rFonts w:ascii="Times New Roman" w:hAnsi="Times New Roman" w:cs="Times New Roman"/>
        </w:rPr>
        <w:footnoteReference w:id="4"/>
      </w:r>
      <w:r w:rsidRPr="00655BDE">
        <w:rPr>
          <w:rFonts w:ascii="Times New Roman" w:hAnsi="Times New Roman" w:cs="Times New Roman"/>
        </w:rPr>
        <w:t xml:space="preserve">, </w:t>
      </w:r>
      <w:proofErr w:type="spellStart"/>
      <w:r w:rsidRPr="00655BDE">
        <w:rPr>
          <w:rFonts w:ascii="Times New Roman" w:hAnsi="Times New Roman" w:cs="Times New Roman"/>
        </w:rPr>
        <w:t>Закон</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управление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отпадъците</w:t>
      </w:r>
      <w:proofErr w:type="spellEnd"/>
      <w:r w:rsidRPr="00655BDE">
        <w:rPr>
          <w:rFonts w:ascii="Times New Roman" w:hAnsi="Times New Roman" w:cs="Times New Roman"/>
        </w:rPr>
        <w:t xml:space="preserve"> (</w:t>
      </w:r>
      <w:r w:rsidRPr="00655BDE">
        <w:rPr>
          <w:rFonts w:ascii="Times New Roman" w:hAnsi="Times New Roman" w:cs="Times New Roman"/>
          <w:lang w:val="bg-BG"/>
        </w:rPr>
        <w:t xml:space="preserve">обн. ДВ. бр.53 от 13 юли 2012 г., изм. и доп. ДВ. бр.19 от 5 март 2021 </w:t>
      </w:r>
      <w:r w:rsidRPr="00655BDE">
        <w:rPr>
          <w:rFonts w:ascii="Times New Roman" w:hAnsi="Times New Roman" w:cs="Times New Roman"/>
          <w:lang w:val="bg-BG"/>
        </w:rPr>
        <w:lastRenderedPageBreak/>
        <w:t>г.</w:t>
      </w:r>
      <w:r w:rsidRPr="00655BDE">
        <w:rPr>
          <w:rFonts w:ascii="Times New Roman" w:hAnsi="Times New Roman" w:cs="Times New Roman"/>
        </w:rPr>
        <w:t>)</w:t>
      </w:r>
      <w:r w:rsidRPr="00655BDE">
        <w:rPr>
          <w:rStyle w:val="FootnoteReference"/>
          <w:rFonts w:ascii="Times New Roman" w:hAnsi="Times New Roman" w:cs="Times New Roman"/>
        </w:rPr>
        <w:footnoteReference w:id="5"/>
      </w:r>
      <w:r w:rsidRPr="00655BDE">
        <w:rPr>
          <w:rFonts w:ascii="Times New Roman" w:hAnsi="Times New Roman" w:cs="Times New Roman"/>
        </w:rPr>
        <w:t xml:space="preserve">, </w:t>
      </w:r>
      <w:proofErr w:type="spellStart"/>
      <w:r w:rsidRPr="00655BDE">
        <w:rPr>
          <w:rFonts w:ascii="Times New Roman" w:hAnsi="Times New Roman" w:cs="Times New Roman"/>
        </w:rPr>
        <w:t>Закон</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hyperlink r:id="rId9" w:history="1">
        <w:proofErr w:type="spellStart"/>
        <w:r w:rsidRPr="00655BDE">
          <w:rPr>
            <w:rFonts w:ascii="Times New Roman" w:hAnsi="Times New Roman" w:cs="Times New Roman"/>
          </w:rPr>
          <w:t>ратификация</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Базелската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конвенция</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контрол</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трансграничния</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превоз</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опасни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тяхното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третиране</w:t>
        </w:r>
        <w:proofErr w:type="spellEnd"/>
      </w:hyperlink>
      <w:r w:rsidRPr="00655BDE">
        <w:rPr>
          <w:rFonts w:ascii="Times New Roman" w:hAnsi="Times New Roman" w:cs="Times New Roman"/>
          <w:lang w:val="bg-BG"/>
        </w:rPr>
        <w:t xml:space="preserve"> (обн., ДВ, бр. 8 от 26.01.1996 г.)</w:t>
      </w:r>
      <w:r w:rsidRPr="00655BDE">
        <w:rPr>
          <w:rStyle w:val="FootnoteReference"/>
          <w:rFonts w:ascii="Times New Roman" w:hAnsi="Times New Roman" w:cs="Times New Roman"/>
          <w:lang w:val="bg-BG"/>
        </w:rPr>
        <w:footnoteReference w:id="6"/>
      </w:r>
      <w:r w:rsidRPr="00655BDE">
        <w:rPr>
          <w:rFonts w:ascii="Times New Roman" w:hAnsi="Times New Roman" w:cs="Times New Roman"/>
          <w:lang w:val="bg-BG"/>
        </w:rPr>
        <w:t>. Пакет от наредби регулира различните аспекти на прилагане на политиките.</w:t>
      </w:r>
    </w:p>
    <w:bookmarkEnd w:id="15"/>
    <w:p w14:paraId="75160FB0"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ru-RU"/>
        </w:rPr>
        <w:t xml:space="preserve">Със </w:t>
      </w:r>
      <w:r w:rsidRPr="00655BDE">
        <w:rPr>
          <w:rFonts w:ascii="Times New Roman" w:hAnsi="Times New Roman" w:cs="Times New Roman"/>
          <w:b/>
          <w:bCs/>
          <w:lang w:val="ru-RU"/>
        </w:rPr>
        <w:t>Закона за изменение и допълнение на Закона за управление на отпадъците</w:t>
      </w:r>
      <w:r w:rsidRPr="00655BDE">
        <w:rPr>
          <w:rFonts w:ascii="Times New Roman" w:hAnsi="Times New Roman" w:cs="Times New Roman"/>
          <w:lang w:val="ru-RU"/>
        </w:rPr>
        <w:t xml:space="preserve"> (обн., ДВ, бр. 19/2021 г.) се въвеждат част от изискванията на приетия на ниво ЕС през 2018 г. законодателен пакет „Отпадъци“, като се транспонират две директиви: напълно се транспонира Директива (ЕС) 2018/851 на Европейския парламент и на Съвета от 30 май 2018 година за изменение на Директива 2008/98/ЕО относно отпадъците и частично – Директива (ЕС) 2018/850 на Европейския парламент и на Съвета от 30 май 2018 година за изменение на Директива 1999/31/ЕО относно депонирането на отпадъци</w:t>
      </w:r>
      <w:r w:rsidRPr="00655BDE">
        <w:rPr>
          <w:rFonts w:ascii="Times New Roman" w:hAnsi="Times New Roman" w:cs="Times New Roman"/>
          <w:lang w:val="bg-BG"/>
        </w:rPr>
        <w:t>.</w:t>
      </w:r>
    </w:p>
    <w:p w14:paraId="6A64CD5E"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eastAsia="bg-BG"/>
        </w:rPr>
        <w:t xml:space="preserve">Определят се нови цели до 2035 г. и междинни цели за повторна употреба и рециклиране на битовите отпадъци. </w:t>
      </w:r>
      <w:r w:rsidRPr="00655BDE">
        <w:rPr>
          <w:rFonts w:ascii="Times New Roman" w:hAnsi="Times New Roman" w:cs="Times New Roman"/>
          <w:lang w:val="bg-BG"/>
        </w:rPr>
        <w:t>Съгласно чл. 31, ал. 1 от ЗУО, с</w:t>
      </w:r>
      <w:proofErr w:type="spellStart"/>
      <w:r w:rsidRPr="00655BDE">
        <w:rPr>
          <w:rFonts w:ascii="Times New Roman" w:hAnsi="Times New Roman" w:cs="Times New Roman"/>
        </w:rPr>
        <w:t>истемите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разделно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събиране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употреба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рециклиране</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оползотворяване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осигуряват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като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минимум</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изпълнението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следните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цели</w:t>
      </w:r>
      <w:proofErr w:type="spellEnd"/>
      <w:r w:rsidRPr="00655BDE">
        <w:rPr>
          <w:rFonts w:ascii="Times New Roman" w:hAnsi="Times New Roman" w:cs="Times New Roman"/>
        </w:rPr>
        <w:t xml:space="preserve">: </w:t>
      </w:r>
    </w:p>
    <w:p w14:paraId="382787DC"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rPr>
        <w:t xml:space="preserve">- </w:t>
      </w:r>
      <w:proofErr w:type="spellStart"/>
      <w:r w:rsidRPr="00655BDE">
        <w:rPr>
          <w:rFonts w:ascii="Times New Roman" w:hAnsi="Times New Roman" w:cs="Times New Roman"/>
        </w:rPr>
        <w:t>най-късно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1 </w:t>
      </w:r>
      <w:proofErr w:type="spellStart"/>
      <w:r w:rsidRPr="00655BDE">
        <w:rPr>
          <w:rFonts w:ascii="Times New Roman" w:hAnsi="Times New Roman" w:cs="Times New Roman"/>
        </w:rPr>
        <w:t>януари</w:t>
      </w:r>
      <w:proofErr w:type="spellEnd"/>
      <w:r w:rsidRPr="00655BDE">
        <w:rPr>
          <w:rFonts w:ascii="Times New Roman" w:hAnsi="Times New Roman" w:cs="Times New Roman"/>
        </w:rPr>
        <w:t xml:space="preserve"> 2020 г. </w:t>
      </w:r>
      <w:proofErr w:type="spellStart"/>
      <w:r w:rsidRPr="00655BDE">
        <w:rPr>
          <w:rFonts w:ascii="Times New Roman" w:hAnsi="Times New Roman" w:cs="Times New Roman"/>
        </w:rPr>
        <w:t>подготовка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употреба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рециклиране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отпадъчни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материали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включващи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хартия</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картон</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метал</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пластмаса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стъкло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домакинствата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подобни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други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източници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по-малко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50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тегло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тези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
    <w:p w14:paraId="5F93CE4C"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rPr>
        <w:t xml:space="preserve">- </w:t>
      </w:r>
      <w:proofErr w:type="spellStart"/>
      <w:r w:rsidRPr="00655BDE">
        <w:rPr>
          <w:rFonts w:ascii="Times New Roman" w:hAnsi="Times New Roman" w:cs="Times New Roman"/>
        </w:rPr>
        <w:t>най-късно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31 </w:t>
      </w:r>
      <w:proofErr w:type="spellStart"/>
      <w:r w:rsidRPr="00655BDE">
        <w:rPr>
          <w:rFonts w:ascii="Times New Roman" w:hAnsi="Times New Roman" w:cs="Times New Roman"/>
        </w:rPr>
        <w:t>декември</w:t>
      </w:r>
      <w:proofErr w:type="spellEnd"/>
      <w:r w:rsidRPr="00655BDE">
        <w:rPr>
          <w:rFonts w:ascii="Times New Roman" w:hAnsi="Times New Roman" w:cs="Times New Roman"/>
        </w:rPr>
        <w:t xml:space="preserve"> 2020 г. </w:t>
      </w:r>
      <w:proofErr w:type="spellStart"/>
      <w:r w:rsidRPr="00655BDE">
        <w:rPr>
          <w:rFonts w:ascii="Times New Roman" w:hAnsi="Times New Roman" w:cs="Times New Roman"/>
        </w:rPr>
        <w:t>ограничаване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количеството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депонирани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биоразградими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35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количество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същите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образувани</w:t>
      </w:r>
      <w:proofErr w:type="spellEnd"/>
      <w:r w:rsidRPr="00655BDE">
        <w:rPr>
          <w:rFonts w:ascii="Times New Roman" w:hAnsi="Times New Roman" w:cs="Times New Roman"/>
        </w:rPr>
        <w:t xml:space="preserve"> в </w:t>
      </w:r>
      <w:proofErr w:type="spellStart"/>
      <w:r w:rsidRPr="00655BDE">
        <w:rPr>
          <w:rFonts w:ascii="Times New Roman" w:hAnsi="Times New Roman" w:cs="Times New Roman"/>
        </w:rPr>
        <w:t>Република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България</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през</w:t>
      </w:r>
      <w:proofErr w:type="spellEnd"/>
      <w:r w:rsidRPr="00655BDE">
        <w:rPr>
          <w:rFonts w:ascii="Times New Roman" w:hAnsi="Times New Roman" w:cs="Times New Roman"/>
        </w:rPr>
        <w:t xml:space="preserve"> 1995 г.; </w:t>
      </w:r>
    </w:p>
    <w:p w14:paraId="445E2F79"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rPr>
        <w:t xml:space="preserve">- </w:t>
      </w:r>
      <w:proofErr w:type="spellStart"/>
      <w:r w:rsidRPr="00655BDE">
        <w:rPr>
          <w:rFonts w:ascii="Times New Roman" w:hAnsi="Times New Roman" w:cs="Times New Roman"/>
        </w:rPr>
        <w:t>най-късно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31 </w:t>
      </w:r>
      <w:proofErr w:type="spellStart"/>
      <w:r w:rsidRPr="00655BDE">
        <w:rPr>
          <w:rFonts w:ascii="Times New Roman" w:hAnsi="Times New Roman" w:cs="Times New Roman"/>
        </w:rPr>
        <w:t>декември</w:t>
      </w:r>
      <w:proofErr w:type="spellEnd"/>
      <w:r w:rsidRPr="00655BDE">
        <w:rPr>
          <w:rFonts w:ascii="Times New Roman" w:hAnsi="Times New Roman" w:cs="Times New Roman"/>
        </w:rPr>
        <w:t xml:space="preserve"> 2025 г. </w:t>
      </w:r>
      <w:proofErr w:type="spellStart"/>
      <w:r w:rsidRPr="00655BDE">
        <w:rPr>
          <w:rFonts w:ascii="Times New Roman" w:hAnsi="Times New Roman" w:cs="Times New Roman"/>
        </w:rPr>
        <w:t>подготовката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употреба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рециклирането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lang w:val="bg-BG"/>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най-малко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55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тегло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тези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
    <w:p w14:paraId="6C500414"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rPr>
        <w:t>-</w:t>
      </w:r>
      <w:r w:rsidRPr="00655BDE">
        <w:rPr>
          <w:rFonts w:ascii="Times New Roman" w:hAnsi="Times New Roman" w:cs="Times New Roman"/>
        </w:rPr>
        <w:t xml:space="preserve"> </w:t>
      </w:r>
      <w:proofErr w:type="spellStart"/>
      <w:r w:rsidRPr="00655BDE">
        <w:rPr>
          <w:rFonts w:ascii="Times New Roman" w:hAnsi="Times New Roman" w:cs="Times New Roman"/>
        </w:rPr>
        <w:t>най-късно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31 </w:t>
      </w:r>
      <w:proofErr w:type="spellStart"/>
      <w:r w:rsidRPr="00655BDE">
        <w:rPr>
          <w:rFonts w:ascii="Times New Roman" w:hAnsi="Times New Roman" w:cs="Times New Roman"/>
        </w:rPr>
        <w:t>декември</w:t>
      </w:r>
      <w:proofErr w:type="spellEnd"/>
      <w:r w:rsidRPr="00655BDE">
        <w:rPr>
          <w:rFonts w:ascii="Times New Roman" w:hAnsi="Times New Roman" w:cs="Times New Roman"/>
        </w:rPr>
        <w:t xml:space="preserve"> 2030 г. </w:t>
      </w:r>
      <w:proofErr w:type="spellStart"/>
      <w:r w:rsidRPr="00655BDE">
        <w:rPr>
          <w:rFonts w:ascii="Times New Roman" w:hAnsi="Times New Roman" w:cs="Times New Roman"/>
        </w:rPr>
        <w:t>подготовката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употреба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рециклирането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най-малко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60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тегло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тези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
    <w:p w14:paraId="54B96C46" w14:textId="77777777" w:rsidR="00BA3B5E" w:rsidRPr="00655BDE" w:rsidRDefault="00BA3B5E" w:rsidP="00655BDE">
      <w:pPr>
        <w:spacing w:before="120" w:after="120" w:line="264" w:lineRule="auto"/>
        <w:jc w:val="both"/>
        <w:rPr>
          <w:rFonts w:ascii="Times New Roman" w:hAnsi="Times New Roman" w:cs="Times New Roman"/>
        </w:rPr>
      </w:pPr>
      <w:r w:rsidRPr="00655BDE">
        <w:rPr>
          <w:rFonts w:ascii="Times New Roman" w:hAnsi="Times New Roman" w:cs="Times New Roman"/>
          <w:lang w:val="bg-BG"/>
        </w:rPr>
        <w:t>-</w:t>
      </w:r>
      <w:r w:rsidRPr="00655BDE">
        <w:rPr>
          <w:rFonts w:ascii="Times New Roman" w:hAnsi="Times New Roman" w:cs="Times New Roman"/>
        </w:rPr>
        <w:t xml:space="preserve"> </w:t>
      </w:r>
      <w:proofErr w:type="spellStart"/>
      <w:r w:rsidRPr="00655BDE">
        <w:rPr>
          <w:rFonts w:ascii="Times New Roman" w:hAnsi="Times New Roman" w:cs="Times New Roman"/>
        </w:rPr>
        <w:t>най-късно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31 </w:t>
      </w:r>
      <w:proofErr w:type="spellStart"/>
      <w:r w:rsidRPr="00655BDE">
        <w:rPr>
          <w:rFonts w:ascii="Times New Roman" w:hAnsi="Times New Roman" w:cs="Times New Roman"/>
        </w:rPr>
        <w:t>декември</w:t>
      </w:r>
      <w:proofErr w:type="spellEnd"/>
      <w:r w:rsidRPr="00655BDE">
        <w:rPr>
          <w:rFonts w:ascii="Times New Roman" w:hAnsi="Times New Roman" w:cs="Times New Roman"/>
        </w:rPr>
        <w:t xml:space="preserve"> 2035 г. </w:t>
      </w:r>
      <w:proofErr w:type="spellStart"/>
      <w:r w:rsidRPr="00655BDE">
        <w:rPr>
          <w:rFonts w:ascii="Times New Roman" w:hAnsi="Times New Roman" w:cs="Times New Roman"/>
        </w:rPr>
        <w:t>подготовката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употреба</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рециклирането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най-малко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до</w:t>
      </w:r>
      <w:proofErr w:type="spellEnd"/>
      <w:r w:rsidRPr="00655BDE">
        <w:rPr>
          <w:rFonts w:ascii="Times New Roman" w:hAnsi="Times New Roman" w:cs="Times New Roman"/>
        </w:rPr>
        <w:t xml:space="preserve"> 65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общото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тегло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тези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
    <w:p w14:paraId="687BA0C1" w14:textId="77777777" w:rsidR="00BA3B5E" w:rsidRPr="00655BDE" w:rsidRDefault="00BA3B5E" w:rsidP="00655BDE">
      <w:pPr>
        <w:spacing w:before="120" w:after="120" w:line="264" w:lineRule="auto"/>
        <w:jc w:val="both"/>
        <w:rPr>
          <w:rFonts w:ascii="Times New Roman" w:hAnsi="Times New Roman" w:cs="Times New Roman"/>
          <w:lang w:val="bg-BG" w:eastAsia="bg-BG"/>
        </w:rPr>
      </w:pPr>
      <w:r w:rsidRPr="00655BDE">
        <w:rPr>
          <w:rFonts w:ascii="Times New Roman" w:hAnsi="Times New Roman" w:cs="Times New Roman"/>
          <w:lang w:val="bg-BG" w:eastAsia="bg-BG"/>
        </w:rPr>
        <w:t xml:space="preserve">С цел допълнително стимулиране на прехода към кръгова икономика е въведена цел за намаляване до 10 % на депонираните битови отпадъци до 2035 г., която може да бъде отложена с 5 г., при условие, че държавата е постигнала намаление до 25 %. </w:t>
      </w:r>
    </w:p>
    <w:p w14:paraId="69D2F875" w14:textId="77777777" w:rsidR="00BA3B5E" w:rsidRPr="00655BDE" w:rsidRDefault="00BA3B5E" w:rsidP="00655BDE">
      <w:pPr>
        <w:spacing w:before="120" w:after="120" w:line="264" w:lineRule="auto"/>
        <w:jc w:val="both"/>
        <w:rPr>
          <w:rFonts w:ascii="Times New Roman" w:hAnsi="Times New Roman" w:cs="Times New Roman"/>
          <w:lang w:val="bg-BG" w:eastAsia="bg-BG"/>
        </w:rPr>
      </w:pPr>
      <w:r w:rsidRPr="00655BDE">
        <w:rPr>
          <w:rFonts w:ascii="Times New Roman" w:hAnsi="Times New Roman" w:cs="Times New Roman"/>
          <w:lang w:val="bg-BG" w:eastAsia="bg-BG"/>
        </w:rPr>
        <w:t>Въведени са точни правила за изчисляването на целите въз основа на теглото на битовите отпадъци, които постъпват за рециклиране, определения за „неопасни отпадъци“, „битови отпадъци“, „биологични отпадъци“, „отпадъци от строителство и разрушаване“, „хранителни отпадъци“, „оползотворяване на материали“, „насипване“. По отношение на работата на въведените до момента схеми за разширена отговорност на производителя, са определени минимални изисквания относно тяхното функциониране, като те се прилагат и за схемите за разширена отговорност на производителя, въведени съгласно други законодателни актове.</w:t>
      </w:r>
    </w:p>
    <w:p w14:paraId="5D92935E"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В съответствие с чл. 52, ал. 1, кметовете на общини разработват и изпълняват </w:t>
      </w:r>
      <w:r w:rsidRPr="00655BDE">
        <w:rPr>
          <w:rFonts w:ascii="Times New Roman" w:hAnsi="Times New Roman" w:cs="Times New Roman"/>
          <w:b/>
          <w:bCs/>
          <w:lang w:val="bg-BG"/>
        </w:rPr>
        <w:t>общински програми за управление на дейностите по отпадъците</w:t>
      </w:r>
      <w:r w:rsidRPr="00655BDE">
        <w:rPr>
          <w:rFonts w:ascii="Times New Roman" w:hAnsi="Times New Roman" w:cs="Times New Roman"/>
          <w:lang w:val="bg-BG"/>
        </w:rPr>
        <w:t xml:space="preserve"> за територията на съответната община. Програмите се разработват в съответствие със структурата, целите и предвижданията на Националния план за </w:t>
      </w:r>
      <w:r w:rsidRPr="00655BDE">
        <w:rPr>
          <w:rFonts w:ascii="Times New Roman" w:hAnsi="Times New Roman" w:cs="Times New Roman"/>
          <w:lang w:val="bg-BG"/>
        </w:rPr>
        <w:lastRenderedPageBreak/>
        <w:t xml:space="preserve">управление на отпадъците и включва неободимите мерки за изпълнение на задълженията на кмета на общината, свързани със събиране, транспортиране и третиране на битови отпадъци, включително разделно събиране на МРО, изграждане на инсталации за оползвотворяване и обезвреждане на отпадъци, изпълнение на решенията на общото събрание на регионалното сдружение за управление на отпадъците и др. Организирането на системите за разделно събиране и оползотворяване на биоразградими отпадъци са част от общинските програми за управление на отпадъците. Мерките включват като минимум: поетапно въвеждане на разделно събиране и оползотворяване на биоотпадъците, събирани чрез общинските системи за разделно събиране, както и изчисляване на броя на домакинствата и на населението на всяка община, обслужвани от общинската система за разделно събиране; разделно събиране и оползотворяване на биоотпадъците от обществени зелени площи, паркове и градини; план за изграждане на съоръженията за оползотворяване на биоотпадъците, когато такива са предвидени на територията на общината, в т.ч. определяне на местоположението, необходимия капацитет и технология за третиране; насърчаване компостирането на място; повишаване информираността на населението за ползите и изискванията за разделното събиране и третиране на биоотпадъците. </w:t>
      </w:r>
    </w:p>
    <w:p w14:paraId="5B2C6872" w14:textId="77777777" w:rsidR="00BA3B5E" w:rsidRPr="00655BDE" w:rsidRDefault="00BA3B5E" w:rsidP="00655BDE">
      <w:pPr>
        <w:spacing w:before="120" w:after="120" w:line="264" w:lineRule="auto"/>
        <w:jc w:val="both"/>
        <w:rPr>
          <w:rFonts w:ascii="Times New Roman" w:hAnsi="Times New Roman" w:cs="Times New Roman"/>
          <w:color w:val="000000"/>
          <w:shd w:val="clear" w:color="auto" w:fill="FEFEFE"/>
          <w:lang w:val="bg-BG"/>
        </w:rPr>
      </w:pPr>
      <w:r w:rsidRPr="00655BDE">
        <w:rPr>
          <w:rFonts w:ascii="Times New Roman" w:hAnsi="Times New Roman" w:cs="Times New Roman"/>
          <w:lang w:val="bg-BG"/>
        </w:rPr>
        <w:t xml:space="preserve">С измененията в </w:t>
      </w:r>
      <w:r w:rsidRPr="00655BDE">
        <w:rPr>
          <w:rFonts w:ascii="Times New Roman" w:hAnsi="Times New Roman" w:cs="Times New Roman"/>
          <w:b/>
          <w:bCs/>
          <w:lang w:val="bg-BG"/>
        </w:rPr>
        <w:t>Закона за местните данъци и такси</w:t>
      </w:r>
      <w:r w:rsidRPr="00655BDE">
        <w:rPr>
          <w:rFonts w:ascii="Times New Roman" w:hAnsi="Times New Roman" w:cs="Times New Roman"/>
          <w:lang w:val="bg-BG"/>
        </w:rPr>
        <w:t xml:space="preserve"> от 2013 г.(</w:t>
      </w:r>
      <w:r w:rsidRPr="00655BDE">
        <w:rPr>
          <w:rFonts w:ascii="Times New Roman" w:hAnsi="Times New Roman" w:cs="Times New Roman"/>
          <w:color w:val="000000"/>
          <w:shd w:val="clear" w:color="auto" w:fill="FEFEFE"/>
          <w:lang w:val="bg-BG"/>
        </w:rPr>
        <w:t>о</w:t>
      </w:r>
      <w:proofErr w:type="spellStart"/>
      <w:r w:rsidRPr="00655BDE">
        <w:rPr>
          <w:rFonts w:ascii="Times New Roman" w:hAnsi="Times New Roman" w:cs="Times New Roman"/>
          <w:color w:val="000000"/>
          <w:shd w:val="clear" w:color="auto" w:fill="FEFEFE"/>
        </w:rPr>
        <w:t>бн</w:t>
      </w:r>
      <w:proofErr w:type="spellEnd"/>
      <w:r w:rsidRPr="00655BDE">
        <w:rPr>
          <w:rFonts w:ascii="Times New Roman" w:hAnsi="Times New Roman" w:cs="Times New Roman"/>
          <w:color w:val="000000"/>
          <w:shd w:val="clear" w:color="auto" w:fill="FEFEFE"/>
        </w:rPr>
        <w:t>. ДВ.</w:t>
      </w:r>
      <w:r w:rsidRPr="00655BDE">
        <w:rPr>
          <w:rFonts w:ascii="Times New Roman" w:hAnsi="Times New Roman" w:cs="Times New Roman"/>
          <w:color w:val="000000"/>
          <w:shd w:val="clear" w:color="auto" w:fill="FEFEFE"/>
          <w:lang w:val="bg-BG"/>
        </w:rPr>
        <w:t xml:space="preserve">, </w:t>
      </w:r>
      <w:r w:rsidRPr="00655BDE">
        <w:rPr>
          <w:rFonts w:ascii="Times New Roman" w:hAnsi="Times New Roman" w:cs="Times New Roman"/>
          <w:color w:val="000000"/>
          <w:shd w:val="clear" w:color="auto" w:fill="FEFEFE"/>
        </w:rPr>
        <w:t>бр.117 </w:t>
      </w:r>
      <w:proofErr w:type="spellStart"/>
      <w:r w:rsidRPr="00655BDE">
        <w:rPr>
          <w:rFonts w:ascii="Times New Roman" w:hAnsi="Times New Roman" w:cs="Times New Roman"/>
          <w:color w:val="000000"/>
          <w:shd w:val="clear" w:color="auto" w:fill="FEFEFE"/>
        </w:rPr>
        <w:t>от</w:t>
      </w:r>
      <w:proofErr w:type="spellEnd"/>
      <w:r w:rsidRPr="00655BDE">
        <w:rPr>
          <w:rFonts w:ascii="Times New Roman" w:hAnsi="Times New Roman" w:cs="Times New Roman"/>
          <w:color w:val="000000"/>
          <w:shd w:val="clear" w:color="auto" w:fill="FEFEFE"/>
          <w:lang w:val="bg-BG"/>
        </w:rPr>
        <w:t xml:space="preserve"> </w:t>
      </w:r>
      <w:r w:rsidRPr="00655BDE">
        <w:rPr>
          <w:rFonts w:ascii="Times New Roman" w:hAnsi="Times New Roman" w:cs="Times New Roman"/>
          <w:color w:val="000000"/>
          <w:shd w:val="clear" w:color="auto" w:fill="FEFEFE"/>
        </w:rPr>
        <w:t xml:space="preserve">10 </w:t>
      </w:r>
      <w:r w:rsidRPr="00655BDE">
        <w:rPr>
          <w:rFonts w:ascii="Times New Roman" w:hAnsi="Times New Roman" w:cs="Times New Roman"/>
          <w:color w:val="000000"/>
          <w:shd w:val="clear" w:color="auto" w:fill="FEFEFE"/>
          <w:lang w:val="bg-BG"/>
        </w:rPr>
        <w:t>д</w:t>
      </w:r>
      <w:proofErr w:type="spellStart"/>
      <w:r w:rsidRPr="00655BDE">
        <w:rPr>
          <w:rFonts w:ascii="Times New Roman" w:hAnsi="Times New Roman" w:cs="Times New Roman"/>
          <w:color w:val="000000"/>
          <w:shd w:val="clear" w:color="auto" w:fill="FEFEFE"/>
        </w:rPr>
        <w:t>екември</w:t>
      </w:r>
      <w:proofErr w:type="spellEnd"/>
      <w:r w:rsidRPr="00655BDE">
        <w:rPr>
          <w:rFonts w:ascii="Times New Roman" w:hAnsi="Times New Roman" w:cs="Times New Roman"/>
          <w:color w:val="000000"/>
          <w:shd w:val="clear" w:color="auto" w:fill="FEFEFE"/>
        </w:rPr>
        <w:t xml:space="preserve"> 1997</w:t>
      </w:r>
      <w:r w:rsidRPr="00655BDE">
        <w:rPr>
          <w:rFonts w:ascii="Times New Roman" w:hAnsi="Times New Roman" w:cs="Times New Roman"/>
          <w:color w:val="000000"/>
          <w:shd w:val="clear" w:color="auto" w:fill="FEFEFE"/>
          <w:lang w:val="bg-BG"/>
        </w:rPr>
        <w:t xml:space="preserve"> </w:t>
      </w:r>
      <w:r w:rsidRPr="00655BDE">
        <w:rPr>
          <w:rFonts w:ascii="Times New Roman" w:hAnsi="Times New Roman" w:cs="Times New Roman"/>
          <w:color w:val="000000"/>
          <w:shd w:val="clear" w:color="auto" w:fill="FEFEFE"/>
        </w:rPr>
        <w:t>г</w:t>
      </w:r>
      <w:r w:rsidRPr="00655BDE">
        <w:rPr>
          <w:rFonts w:ascii="Times New Roman" w:hAnsi="Times New Roman" w:cs="Times New Roman"/>
          <w:color w:val="000000"/>
          <w:shd w:val="clear" w:color="auto" w:fill="FEFEFE"/>
          <w:lang w:val="bg-BG"/>
        </w:rPr>
        <w:t>.</w:t>
      </w:r>
      <w:r w:rsidRPr="00655BDE">
        <w:rPr>
          <w:rFonts w:ascii="Times New Roman" w:hAnsi="Times New Roman" w:cs="Times New Roman"/>
          <w:lang w:val="bg-BG"/>
        </w:rPr>
        <w:t xml:space="preserve">) се въвежда нов принцип на изчисляване на размера на таксата за битови отпадъци </w:t>
      </w:r>
      <w:r w:rsidRPr="00655BDE">
        <w:rPr>
          <w:rFonts w:ascii="Times New Roman" w:hAnsi="Times New Roman" w:cs="Times New Roman"/>
          <w:color w:val="000000"/>
          <w:shd w:val="clear" w:color="auto" w:fill="FEFEFE"/>
          <w:lang w:val="bg-BG"/>
        </w:rPr>
        <w:t>при спазване на принципа за понасяне на разходите от причинителя или притежателя на отпадъците (чл. 67). Изменението на същия закон от 2017 г. определя основите за изчисляване на размера на таксите, които са в правомощията на общинските съвети. Влизането в сила на новите разпоредби остава на дневен ред като един от инструментите за подобряване ефективността и ефикасността на управлението на отпадъците и е обвързано с актуална информация за населението и жилищния фонд в Република България, след националното преброяване през 2021 г.</w:t>
      </w:r>
    </w:p>
    <w:p w14:paraId="51AFBB73" w14:textId="77777777" w:rsidR="00BA3B5E" w:rsidRPr="00655BDE" w:rsidRDefault="00BA3B5E" w:rsidP="00655BDE">
      <w:pPr>
        <w:spacing w:before="120" w:after="120" w:line="264" w:lineRule="auto"/>
        <w:jc w:val="both"/>
        <w:textAlignment w:val="center"/>
        <w:rPr>
          <w:rFonts w:ascii="Times New Roman" w:hAnsi="Times New Roman" w:cs="Times New Roman"/>
          <w:color w:val="000000"/>
          <w:shd w:val="clear" w:color="auto" w:fill="FEFEFE"/>
          <w:lang w:val="bg-BG"/>
        </w:rPr>
      </w:pPr>
      <w:r w:rsidRPr="00655BDE">
        <w:rPr>
          <w:rFonts w:ascii="Times New Roman" w:hAnsi="Times New Roman" w:cs="Times New Roman"/>
          <w:color w:val="000000"/>
          <w:shd w:val="clear" w:color="auto" w:fill="FEFEFE"/>
          <w:lang w:val="bg-BG"/>
        </w:rPr>
        <w:t xml:space="preserve">Основен механизъм за стимулиране на дейностите по ограничаване на депонирането на отпадъци и стимулиране на пазара на рециклирани материали са отчисленията за обезвреждане на отпадъци на регионално или общинско депо съгласно чл. 64 от ЗУО. Размерът на отчисленията за тон депониран отпадък се определя съгласно </w:t>
      </w:r>
      <w:r w:rsidRPr="00655BDE">
        <w:rPr>
          <w:rFonts w:ascii="Times New Roman" w:hAnsi="Times New Roman" w:cs="Times New Roman"/>
          <w:b/>
          <w:bCs/>
          <w:color w:val="000000"/>
          <w:shd w:val="clear" w:color="auto" w:fill="FEFEFE"/>
          <w:lang w:val="bg-BG"/>
        </w:rPr>
        <w:t>Наредба № 7 от 19 декември 2013 г. за реда и начина за изчисляване и определяне на размера на обезпеченията и отчисленията</w:t>
      </w:r>
      <w:r w:rsidRPr="00655BDE">
        <w:rPr>
          <w:rFonts w:ascii="Times New Roman" w:hAnsi="Times New Roman" w:cs="Times New Roman"/>
          <w:color w:val="000000"/>
          <w:shd w:val="clear" w:color="auto" w:fill="FEFEFE"/>
          <w:lang w:val="bg-BG"/>
        </w:rPr>
        <w:t>, изисквани при депониране на отпадъци (о</w:t>
      </w:r>
      <w:proofErr w:type="spellStart"/>
      <w:r w:rsidRPr="00655BDE">
        <w:rPr>
          <w:rFonts w:ascii="Times New Roman" w:hAnsi="Times New Roman" w:cs="Times New Roman"/>
          <w:color w:val="000000"/>
        </w:rPr>
        <w:t>бн</w:t>
      </w:r>
      <w:proofErr w:type="spellEnd"/>
      <w:r w:rsidRPr="00655BDE">
        <w:rPr>
          <w:rFonts w:ascii="Times New Roman" w:hAnsi="Times New Roman" w:cs="Times New Roman"/>
          <w:color w:val="000000"/>
        </w:rPr>
        <w:t xml:space="preserve">. ДВ. бр.111 </w:t>
      </w:r>
      <w:proofErr w:type="spellStart"/>
      <w:r w:rsidRPr="00655BDE">
        <w:rPr>
          <w:rFonts w:ascii="Times New Roman" w:hAnsi="Times New Roman" w:cs="Times New Roman"/>
          <w:color w:val="000000"/>
        </w:rPr>
        <w:t>от</w:t>
      </w:r>
      <w:proofErr w:type="spellEnd"/>
      <w:r w:rsidRPr="00655BDE">
        <w:rPr>
          <w:rFonts w:ascii="Times New Roman" w:hAnsi="Times New Roman" w:cs="Times New Roman"/>
          <w:color w:val="000000"/>
        </w:rPr>
        <w:t xml:space="preserve"> 27 </w:t>
      </w:r>
      <w:proofErr w:type="spellStart"/>
      <w:r w:rsidRPr="00655BDE">
        <w:rPr>
          <w:rFonts w:ascii="Times New Roman" w:hAnsi="Times New Roman" w:cs="Times New Roman"/>
          <w:color w:val="000000"/>
        </w:rPr>
        <w:t>декември</w:t>
      </w:r>
      <w:proofErr w:type="spellEnd"/>
      <w:r w:rsidRPr="00655BDE">
        <w:rPr>
          <w:rFonts w:ascii="Times New Roman" w:hAnsi="Times New Roman" w:cs="Times New Roman"/>
          <w:color w:val="000000"/>
        </w:rPr>
        <w:t xml:space="preserve"> 2013г., </w:t>
      </w:r>
      <w:proofErr w:type="spellStart"/>
      <w:r w:rsidRPr="00655BDE">
        <w:rPr>
          <w:rFonts w:ascii="Times New Roman" w:hAnsi="Times New Roman" w:cs="Times New Roman"/>
          <w:color w:val="000000"/>
        </w:rPr>
        <w:t>изм</w:t>
      </w:r>
      <w:proofErr w:type="spellEnd"/>
      <w:r w:rsidRPr="00655BDE">
        <w:rPr>
          <w:rFonts w:ascii="Times New Roman" w:hAnsi="Times New Roman" w:cs="Times New Roman"/>
          <w:color w:val="000000"/>
        </w:rPr>
        <w:t xml:space="preserve">. и </w:t>
      </w:r>
      <w:proofErr w:type="spellStart"/>
      <w:r w:rsidRPr="00655BDE">
        <w:rPr>
          <w:rFonts w:ascii="Times New Roman" w:hAnsi="Times New Roman" w:cs="Times New Roman"/>
          <w:color w:val="000000"/>
        </w:rPr>
        <w:t>доп</w:t>
      </w:r>
      <w:proofErr w:type="spellEnd"/>
      <w:r w:rsidRPr="00655BDE">
        <w:rPr>
          <w:rFonts w:ascii="Times New Roman" w:hAnsi="Times New Roman" w:cs="Times New Roman"/>
          <w:color w:val="000000"/>
        </w:rPr>
        <w:t xml:space="preserve">. ДВ. бр.26 </w:t>
      </w:r>
      <w:proofErr w:type="spellStart"/>
      <w:r w:rsidRPr="00655BDE">
        <w:rPr>
          <w:rFonts w:ascii="Times New Roman" w:hAnsi="Times New Roman" w:cs="Times New Roman"/>
          <w:color w:val="000000"/>
        </w:rPr>
        <w:t>от</w:t>
      </w:r>
      <w:proofErr w:type="spellEnd"/>
      <w:r w:rsidRPr="00655BDE">
        <w:rPr>
          <w:rFonts w:ascii="Times New Roman" w:hAnsi="Times New Roman" w:cs="Times New Roman"/>
          <w:color w:val="000000"/>
        </w:rPr>
        <w:t xml:space="preserve"> 22 </w:t>
      </w:r>
      <w:proofErr w:type="spellStart"/>
      <w:r w:rsidRPr="00655BDE">
        <w:rPr>
          <w:rFonts w:ascii="Times New Roman" w:hAnsi="Times New Roman" w:cs="Times New Roman"/>
          <w:color w:val="000000"/>
        </w:rPr>
        <w:t>март</w:t>
      </w:r>
      <w:proofErr w:type="spellEnd"/>
      <w:r w:rsidRPr="00655BDE">
        <w:rPr>
          <w:rFonts w:ascii="Times New Roman" w:hAnsi="Times New Roman" w:cs="Times New Roman"/>
          <w:color w:val="000000"/>
        </w:rPr>
        <w:t xml:space="preserve"> 2020г.</w:t>
      </w:r>
      <w:r w:rsidRPr="00655BDE">
        <w:rPr>
          <w:rFonts w:ascii="Times New Roman" w:hAnsi="Times New Roman" w:cs="Times New Roman"/>
          <w:color w:val="000000"/>
          <w:lang w:val="bg-BG"/>
        </w:rPr>
        <w:t>)</w:t>
      </w:r>
      <w:r w:rsidRPr="00655BDE">
        <w:rPr>
          <w:rStyle w:val="FootnoteReference"/>
          <w:rFonts w:ascii="Times New Roman" w:hAnsi="Times New Roman" w:cs="Times New Roman"/>
          <w:lang w:val="bg-BG"/>
        </w:rPr>
        <w:footnoteReference w:id="7"/>
      </w:r>
      <w:r w:rsidRPr="00655BDE">
        <w:rPr>
          <w:rFonts w:ascii="Times New Roman" w:hAnsi="Times New Roman" w:cs="Times New Roman"/>
          <w:color w:val="000000"/>
          <w:lang w:val="bg-BG"/>
        </w:rPr>
        <w:t xml:space="preserve">. </w:t>
      </w:r>
      <w:r w:rsidRPr="00655BDE">
        <w:rPr>
          <w:rFonts w:ascii="Times New Roman" w:hAnsi="Times New Roman" w:cs="Times New Roman"/>
          <w:color w:val="000000"/>
          <w:shd w:val="clear" w:color="auto" w:fill="FEFEFE"/>
          <w:lang w:val="bg-BG"/>
        </w:rPr>
        <w:t>Наредбата предвижда поетапно увеличение на размера на таксата до 95.00 лв./тон от 2022 г. и следващите, като въвежда и система за стимулиране и намаляване на размера на отчисленията за общините, които постигат целите по рециклиране на отпадъци.</w:t>
      </w:r>
    </w:p>
    <w:p w14:paraId="5DB7030B" w14:textId="77777777" w:rsidR="00BA3B5E" w:rsidRPr="00655BDE" w:rsidRDefault="00BA3B5E" w:rsidP="00655BDE">
      <w:p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В контекста на разработените и прилагани стимули за финансиране на ефективни системи за управление на отпадъците следва да се отбележи и приноса на </w:t>
      </w:r>
      <w:r w:rsidRPr="00655BDE">
        <w:rPr>
          <w:rFonts w:ascii="Times New Roman" w:eastAsia="Times New Roman" w:hAnsi="Times New Roman" w:cs="Times New Roman"/>
          <w:b/>
          <w:bCs/>
          <w:lang w:val="bg-BG"/>
        </w:rPr>
        <w:t>инструментите на ЕСИФ</w:t>
      </w:r>
      <w:r w:rsidRPr="00655BDE">
        <w:rPr>
          <w:rFonts w:ascii="Times New Roman" w:eastAsia="Times New Roman" w:hAnsi="Times New Roman" w:cs="Times New Roman"/>
          <w:lang w:val="bg-BG"/>
        </w:rPr>
        <w:t xml:space="preserve">. ОПОС е водещият източник за финансиране на публична инфраструктура в управлението на битовите отпадъци. През програмен период 2007-2013 г. по програмата са финансирани инвестиционни проекти в 20 РСУО в т.ч.: клетки на депа за битови отпадъци с общ капацитет 6 408 887 тона; инсталации за предварително третиране на смесени битови отпадъци с общ капацитет 387 065 тона/год.; инсталации за компостиране на зелени отпадъци с общ капацитет 200 667 тона/год.; инсталации за анаеробно разграждане с общ капацитет 20 000 тона/год. и др. </w:t>
      </w:r>
    </w:p>
    <w:p w14:paraId="50FC95C9" w14:textId="77777777" w:rsidR="00BA3B5E" w:rsidRPr="00655BDE" w:rsidRDefault="00BA3B5E" w:rsidP="00655BDE">
      <w:p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lastRenderedPageBreak/>
        <w:t>През периода 2014-2020 г. оперативната програма подкрепя инвестиционни проекти в 24 РСУО в т.ч.: за изграждане на инсталации за предварително третиране на отпадъци; инсталации за компостиране на зелени отпадъци и инсталации за анаеробно разграждане, рекултивация на общински депа с прекратена експлоатация.</w:t>
      </w:r>
    </w:p>
    <w:p w14:paraId="050B233A" w14:textId="77777777" w:rsidR="00BA3B5E" w:rsidRPr="00655BDE" w:rsidRDefault="00BA3B5E" w:rsidP="00655BDE">
      <w:pPr>
        <w:spacing w:before="120" w:after="120" w:line="264" w:lineRule="auto"/>
        <w:jc w:val="both"/>
        <w:rPr>
          <w:rFonts w:ascii="Times New Roman" w:eastAsia="Times New Roman" w:hAnsi="Times New Roman" w:cs="Times New Roman"/>
        </w:rPr>
      </w:pPr>
      <w:r w:rsidRPr="00655BDE">
        <w:rPr>
          <w:rFonts w:ascii="Times New Roman" w:hAnsi="Times New Roman" w:cs="Times New Roman"/>
          <w:bCs/>
          <w:noProof/>
        </w:rPr>
        <w:t xml:space="preserve">Финансирането на </w:t>
      </w:r>
      <w:r w:rsidRPr="00655BDE">
        <w:rPr>
          <w:rFonts w:ascii="Times New Roman" w:hAnsi="Times New Roman" w:cs="Times New Roman"/>
          <w:bCs/>
          <w:noProof/>
          <w:lang w:val="bg-BG"/>
        </w:rPr>
        <w:t>проекти в сектор „Управление на отпадъците“, включително рекултиваця на общински депа, неотговарящи на нормативните изисквания, изграждане на регионални депа за битови отпадъци или разширяване на съществуващи, при които са възникнали аварийни ситуации, обезвреждане на пестициди и препарати за растителна защита и др.</w:t>
      </w:r>
      <w:r w:rsidRPr="00655BDE">
        <w:rPr>
          <w:rFonts w:ascii="Times New Roman" w:hAnsi="Times New Roman" w:cs="Times New Roman"/>
          <w:bCs/>
          <w:noProof/>
        </w:rPr>
        <w:t xml:space="preserve"> е основен приоритет на </w:t>
      </w:r>
      <w:r w:rsidRPr="00655BDE">
        <w:rPr>
          <w:rFonts w:ascii="Times New Roman" w:hAnsi="Times New Roman" w:cs="Times New Roman"/>
          <w:b/>
          <w:noProof/>
        </w:rPr>
        <w:t>Предприятието по управление на дейностите по опазване на околната среда</w:t>
      </w:r>
      <w:r w:rsidRPr="00655BDE">
        <w:rPr>
          <w:rFonts w:ascii="Times New Roman" w:hAnsi="Times New Roman" w:cs="Times New Roman"/>
        </w:rPr>
        <w:t xml:space="preserve"> </w:t>
      </w:r>
      <w:r w:rsidRPr="00655BDE">
        <w:rPr>
          <w:rFonts w:ascii="Times New Roman" w:hAnsi="Times New Roman" w:cs="Times New Roman"/>
          <w:lang w:val="bg-BG"/>
        </w:rPr>
        <w:t>з</w:t>
      </w:r>
      <w:r w:rsidRPr="00655BDE">
        <w:rPr>
          <w:rFonts w:ascii="Times New Roman" w:hAnsi="Times New Roman" w:cs="Times New Roman"/>
        </w:rPr>
        <w:t xml:space="preserve">а </w:t>
      </w:r>
      <w:proofErr w:type="spellStart"/>
      <w:r w:rsidRPr="00655BDE">
        <w:rPr>
          <w:rFonts w:ascii="Times New Roman" w:hAnsi="Times New Roman" w:cs="Times New Roman"/>
        </w:rPr>
        <w:t>периода</w:t>
      </w:r>
      <w:proofErr w:type="spellEnd"/>
      <w:r w:rsidRPr="00655BDE">
        <w:rPr>
          <w:rFonts w:ascii="Times New Roman" w:hAnsi="Times New Roman" w:cs="Times New Roman"/>
        </w:rPr>
        <w:t xml:space="preserve"> 201</w:t>
      </w:r>
      <w:r w:rsidRPr="00655BDE">
        <w:rPr>
          <w:rFonts w:ascii="Times New Roman" w:hAnsi="Times New Roman" w:cs="Times New Roman"/>
          <w:lang w:val="bg-BG"/>
        </w:rPr>
        <w:t>0</w:t>
      </w:r>
      <w:r w:rsidRPr="00655BDE">
        <w:rPr>
          <w:rFonts w:ascii="Times New Roman" w:hAnsi="Times New Roman" w:cs="Times New Roman"/>
        </w:rPr>
        <w:t xml:space="preserve"> – 201</w:t>
      </w:r>
      <w:r w:rsidRPr="00655BDE">
        <w:rPr>
          <w:rFonts w:ascii="Times New Roman" w:hAnsi="Times New Roman" w:cs="Times New Roman"/>
          <w:lang w:val="bg-BG"/>
        </w:rPr>
        <w:t>8</w:t>
      </w:r>
      <w:r w:rsidRPr="00655BDE">
        <w:rPr>
          <w:rFonts w:ascii="Times New Roman" w:hAnsi="Times New Roman" w:cs="Times New Roman"/>
        </w:rPr>
        <w:t xml:space="preserve"> г. </w:t>
      </w:r>
      <w:r w:rsidRPr="00655BDE">
        <w:rPr>
          <w:rFonts w:ascii="Times New Roman" w:hAnsi="Times New Roman" w:cs="Times New Roman"/>
          <w:lang w:val="bg-BG"/>
        </w:rPr>
        <w:t>Б</w:t>
      </w:r>
      <w:proofErr w:type="spellStart"/>
      <w:r w:rsidRPr="00655BDE">
        <w:rPr>
          <w:rFonts w:ascii="Times New Roman" w:hAnsi="Times New Roman" w:cs="Times New Roman"/>
        </w:rPr>
        <w:t>езвъзмездната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финансова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помощ</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общини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компонент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r w:rsidRPr="00655BDE">
        <w:rPr>
          <w:rFonts w:ascii="Times New Roman" w:hAnsi="Times New Roman" w:cs="Times New Roman"/>
          <w:lang w:val="bg-BG"/>
        </w:rPr>
        <w:t>за периода е</w:t>
      </w:r>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стойност</w:t>
      </w:r>
      <w:proofErr w:type="spellEnd"/>
      <w:r w:rsidRPr="00655BDE">
        <w:rPr>
          <w:rFonts w:ascii="Times New Roman" w:hAnsi="Times New Roman" w:cs="Times New Roman"/>
        </w:rPr>
        <w:t xml:space="preserve"> 1</w:t>
      </w:r>
      <w:r w:rsidRPr="00655BDE">
        <w:rPr>
          <w:rFonts w:ascii="Times New Roman" w:hAnsi="Times New Roman" w:cs="Times New Roman"/>
          <w:lang w:val="bg-BG"/>
        </w:rPr>
        <w:t>87 369 818</w:t>
      </w:r>
      <w:r w:rsidRPr="00655BDE">
        <w:rPr>
          <w:rFonts w:ascii="Times New Roman" w:hAnsi="Times New Roman" w:cs="Times New Roman"/>
        </w:rPr>
        <w:t xml:space="preserve"> </w:t>
      </w:r>
      <w:proofErr w:type="spellStart"/>
      <w:r w:rsidRPr="00655BDE">
        <w:rPr>
          <w:rFonts w:ascii="Times New Roman" w:hAnsi="Times New Roman" w:cs="Times New Roman"/>
        </w:rPr>
        <w:t>лв</w:t>
      </w:r>
      <w:proofErr w:type="spellEnd"/>
      <w:r w:rsidRPr="00655BDE">
        <w:rPr>
          <w:rFonts w:ascii="Times New Roman" w:hAnsi="Times New Roman" w:cs="Times New Roman"/>
        </w:rPr>
        <w:t>.</w:t>
      </w:r>
    </w:p>
    <w:p w14:paraId="17532E6E" w14:textId="77777777" w:rsidR="00BA3B5E" w:rsidRPr="00655BDE" w:rsidRDefault="00BA3B5E"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Подкрепата за постигане на съответствие с пакета от мерки на ЕС за кръгова икономика и повишаване на ресурсната ефективност е основен акцент и в Програмата за околна среда и изменение на климата на </w:t>
      </w:r>
      <w:r w:rsidRPr="00655BDE">
        <w:rPr>
          <w:rFonts w:ascii="Times New Roman" w:hAnsi="Times New Roman" w:cs="Times New Roman"/>
          <w:b/>
          <w:bCs/>
          <w:lang w:val="bg-BG"/>
        </w:rPr>
        <w:t>Финансовия механизъм на Европейското икономическо пространство</w:t>
      </w:r>
      <w:r w:rsidRPr="00655BDE">
        <w:rPr>
          <w:rFonts w:ascii="Times New Roman" w:hAnsi="Times New Roman" w:cs="Times New Roman"/>
          <w:lang w:val="bg-BG"/>
        </w:rPr>
        <w:t xml:space="preserve">. Общини, изследователски институции и неправителствени организации имат възможност да се възползват от финансова подкрепа за осъществяване на пилотни и иновативни проекти за устойчиво използване на ресурсите и ресурсна ефективност, намаляване на морските отпадъци. </w:t>
      </w:r>
    </w:p>
    <w:p w14:paraId="6D28FAF0" w14:textId="77777777" w:rsidR="00E3017F" w:rsidRPr="00655BDE" w:rsidRDefault="00E3017F" w:rsidP="00E21F3C">
      <w:pPr>
        <w:pStyle w:val="Heading2"/>
      </w:pPr>
      <w:bookmarkStart w:id="16" w:name="_Toc72909888"/>
      <w:r w:rsidRPr="00655BDE">
        <w:t>Състояние и тенденции</w:t>
      </w:r>
      <w:bookmarkEnd w:id="16"/>
      <w:r w:rsidRPr="00655BDE">
        <w:t xml:space="preserve"> </w:t>
      </w:r>
    </w:p>
    <w:p w14:paraId="582FC63E" w14:textId="77777777" w:rsidR="00FE776F" w:rsidRPr="00655BDE" w:rsidRDefault="003E386A" w:rsidP="00FE776F">
      <w:pPr>
        <w:spacing w:line="276" w:lineRule="auto"/>
        <w:rPr>
          <w:rFonts w:ascii="Times New Roman" w:hAnsi="Times New Roman" w:cs="Times New Roman"/>
          <w:b/>
          <w:bCs/>
          <w:lang w:val="bg-BG"/>
        </w:rPr>
      </w:pPr>
      <w:r w:rsidRPr="00655BDE">
        <w:rPr>
          <w:rFonts w:ascii="Times New Roman" w:hAnsi="Times New Roman" w:cs="Times New Roman"/>
          <w:b/>
          <w:bCs/>
          <w:lang w:val="bg-BG"/>
        </w:rPr>
        <w:t>О</w:t>
      </w:r>
      <w:r w:rsidR="00FE776F" w:rsidRPr="00655BDE">
        <w:rPr>
          <w:rFonts w:ascii="Times New Roman" w:hAnsi="Times New Roman" w:cs="Times New Roman"/>
          <w:b/>
          <w:bCs/>
          <w:lang w:val="bg-BG"/>
        </w:rPr>
        <w:t>бразувани отпадъци по видове и източници</w:t>
      </w:r>
    </w:p>
    <w:p w14:paraId="3BD51882" w14:textId="77777777" w:rsidR="00FE776F" w:rsidRPr="00655BDE" w:rsidRDefault="00FE776F" w:rsidP="00FE776F">
      <w:pPr>
        <w:spacing w:line="276" w:lineRule="auto"/>
        <w:jc w:val="both"/>
        <w:rPr>
          <w:rFonts w:ascii="Times New Roman" w:hAnsi="Times New Roman" w:cs="Times New Roman"/>
          <w:lang w:val="bg-BG"/>
        </w:rPr>
      </w:pPr>
      <w:r w:rsidRPr="00655BDE">
        <w:rPr>
          <w:rFonts w:ascii="Times New Roman" w:hAnsi="Times New Roman" w:cs="Times New Roman"/>
          <w:lang w:val="bg-BG"/>
        </w:rPr>
        <w:t>Общо образуваните отпадъци през 2018 г. на човек от населението за страната са 2 527 кг., при средно за ЕС – 1 820 кг. По този показател България се нарежда на трето място след Естония и Белгия.</w:t>
      </w:r>
      <w:r w:rsidRPr="00655BDE">
        <w:rPr>
          <w:rStyle w:val="FootnoteReference"/>
          <w:rFonts w:ascii="Times New Roman" w:hAnsi="Times New Roman" w:cs="Times New Roman"/>
          <w:lang w:val="bg-BG"/>
        </w:rPr>
        <w:footnoteReference w:id="8"/>
      </w:r>
    </w:p>
    <w:p w14:paraId="791A00D9" w14:textId="77777777" w:rsidR="003E386A" w:rsidRPr="00655BDE" w:rsidRDefault="00FE776F" w:rsidP="003E386A">
      <w:pPr>
        <w:spacing w:after="120" w:line="276" w:lineRule="auto"/>
        <w:jc w:val="both"/>
        <w:rPr>
          <w:rFonts w:ascii="Times New Roman" w:hAnsi="Times New Roman" w:cs="Times New Roman"/>
          <w:lang w:val="bg-BG"/>
        </w:rPr>
      </w:pPr>
      <w:r w:rsidRPr="00655BDE">
        <w:rPr>
          <w:rFonts w:ascii="Times New Roman" w:hAnsi="Times New Roman" w:cs="Times New Roman"/>
          <w:lang w:val="bg-BG"/>
        </w:rPr>
        <w:t xml:space="preserve">Образуваните </w:t>
      </w:r>
      <w:r w:rsidRPr="00655BDE">
        <w:rPr>
          <w:rFonts w:ascii="Times New Roman" w:hAnsi="Times New Roman" w:cs="Times New Roman"/>
          <w:b/>
          <w:bCs/>
          <w:lang w:val="bg-BG"/>
        </w:rPr>
        <w:t>битови отпадъци</w:t>
      </w:r>
      <w:r w:rsidRPr="00655BDE">
        <w:rPr>
          <w:rFonts w:ascii="Times New Roman" w:hAnsi="Times New Roman" w:cs="Times New Roman"/>
          <w:lang w:val="bg-BG"/>
        </w:rPr>
        <w:t xml:space="preserve"> за 2018 г. са 2 862 kt., като за периода 2010 – 2018 г. се наблюдава трайна тенденция към намаляване на образуваните отпадъци. От 2011 г. до 2016 г. количествата на образуваните битови отпадъци остава относително постоянна, с изключение на 2017 г. </w:t>
      </w:r>
    </w:p>
    <w:p w14:paraId="759F8BED" w14:textId="77777777" w:rsidR="00FE776F" w:rsidRPr="00655BDE" w:rsidRDefault="00FE776F" w:rsidP="003E386A">
      <w:pPr>
        <w:spacing w:after="120" w:line="276" w:lineRule="auto"/>
        <w:jc w:val="both"/>
        <w:rPr>
          <w:rFonts w:ascii="Times New Roman" w:hAnsi="Times New Roman" w:cs="Times New Roman"/>
          <w:lang w:val="bg-BG"/>
        </w:rPr>
      </w:pPr>
      <w:r w:rsidRPr="00655BDE">
        <w:rPr>
          <w:rFonts w:ascii="Times New Roman" w:hAnsi="Times New Roman" w:cs="Times New Roman"/>
          <w:lang w:val="bg-BG"/>
        </w:rPr>
        <w:t>Данните за количествата директно депонирани отпадъци демонстрират същата тенденция. През 2018 г. депонираните битови отпадъци възлизат на 834 kt., в сравнение с 2 568 kt. през 2011 г.</w:t>
      </w:r>
    </w:p>
    <w:p w14:paraId="04C7F01F" w14:textId="77777777" w:rsidR="00FE776F" w:rsidRPr="00655BDE" w:rsidRDefault="00FE776F" w:rsidP="00FE776F">
      <w:pPr>
        <w:shd w:val="clear" w:color="auto" w:fill="FFFFFF"/>
        <w:spacing w:before="120" w:after="120" w:line="276" w:lineRule="auto"/>
        <w:jc w:val="both"/>
        <w:rPr>
          <w:rFonts w:ascii="Times New Roman" w:hAnsi="Times New Roman" w:cs="Times New Roman"/>
          <w:lang w:val="bg-BG"/>
        </w:rPr>
      </w:pPr>
      <w:r w:rsidRPr="00655BDE">
        <w:rPr>
          <w:rFonts w:ascii="Times New Roman" w:hAnsi="Times New Roman" w:cs="Times New Roman"/>
          <w:lang w:val="bg-BG"/>
        </w:rPr>
        <w:t>В сравнителен план, България е под средното за Европейския съюз ниво на образуване на битови отпадъци на жител на година. Данните за 2018 г. за този показател за България са 407 кг./ човек, в сравнение с регистрираните 489 кг/човек за ЕС-28.</w:t>
      </w:r>
      <w:r w:rsidRPr="00655BDE">
        <w:rPr>
          <w:rStyle w:val="FootnoteReference"/>
          <w:rFonts w:ascii="Times New Roman" w:hAnsi="Times New Roman" w:cs="Times New Roman"/>
          <w:lang w:val="bg-BG"/>
        </w:rPr>
        <w:footnoteReference w:id="9"/>
      </w:r>
    </w:p>
    <w:p w14:paraId="055393D5" w14:textId="77777777" w:rsidR="00FE776F" w:rsidRPr="00F834BF" w:rsidRDefault="00F834BF" w:rsidP="00F834BF">
      <w:pPr>
        <w:pStyle w:val="Caption"/>
        <w:rPr>
          <w:rFonts w:ascii="Times New Roman" w:hAnsi="Times New Roman" w:cs="Times New Roman"/>
          <w:b w:val="0"/>
          <w:bCs w:val="0"/>
          <w:i/>
          <w:color w:val="auto"/>
          <w:sz w:val="22"/>
          <w:szCs w:val="22"/>
          <w:lang w:val="bg-BG"/>
        </w:rPr>
      </w:pPr>
      <w:bookmarkStart w:id="17" w:name="_Toc72919660"/>
      <w:r w:rsidRPr="00F834BF">
        <w:rPr>
          <w:rFonts w:ascii="Times New Roman" w:hAnsi="Times New Roman" w:cs="Times New Roman"/>
          <w:b w:val="0"/>
          <w:bCs w:val="0"/>
          <w:i/>
          <w:color w:val="auto"/>
          <w:sz w:val="22"/>
          <w:szCs w:val="22"/>
          <w:lang w:val="bg-BG"/>
        </w:rPr>
        <w:t xml:space="preserve">Таблица </w:t>
      </w:r>
      <w:r w:rsidRPr="00F834BF">
        <w:rPr>
          <w:rFonts w:ascii="Times New Roman" w:hAnsi="Times New Roman" w:cs="Times New Roman"/>
          <w:b w:val="0"/>
          <w:bCs w:val="0"/>
          <w:i/>
          <w:color w:val="auto"/>
          <w:sz w:val="22"/>
          <w:szCs w:val="22"/>
          <w:lang w:val="bg-BG"/>
        </w:rPr>
        <w:fldChar w:fldCharType="begin"/>
      </w:r>
      <w:r w:rsidRPr="00F834BF">
        <w:rPr>
          <w:rFonts w:ascii="Times New Roman" w:hAnsi="Times New Roman" w:cs="Times New Roman"/>
          <w:b w:val="0"/>
          <w:bCs w:val="0"/>
          <w:i/>
          <w:color w:val="auto"/>
          <w:sz w:val="22"/>
          <w:szCs w:val="22"/>
          <w:lang w:val="bg-BG"/>
        </w:rPr>
        <w:instrText xml:space="preserve"> SEQ Таблица \* ARABIC </w:instrText>
      </w:r>
      <w:r w:rsidRPr="00F834BF">
        <w:rPr>
          <w:rFonts w:ascii="Times New Roman" w:hAnsi="Times New Roman" w:cs="Times New Roman"/>
          <w:b w:val="0"/>
          <w:bCs w:val="0"/>
          <w:i/>
          <w:color w:val="auto"/>
          <w:sz w:val="22"/>
          <w:szCs w:val="22"/>
          <w:lang w:val="bg-BG"/>
        </w:rPr>
        <w:fldChar w:fldCharType="separate"/>
      </w:r>
      <w:r w:rsidR="00AF353F">
        <w:rPr>
          <w:rFonts w:ascii="Times New Roman" w:hAnsi="Times New Roman" w:cs="Times New Roman"/>
          <w:b w:val="0"/>
          <w:bCs w:val="0"/>
          <w:i/>
          <w:noProof/>
          <w:color w:val="auto"/>
          <w:sz w:val="22"/>
          <w:szCs w:val="22"/>
          <w:lang w:val="bg-BG"/>
        </w:rPr>
        <w:t>1</w:t>
      </w:r>
      <w:r w:rsidRPr="00F834BF">
        <w:rPr>
          <w:rFonts w:ascii="Times New Roman" w:hAnsi="Times New Roman" w:cs="Times New Roman"/>
          <w:b w:val="0"/>
          <w:bCs w:val="0"/>
          <w:i/>
          <w:color w:val="auto"/>
          <w:sz w:val="22"/>
          <w:szCs w:val="22"/>
          <w:lang w:val="bg-BG"/>
        </w:rPr>
        <w:fldChar w:fldCharType="end"/>
      </w:r>
      <w:r w:rsidRPr="00F834BF">
        <w:rPr>
          <w:rFonts w:ascii="Times New Roman" w:hAnsi="Times New Roman" w:cs="Times New Roman"/>
          <w:b w:val="0"/>
          <w:bCs w:val="0"/>
          <w:i/>
          <w:color w:val="auto"/>
          <w:sz w:val="22"/>
          <w:szCs w:val="22"/>
          <w:lang w:val="bg-BG"/>
        </w:rPr>
        <w:t xml:space="preserve"> </w:t>
      </w:r>
      <w:r w:rsidR="00FE776F" w:rsidRPr="00F834BF">
        <w:rPr>
          <w:rFonts w:ascii="Times New Roman" w:hAnsi="Times New Roman" w:cs="Times New Roman"/>
          <w:b w:val="0"/>
          <w:bCs w:val="0"/>
          <w:i/>
          <w:color w:val="auto"/>
          <w:sz w:val="22"/>
          <w:szCs w:val="22"/>
          <w:lang w:val="bg-BG"/>
        </w:rPr>
        <w:t>Образувани битови отпадъци общо</w:t>
      </w:r>
      <w:bookmarkEnd w:id="17"/>
    </w:p>
    <w:tbl>
      <w:tblPr>
        <w:tblW w:w="5002" w:type="pct"/>
        <w:tblInd w:w="-5" w:type="dxa"/>
        <w:tblLook w:val="04A0" w:firstRow="1" w:lastRow="0" w:firstColumn="1" w:lastColumn="0" w:noHBand="0" w:noVBand="1"/>
      </w:tblPr>
      <w:tblGrid>
        <w:gridCol w:w="4858"/>
        <w:gridCol w:w="1096"/>
        <w:gridCol w:w="851"/>
        <w:gridCol w:w="851"/>
        <w:gridCol w:w="851"/>
        <w:gridCol w:w="847"/>
      </w:tblGrid>
      <w:tr w:rsidR="00FE776F" w:rsidRPr="00DC6B64" w14:paraId="202D87E6" w14:textId="77777777" w:rsidTr="003A3C8A">
        <w:trPr>
          <w:trHeight w:val="283"/>
        </w:trPr>
        <w:tc>
          <w:tcPr>
            <w:tcW w:w="2595"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725AF930" w14:textId="77777777" w:rsidR="00FE776F" w:rsidRPr="00536E7C" w:rsidRDefault="00FE776F" w:rsidP="003A3C8A">
            <w:pPr>
              <w:spacing w:after="0" w:line="240" w:lineRule="auto"/>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ОБРАЗУВАНИ БИТОВИ ОТПАДЪЦИ</w:t>
            </w:r>
          </w:p>
        </w:tc>
        <w:tc>
          <w:tcPr>
            <w:tcW w:w="586"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2716AA17" w14:textId="77777777" w:rsidR="00FE776F" w:rsidRPr="00536E7C" w:rsidRDefault="00FE776F" w:rsidP="003A3C8A">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sz w:val="20"/>
                <w:szCs w:val="20"/>
                <w:lang w:val="bg-BG"/>
              </w:rPr>
              <w:t>Мярка</w:t>
            </w:r>
          </w:p>
        </w:tc>
        <w:tc>
          <w:tcPr>
            <w:tcW w:w="455"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2B87ED61"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2015</w:t>
            </w:r>
          </w:p>
        </w:tc>
        <w:tc>
          <w:tcPr>
            <w:tcW w:w="455"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18AA5E7C"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2016</w:t>
            </w:r>
          </w:p>
        </w:tc>
        <w:tc>
          <w:tcPr>
            <w:tcW w:w="455"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5AF77005"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2017</w:t>
            </w:r>
          </w:p>
        </w:tc>
        <w:tc>
          <w:tcPr>
            <w:tcW w:w="453"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hideMark/>
          </w:tcPr>
          <w:p w14:paraId="619159C3"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2018</w:t>
            </w:r>
          </w:p>
        </w:tc>
      </w:tr>
      <w:tr w:rsidR="00FE776F" w:rsidRPr="00DC6B64" w14:paraId="49FCD59D" w14:textId="77777777" w:rsidTr="003A3C8A">
        <w:trPr>
          <w:trHeight w:val="283"/>
        </w:trPr>
        <w:tc>
          <w:tcPr>
            <w:tcW w:w="2595" w:type="pct"/>
            <w:tcBorders>
              <w:top w:val="single" w:sz="4" w:space="0" w:color="auto"/>
              <w:left w:val="single" w:sz="8" w:space="0" w:color="A6A6A6"/>
              <w:bottom w:val="single" w:sz="8" w:space="0" w:color="A6A6A6"/>
              <w:right w:val="single" w:sz="8" w:space="0" w:color="A6A6A6"/>
            </w:tcBorders>
            <w:shd w:val="clear" w:color="auto" w:fill="auto"/>
            <w:vAlign w:val="bottom"/>
            <w:hideMark/>
          </w:tcPr>
          <w:p w14:paraId="0DC35847"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Общо образувани битови отпадъци</w:t>
            </w:r>
          </w:p>
        </w:tc>
        <w:tc>
          <w:tcPr>
            <w:tcW w:w="586" w:type="pct"/>
            <w:tcBorders>
              <w:top w:val="single" w:sz="4" w:space="0" w:color="auto"/>
              <w:left w:val="nil"/>
              <w:bottom w:val="single" w:sz="8" w:space="0" w:color="A6A6A6"/>
              <w:right w:val="single" w:sz="8" w:space="0" w:color="A6A6A6"/>
            </w:tcBorders>
            <w:shd w:val="clear" w:color="auto" w:fill="auto"/>
            <w:vAlign w:val="bottom"/>
            <w:hideMark/>
          </w:tcPr>
          <w:p w14:paraId="1A1E477B"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хил.тона</w:t>
            </w:r>
          </w:p>
        </w:tc>
        <w:tc>
          <w:tcPr>
            <w:tcW w:w="455" w:type="pct"/>
            <w:tcBorders>
              <w:top w:val="single" w:sz="4" w:space="0" w:color="auto"/>
              <w:left w:val="nil"/>
              <w:bottom w:val="single" w:sz="8" w:space="0" w:color="A6A6A6"/>
              <w:right w:val="single" w:sz="8" w:space="0" w:color="A6A6A6"/>
            </w:tcBorders>
            <w:shd w:val="clear" w:color="auto" w:fill="auto"/>
            <w:vAlign w:val="bottom"/>
            <w:hideMark/>
          </w:tcPr>
          <w:p w14:paraId="16A8E931"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3011</w:t>
            </w:r>
          </w:p>
        </w:tc>
        <w:tc>
          <w:tcPr>
            <w:tcW w:w="455" w:type="pct"/>
            <w:tcBorders>
              <w:top w:val="single" w:sz="4" w:space="0" w:color="auto"/>
              <w:left w:val="nil"/>
              <w:bottom w:val="single" w:sz="8" w:space="0" w:color="A6A6A6"/>
              <w:right w:val="single" w:sz="8" w:space="0" w:color="A6A6A6"/>
            </w:tcBorders>
            <w:shd w:val="clear" w:color="auto" w:fill="auto"/>
            <w:vAlign w:val="bottom"/>
            <w:hideMark/>
          </w:tcPr>
          <w:p w14:paraId="6906B66B"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2881</w:t>
            </w:r>
          </w:p>
        </w:tc>
        <w:tc>
          <w:tcPr>
            <w:tcW w:w="455" w:type="pct"/>
            <w:tcBorders>
              <w:top w:val="single" w:sz="4" w:space="0" w:color="auto"/>
              <w:left w:val="nil"/>
              <w:bottom w:val="single" w:sz="8" w:space="0" w:color="A6A6A6"/>
              <w:right w:val="single" w:sz="8" w:space="0" w:color="A6A6A6"/>
            </w:tcBorders>
            <w:shd w:val="clear" w:color="auto" w:fill="auto"/>
            <w:vAlign w:val="bottom"/>
            <w:hideMark/>
          </w:tcPr>
          <w:p w14:paraId="41911ADC"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3080</w:t>
            </w:r>
          </w:p>
        </w:tc>
        <w:tc>
          <w:tcPr>
            <w:tcW w:w="453" w:type="pct"/>
            <w:tcBorders>
              <w:top w:val="single" w:sz="4" w:space="0" w:color="auto"/>
              <w:left w:val="nil"/>
              <w:bottom w:val="single" w:sz="8" w:space="0" w:color="A6A6A6"/>
              <w:right w:val="single" w:sz="8" w:space="0" w:color="A6A6A6"/>
            </w:tcBorders>
            <w:shd w:val="clear" w:color="auto" w:fill="auto"/>
            <w:vAlign w:val="bottom"/>
            <w:hideMark/>
          </w:tcPr>
          <w:p w14:paraId="76C04AA7"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2862</w:t>
            </w:r>
          </w:p>
        </w:tc>
      </w:tr>
      <w:tr w:rsidR="00FE776F" w:rsidRPr="00DC6B64" w14:paraId="3978FFC5" w14:textId="77777777" w:rsidTr="003A3C8A">
        <w:trPr>
          <w:trHeight w:val="283"/>
        </w:trPr>
        <w:tc>
          <w:tcPr>
            <w:tcW w:w="2595" w:type="pct"/>
            <w:tcBorders>
              <w:top w:val="nil"/>
              <w:left w:val="single" w:sz="8" w:space="0" w:color="A6A6A6"/>
              <w:bottom w:val="single" w:sz="8" w:space="0" w:color="A6A6A6"/>
              <w:right w:val="single" w:sz="8" w:space="0" w:color="A6A6A6"/>
            </w:tcBorders>
            <w:shd w:val="clear" w:color="auto" w:fill="auto"/>
            <w:vAlign w:val="bottom"/>
            <w:hideMark/>
          </w:tcPr>
          <w:p w14:paraId="039BC613"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Директно депонирани битови отпадъци</w:t>
            </w:r>
          </w:p>
        </w:tc>
        <w:tc>
          <w:tcPr>
            <w:tcW w:w="586" w:type="pct"/>
            <w:tcBorders>
              <w:top w:val="nil"/>
              <w:left w:val="nil"/>
              <w:bottom w:val="single" w:sz="8" w:space="0" w:color="A6A6A6"/>
              <w:right w:val="single" w:sz="8" w:space="0" w:color="A6A6A6"/>
            </w:tcBorders>
            <w:shd w:val="clear" w:color="auto" w:fill="auto"/>
            <w:vAlign w:val="bottom"/>
            <w:hideMark/>
          </w:tcPr>
          <w:p w14:paraId="0A0A78CF"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хил.тона</w:t>
            </w:r>
          </w:p>
        </w:tc>
        <w:tc>
          <w:tcPr>
            <w:tcW w:w="455" w:type="pct"/>
            <w:tcBorders>
              <w:top w:val="nil"/>
              <w:left w:val="nil"/>
              <w:bottom w:val="single" w:sz="8" w:space="0" w:color="A6A6A6"/>
              <w:right w:val="single" w:sz="8" w:space="0" w:color="A6A6A6"/>
            </w:tcBorders>
            <w:shd w:val="clear" w:color="auto" w:fill="auto"/>
            <w:vAlign w:val="bottom"/>
            <w:hideMark/>
          </w:tcPr>
          <w:p w14:paraId="4EC94FA0"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1856</w:t>
            </w:r>
          </w:p>
        </w:tc>
        <w:tc>
          <w:tcPr>
            <w:tcW w:w="455" w:type="pct"/>
            <w:tcBorders>
              <w:top w:val="nil"/>
              <w:left w:val="nil"/>
              <w:bottom w:val="single" w:sz="8" w:space="0" w:color="A6A6A6"/>
              <w:right w:val="single" w:sz="8" w:space="0" w:color="A6A6A6"/>
            </w:tcBorders>
            <w:shd w:val="clear" w:color="auto" w:fill="auto"/>
            <w:vAlign w:val="bottom"/>
            <w:hideMark/>
          </w:tcPr>
          <w:p w14:paraId="1C009055"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1383</w:t>
            </w:r>
          </w:p>
        </w:tc>
        <w:tc>
          <w:tcPr>
            <w:tcW w:w="455" w:type="pct"/>
            <w:tcBorders>
              <w:top w:val="nil"/>
              <w:left w:val="nil"/>
              <w:bottom w:val="single" w:sz="8" w:space="0" w:color="A6A6A6"/>
              <w:right w:val="single" w:sz="8" w:space="0" w:color="A6A6A6"/>
            </w:tcBorders>
            <w:shd w:val="clear" w:color="auto" w:fill="auto"/>
            <w:vAlign w:val="bottom"/>
            <w:hideMark/>
          </w:tcPr>
          <w:p w14:paraId="5CADD33C"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1142</w:t>
            </w:r>
          </w:p>
        </w:tc>
        <w:tc>
          <w:tcPr>
            <w:tcW w:w="453" w:type="pct"/>
            <w:tcBorders>
              <w:top w:val="nil"/>
              <w:left w:val="nil"/>
              <w:bottom w:val="single" w:sz="8" w:space="0" w:color="A6A6A6"/>
              <w:right w:val="single" w:sz="8" w:space="0" w:color="A6A6A6"/>
            </w:tcBorders>
            <w:shd w:val="clear" w:color="auto" w:fill="auto"/>
            <w:vAlign w:val="bottom"/>
            <w:hideMark/>
          </w:tcPr>
          <w:p w14:paraId="138D9425"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834</w:t>
            </w:r>
          </w:p>
        </w:tc>
      </w:tr>
      <w:tr w:rsidR="00FE776F" w:rsidRPr="00DC6B64" w14:paraId="3A9EC3FD" w14:textId="77777777" w:rsidTr="003A3C8A">
        <w:trPr>
          <w:trHeight w:val="283"/>
        </w:trPr>
        <w:tc>
          <w:tcPr>
            <w:tcW w:w="2595" w:type="pct"/>
            <w:tcBorders>
              <w:top w:val="nil"/>
              <w:left w:val="single" w:sz="8" w:space="0" w:color="A6A6A6"/>
              <w:bottom w:val="single" w:sz="8" w:space="0" w:color="A6A6A6"/>
              <w:right w:val="single" w:sz="8" w:space="0" w:color="A6A6A6"/>
            </w:tcBorders>
            <w:shd w:val="clear" w:color="auto" w:fill="auto"/>
            <w:vAlign w:val="bottom"/>
            <w:hideMark/>
          </w:tcPr>
          <w:p w14:paraId="71F90879"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lastRenderedPageBreak/>
              <w:t>Предадени за предварително третиране битови отпадъци</w:t>
            </w:r>
          </w:p>
        </w:tc>
        <w:tc>
          <w:tcPr>
            <w:tcW w:w="586" w:type="pct"/>
            <w:tcBorders>
              <w:top w:val="nil"/>
              <w:left w:val="nil"/>
              <w:bottom w:val="single" w:sz="8" w:space="0" w:color="A6A6A6"/>
              <w:right w:val="single" w:sz="8" w:space="0" w:color="A6A6A6"/>
            </w:tcBorders>
            <w:shd w:val="clear" w:color="auto" w:fill="auto"/>
            <w:vAlign w:val="bottom"/>
            <w:hideMark/>
          </w:tcPr>
          <w:p w14:paraId="79C6F6F9"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хил.тона</w:t>
            </w:r>
          </w:p>
        </w:tc>
        <w:tc>
          <w:tcPr>
            <w:tcW w:w="455" w:type="pct"/>
            <w:tcBorders>
              <w:top w:val="nil"/>
              <w:left w:val="nil"/>
              <w:bottom w:val="single" w:sz="8" w:space="0" w:color="A6A6A6"/>
              <w:right w:val="single" w:sz="8" w:space="0" w:color="A6A6A6"/>
            </w:tcBorders>
            <w:shd w:val="clear" w:color="auto" w:fill="auto"/>
            <w:vAlign w:val="bottom"/>
            <w:hideMark/>
          </w:tcPr>
          <w:p w14:paraId="60FDB9BF"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1002</w:t>
            </w:r>
          </w:p>
        </w:tc>
        <w:tc>
          <w:tcPr>
            <w:tcW w:w="455" w:type="pct"/>
            <w:tcBorders>
              <w:top w:val="nil"/>
              <w:left w:val="nil"/>
              <w:bottom w:val="single" w:sz="8" w:space="0" w:color="A6A6A6"/>
              <w:right w:val="single" w:sz="8" w:space="0" w:color="A6A6A6"/>
            </w:tcBorders>
            <w:shd w:val="clear" w:color="auto" w:fill="auto"/>
            <w:vAlign w:val="bottom"/>
            <w:hideMark/>
          </w:tcPr>
          <w:p w14:paraId="00CBC801"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1418</w:t>
            </w:r>
          </w:p>
        </w:tc>
        <w:tc>
          <w:tcPr>
            <w:tcW w:w="455" w:type="pct"/>
            <w:tcBorders>
              <w:top w:val="nil"/>
              <w:left w:val="nil"/>
              <w:bottom w:val="single" w:sz="8" w:space="0" w:color="A6A6A6"/>
              <w:right w:val="single" w:sz="8" w:space="0" w:color="A6A6A6"/>
            </w:tcBorders>
            <w:shd w:val="clear" w:color="auto" w:fill="auto"/>
            <w:vAlign w:val="bottom"/>
            <w:hideMark/>
          </w:tcPr>
          <w:p w14:paraId="24C48C42"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1789</w:t>
            </w:r>
          </w:p>
        </w:tc>
        <w:tc>
          <w:tcPr>
            <w:tcW w:w="453" w:type="pct"/>
            <w:tcBorders>
              <w:top w:val="nil"/>
              <w:left w:val="nil"/>
              <w:bottom w:val="single" w:sz="8" w:space="0" w:color="A6A6A6"/>
              <w:right w:val="single" w:sz="8" w:space="0" w:color="A6A6A6"/>
            </w:tcBorders>
            <w:shd w:val="clear" w:color="auto" w:fill="auto"/>
            <w:vAlign w:val="bottom"/>
            <w:hideMark/>
          </w:tcPr>
          <w:p w14:paraId="234574CE"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1813</w:t>
            </w:r>
          </w:p>
        </w:tc>
      </w:tr>
      <w:tr w:rsidR="00FE776F" w:rsidRPr="00DC6B64" w14:paraId="0217B9E4" w14:textId="77777777" w:rsidTr="003A3C8A">
        <w:trPr>
          <w:trHeight w:val="283"/>
        </w:trPr>
        <w:tc>
          <w:tcPr>
            <w:tcW w:w="2595" w:type="pct"/>
            <w:tcBorders>
              <w:top w:val="nil"/>
              <w:left w:val="single" w:sz="8" w:space="0" w:color="A6A6A6"/>
              <w:bottom w:val="single" w:sz="8" w:space="0" w:color="A6A6A6"/>
              <w:right w:val="single" w:sz="8" w:space="0" w:color="A6A6A6"/>
            </w:tcBorders>
            <w:shd w:val="clear" w:color="auto" w:fill="auto"/>
            <w:vAlign w:val="bottom"/>
            <w:hideMark/>
          </w:tcPr>
          <w:p w14:paraId="77D18521"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Предадени за рециклиране битови отпадъци</w:t>
            </w:r>
          </w:p>
        </w:tc>
        <w:tc>
          <w:tcPr>
            <w:tcW w:w="586" w:type="pct"/>
            <w:tcBorders>
              <w:top w:val="nil"/>
              <w:left w:val="nil"/>
              <w:bottom w:val="single" w:sz="8" w:space="0" w:color="A6A6A6"/>
              <w:right w:val="single" w:sz="8" w:space="0" w:color="A6A6A6"/>
            </w:tcBorders>
            <w:shd w:val="clear" w:color="auto" w:fill="auto"/>
            <w:vAlign w:val="bottom"/>
            <w:hideMark/>
          </w:tcPr>
          <w:p w14:paraId="3BED3EC5"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хил.тона</w:t>
            </w:r>
          </w:p>
        </w:tc>
        <w:tc>
          <w:tcPr>
            <w:tcW w:w="455" w:type="pct"/>
            <w:tcBorders>
              <w:top w:val="nil"/>
              <w:left w:val="nil"/>
              <w:bottom w:val="single" w:sz="8" w:space="0" w:color="A6A6A6"/>
              <w:right w:val="single" w:sz="8" w:space="0" w:color="A6A6A6"/>
            </w:tcBorders>
            <w:shd w:val="clear" w:color="auto" w:fill="auto"/>
            <w:vAlign w:val="bottom"/>
            <w:hideMark/>
          </w:tcPr>
          <w:p w14:paraId="178DE81B"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153</w:t>
            </w:r>
          </w:p>
        </w:tc>
        <w:tc>
          <w:tcPr>
            <w:tcW w:w="455" w:type="pct"/>
            <w:tcBorders>
              <w:top w:val="nil"/>
              <w:left w:val="nil"/>
              <w:bottom w:val="single" w:sz="8" w:space="0" w:color="A6A6A6"/>
              <w:right w:val="single" w:sz="8" w:space="0" w:color="A6A6A6"/>
            </w:tcBorders>
            <w:shd w:val="clear" w:color="auto" w:fill="auto"/>
            <w:vAlign w:val="bottom"/>
            <w:hideMark/>
          </w:tcPr>
          <w:p w14:paraId="3A0E13CC"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81</w:t>
            </w:r>
          </w:p>
        </w:tc>
        <w:tc>
          <w:tcPr>
            <w:tcW w:w="455" w:type="pct"/>
            <w:tcBorders>
              <w:top w:val="nil"/>
              <w:left w:val="nil"/>
              <w:bottom w:val="single" w:sz="8" w:space="0" w:color="A6A6A6"/>
              <w:right w:val="single" w:sz="8" w:space="0" w:color="A6A6A6"/>
            </w:tcBorders>
            <w:shd w:val="clear" w:color="auto" w:fill="auto"/>
            <w:vAlign w:val="bottom"/>
            <w:hideMark/>
          </w:tcPr>
          <w:p w14:paraId="491A5798"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149</w:t>
            </w:r>
          </w:p>
        </w:tc>
        <w:tc>
          <w:tcPr>
            <w:tcW w:w="453" w:type="pct"/>
            <w:tcBorders>
              <w:top w:val="nil"/>
              <w:left w:val="nil"/>
              <w:bottom w:val="single" w:sz="8" w:space="0" w:color="A6A6A6"/>
              <w:right w:val="single" w:sz="8" w:space="0" w:color="A6A6A6"/>
            </w:tcBorders>
            <w:shd w:val="clear" w:color="auto" w:fill="auto"/>
            <w:vAlign w:val="bottom"/>
            <w:hideMark/>
          </w:tcPr>
          <w:p w14:paraId="129F3DEF"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215</w:t>
            </w:r>
          </w:p>
        </w:tc>
      </w:tr>
      <w:tr w:rsidR="00FE776F" w:rsidRPr="00DC6B64" w14:paraId="6194BCDD" w14:textId="77777777" w:rsidTr="003A3C8A">
        <w:trPr>
          <w:trHeight w:val="283"/>
        </w:trPr>
        <w:tc>
          <w:tcPr>
            <w:tcW w:w="2595" w:type="pct"/>
            <w:tcBorders>
              <w:top w:val="nil"/>
              <w:left w:val="single" w:sz="8" w:space="0" w:color="A6A6A6"/>
              <w:bottom w:val="single" w:sz="8" w:space="0" w:color="A6A6A6"/>
              <w:right w:val="single" w:sz="8" w:space="0" w:color="A6A6A6"/>
            </w:tcBorders>
            <w:shd w:val="clear" w:color="auto" w:fill="auto"/>
            <w:vAlign w:val="bottom"/>
            <w:hideMark/>
          </w:tcPr>
          <w:p w14:paraId="63431EEA"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Образувани битови отпадъци на човек от населението</w:t>
            </w:r>
          </w:p>
        </w:tc>
        <w:tc>
          <w:tcPr>
            <w:tcW w:w="586" w:type="pct"/>
            <w:tcBorders>
              <w:top w:val="nil"/>
              <w:left w:val="nil"/>
              <w:bottom w:val="single" w:sz="8" w:space="0" w:color="A6A6A6"/>
              <w:right w:val="single" w:sz="8" w:space="0" w:color="A6A6A6"/>
            </w:tcBorders>
            <w:shd w:val="clear" w:color="auto" w:fill="auto"/>
            <w:vAlign w:val="bottom"/>
            <w:hideMark/>
          </w:tcPr>
          <w:p w14:paraId="2105F4F8"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кг/чов./г</w:t>
            </w:r>
          </w:p>
        </w:tc>
        <w:tc>
          <w:tcPr>
            <w:tcW w:w="455" w:type="pct"/>
            <w:tcBorders>
              <w:top w:val="nil"/>
              <w:left w:val="nil"/>
              <w:bottom w:val="single" w:sz="8" w:space="0" w:color="A6A6A6"/>
              <w:right w:val="single" w:sz="8" w:space="0" w:color="A6A6A6"/>
            </w:tcBorders>
            <w:shd w:val="clear" w:color="auto" w:fill="auto"/>
            <w:vAlign w:val="bottom"/>
            <w:hideMark/>
          </w:tcPr>
          <w:p w14:paraId="7C937F2B"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419</w:t>
            </w:r>
          </w:p>
        </w:tc>
        <w:tc>
          <w:tcPr>
            <w:tcW w:w="455" w:type="pct"/>
            <w:tcBorders>
              <w:top w:val="nil"/>
              <w:left w:val="nil"/>
              <w:bottom w:val="single" w:sz="8" w:space="0" w:color="A6A6A6"/>
              <w:right w:val="single" w:sz="8" w:space="0" w:color="A6A6A6"/>
            </w:tcBorders>
            <w:shd w:val="clear" w:color="auto" w:fill="auto"/>
            <w:vAlign w:val="bottom"/>
            <w:hideMark/>
          </w:tcPr>
          <w:p w14:paraId="418293D9"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406</w:t>
            </w:r>
          </w:p>
        </w:tc>
        <w:tc>
          <w:tcPr>
            <w:tcW w:w="455" w:type="pct"/>
            <w:tcBorders>
              <w:top w:val="nil"/>
              <w:left w:val="nil"/>
              <w:bottom w:val="single" w:sz="8" w:space="0" w:color="A6A6A6"/>
              <w:right w:val="single" w:sz="8" w:space="0" w:color="A6A6A6"/>
            </w:tcBorders>
            <w:shd w:val="clear" w:color="auto" w:fill="auto"/>
            <w:vAlign w:val="bottom"/>
            <w:hideMark/>
          </w:tcPr>
          <w:p w14:paraId="496ED628"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435</w:t>
            </w:r>
          </w:p>
        </w:tc>
        <w:tc>
          <w:tcPr>
            <w:tcW w:w="453" w:type="pct"/>
            <w:tcBorders>
              <w:top w:val="nil"/>
              <w:left w:val="nil"/>
              <w:bottom w:val="single" w:sz="8" w:space="0" w:color="A6A6A6"/>
              <w:right w:val="single" w:sz="8" w:space="0" w:color="A6A6A6"/>
            </w:tcBorders>
            <w:shd w:val="clear" w:color="auto" w:fill="auto"/>
            <w:vAlign w:val="bottom"/>
            <w:hideMark/>
          </w:tcPr>
          <w:p w14:paraId="3C1A8CB5"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407</w:t>
            </w:r>
          </w:p>
        </w:tc>
      </w:tr>
    </w:tbl>
    <w:p w14:paraId="221E6492" w14:textId="77777777" w:rsidR="00FE776F" w:rsidRPr="002A5B6B" w:rsidRDefault="00FE776F" w:rsidP="00FE776F">
      <w:pPr>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0304F94E" w14:textId="77777777" w:rsidR="00FE776F" w:rsidRPr="00655BDE" w:rsidRDefault="00FE776F" w:rsidP="00FE776F">
      <w:pPr>
        <w:spacing w:line="276" w:lineRule="auto"/>
        <w:jc w:val="both"/>
        <w:rPr>
          <w:rFonts w:ascii="Times New Roman" w:hAnsi="Times New Roman" w:cs="Times New Roman"/>
          <w:lang w:val="bg-BG"/>
        </w:rPr>
      </w:pPr>
      <w:r w:rsidRPr="00655BDE">
        <w:rPr>
          <w:rFonts w:ascii="Times New Roman" w:hAnsi="Times New Roman" w:cs="Times New Roman"/>
          <w:lang w:val="bg-BG"/>
        </w:rPr>
        <w:t xml:space="preserve">Видно от данните по-горе </w:t>
      </w:r>
      <w:bookmarkStart w:id="18" w:name="_Hlk72785238"/>
      <w:r w:rsidRPr="00655BDE">
        <w:rPr>
          <w:rFonts w:ascii="Times New Roman" w:hAnsi="Times New Roman" w:cs="Times New Roman"/>
          <w:lang w:val="bg-BG"/>
        </w:rPr>
        <w:t>количеството на депонираните битови отпадъци намалява, но все още депонирането доминира като метод на третиране. По данни на Евростат средната норма за депониране на битови отпадъци на човек от населението за ЕС – 28 е 116 кг/човек/година. Стойността на показателя за България е 260 кг/човек/година.</w:t>
      </w:r>
    </w:p>
    <w:bookmarkEnd w:id="18"/>
    <w:p w14:paraId="70DCC4A7" w14:textId="77777777" w:rsidR="00FE776F" w:rsidRPr="00655BDE" w:rsidRDefault="00FE776F" w:rsidP="00FE776F">
      <w:pPr>
        <w:spacing w:line="276" w:lineRule="auto"/>
        <w:jc w:val="both"/>
        <w:rPr>
          <w:rFonts w:ascii="Times New Roman" w:hAnsi="Times New Roman" w:cs="Times New Roman"/>
          <w:lang w:val="bg-BG"/>
        </w:rPr>
      </w:pPr>
      <w:r w:rsidRPr="00655BDE">
        <w:rPr>
          <w:rFonts w:ascii="Times New Roman" w:hAnsi="Times New Roman" w:cs="Times New Roman"/>
          <w:lang w:val="bg-BG"/>
        </w:rPr>
        <w:t xml:space="preserve">Промените в пазара на стоки и консуматорските модели определят и динамичен ред на </w:t>
      </w:r>
      <w:bookmarkStart w:id="19" w:name="_Hlk72785246"/>
      <w:r w:rsidRPr="00655BDE">
        <w:rPr>
          <w:rFonts w:ascii="Times New Roman" w:hAnsi="Times New Roman" w:cs="Times New Roman"/>
          <w:lang w:val="bg-BG"/>
        </w:rPr>
        <w:t xml:space="preserve">нарастване на количествата </w:t>
      </w:r>
      <w:r w:rsidRPr="00655BDE">
        <w:rPr>
          <w:rFonts w:ascii="Times New Roman" w:hAnsi="Times New Roman" w:cs="Times New Roman"/>
          <w:b/>
          <w:bCs/>
          <w:lang w:val="bg-BG"/>
        </w:rPr>
        <w:t>опаковки</w:t>
      </w:r>
      <w:r w:rsidRPr="00655BDE">
        <w:rPr>
          <w:rFonts w:ascii="Times New Roman" w:hAnsi="Times New Roman" w:cs="Times New Roman"/>
          <w:lang w:val="bg-BG"/>
        </w:rPr>
        <w:t xml:space="preserve"> общо и по видове</w:t>
      </w:r>
      <w:bookmarkEnd w:id="19"/>
      <w:r w:rsidRPr="00655BDE">
        <w:rPr>
          <w:rFonts w:ascii="Times New Roman" w:hAnsi="Times New Roman" w:cs="Times New Roman"/>
          <w:lang w:val="bg-BG"/>
        </w:rPr>
        <w:t xml:space="preserve">. В сравнение с 2010 г. общото количество опаковки на пазара в страната през 2018 г. нараства с близо 55%, като най-голям е делът на хартията и картона, следван от пластмасата. </w:t>
      </w:r>
    </w:p>
    <w:p w14:paraId="60713806" w14:textId="77777777" w:rsidR="00FE776F" w:rsidRPr="00F834BF" w:rsidRDefault="00F834BF" w:rsidP="00F834BF">
      <w:pPr>
        <w:pStyle w:val="Caption"/>
        <w:rPr>
          <w:rFonts w:ascii="Times New Roman" w:hAnsi="Times New Roman" w:cs="Times New Roman"/>
          <w:b w:val="0"/>
          <w:bCs w:val="0"/>
          <w:i/>
          <w:iCs/>
          <w:color w:val="auto"/>
          <w:sz w:val="22"/>
          <w:szCs w:val="22"/>
          <w:lang w:val="bg-BG"/>
        </w:rPr>
      </w:pPr>
      <w:bookmarkStart w:id="20" w:name="_Toc72919661"/>
      <w:r w:rsidRPr="00F834BF">
        <w:rPr>
          <w:rFonts w:ascii="Times New Roman" w:hAnsi="Times New Roman" w:cs="Times New Roman"/>
          <w:b w:val="0"/>
          <w:bCs w:val="0"/>
          <w:i/>
          <w:iCs/>
          <w:color w:val="auto"/>
          <w:sz w:val="22"/>
          <w:szCs w:val="22"/>
          <w:lang w:val="bg-BG"/>
        </w:rPr>
        <w:t xml:space="preserve">Таблица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Таблица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2</w:t>
      </w:r>
      <w:r w:rsidRPr="00F834BF">
        <w:rPr>
          <w:rFonts w:ascii="Times New Roman" w:hAnsi="Times New Roman" w:cs="Times New Roman"/>
          <w:b w:val="0"/>
          <w:bCs w:val="0"/>
          <w:i/>
          <w:iCs/>
          <w:color w:val="auto"/>
          <w:sz w:val="22"/>
          <w:szCs w:val="22"/>
          <w:lang w:val="bg-BG"/>
        </w:rPr>
        <w:fldChar w:fldCharType="end"/>
      </w:r>
      <w:r>
        <w:rPr>
          <w:rFonts w:ascii="Times New Roman" w:hAnsi="Times New Roman" w:cs="Times New Roman"/>
          <w:b w:val="0"/>
          <w:bCs w:val="0"/>
          <w:i/>
          <w:iCs/>
          <w:color w:val="auto"/>
          <w:sz w:val="22"/>
          <w:szCs w:val="22"/>
          <w:lang w:val="bg-BG"/>
        </w:rPr>
        <w:t xml:space="preserve"> </w:t>
      </w:r>
      <w:r w:rsidR="00FE776F" w:rsidRPr="00F834BF">
        <w:rPr>
          <w:rFonts w:ascii="Times New Roman" w:hAnsi="Times New Roman" w:cs="Times New Roman"/>
          <w:b w:val="0"/>
          <w:bCs w:val="0"/>
          <w:i/>
          <w:iCs/>
          <w:color w:val="auto"/>
          <w:sz w:val="22"/>
          <w:szCs w:val="22"/>
          <w:lang w:val="bg-BG"/>
        </w:rPr>
        <w:t>Опаковки на пазара общо за страната</w:t>
      </w:r>
      <w:r w:rsidR="003A3C8A" w:rsidRPr="00F834BF">
        <w:rPr>
          <w:rFonts w:ascii="Times New Roman" w:hAnsi="Times New Roman" w:cs="Times New Roman"/>
          <w:b w:val="0"/>
          <w:bCs w:val="0"/>
          <w:i/>
          <w:iCs/>
          <w:color w:val="auto"/>
          <w:sz w:val="22"/>
          <w:szCs w:val="22"/>
          <w:lang w:val="bg-BG"/>
        </w:rPr>
        <w:t xml:space="preserve"> (тон)</w:t>
      </w:r>
      <w:bookmarkEnd w:id="20"/>
    </w:p>
    <w:tbl>
      <w:tblPr>
        <w:tblW w:w="5010" w:type="pct"/>
        <w:tblInd w:w="-10" w:type="dxa"/>
        <w:tblLook w:val="04A0" w:firstRow="1" w:lastRow="0" w:firstColumn="1" w:lastColumn="0" w:noHBand="0" w:noVBand="1"/>
      </w:tblPr>
      <w:tblGrid>
        <w:gridCol w:w="1472"/>
        <w:gridCol w:w="875"/>
        <w:gridCol w:w="876"/>
        <w:gridCol w:w="876"/>
        <w:gridCol w:w="876"/>
        <w:gridCol w:w="876"/>
        <w:gridCol w:w="876"/>
        <w:gridCol w:w="878"/>
        <w:gridCol w:w="878"/>
        <w:gridCol w:w="876"/>
      </w:tblGrid>
      <w:tr w:rsidR="00FE776F" w:rsidRPr="00D27178" w14:paraId="73896023" w14:textId="77777777" w:rsidTr="003A3C8A">
        <w:trPr>
          <w:trHeight w:val="290"/>
        </w:trPr>
        <w:tc>
          <w:tcPr>
            <w:tcW w:w="786" w:type="pct"/>
            <w:tcBorders>
              <w:top w:val="single" w:sz="8" w:space="0" w:color="C0C0C0"/>
              <w:left w:val="single" w:sz="8" w:space="0" w:color="C0C0C0"/>
              <w:bottom w:val="single" w:sz="8" w:space="0" w:color="C0C0C0"/>
              <w:right w:val="single" w:sz="8" w:space="0" w:color="C0C0C0"/>
            </w:tcBorders>
            <w:shd w:val="clear" w:color="auto" w:fill="DEEAF6" w:themeFill="accent5" w:themeFillTint="33"/>
            <w:vAlign w:val="center"/>
            <w:hideMark/>
          </w:tcPr>
          <w:p w14:paraId="727F2A99"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Материал</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1392296B"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2010</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694BAED5"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2011</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177F0DBA"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2012</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003E651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2013</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74B84ED5"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2014</w:t>
            </w:r>
          </w:p>
        </w:tc>
        <w:tc>
          <w:tcPr>
            <w:tcW w:w="468"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5DB545C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2015</w:t>
            </w:r>
          </w:p>
        </w:tc>
        <w:tc>
          <w:tcPr>
            <w:tcW w:w="469"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0E42CA06"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2016</w:t>
            </w:r>
          </w:p>
        </w:tc>
        <w:tc>
          <w:tcPr>
            <w:tcW w:w="469" w:type="pct"/>
            <w:tcBorders>
              <w:top w:val="single" w:sz="8" w:space="0" w:color="C0C0C0"/>
              <w:left w:val="nil"/>
              <w:bottom w:val="single" w:sz="8" w:space="0" w:color="C0C0C0"/>
              <w:right w:val="single" w:sz="8" w:space="0" w:color="C0C0C0"/>
            </w:tcBorders>
            <w:shd w:val="clear" w:color="auto" w:fill="DEEAF6" w:themeFill="accent5" w:themeFillTint="33"/>
            <w:vAlign w:val="center"/>
            <w:hideMark/>
          </w:tcPr>
          <w:p w14:paraId="334CFCC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2017</w:t>
            </w:r>
          </w:p>
        </w:tc>
        <w:tc>
          <w:tcPr>
            <w:tcW w:w="469" w:type="pct"/>
            <w:tcBorders>
              <w:top w:val="nil"/>
              <w:left w:val="nil"/>
              <w:bottom w:val="single" w:sz="8" w:space="0" w:color="C0C0C0"/>
              <w:right w:val="single" w:sz="8" w:space="0" w:color="C0C0C0"/>
            </w:tcBorders>
            <w:shd w:val="clear" w:color="auto" w:fill="DEEAF6" w:themeFill="accent5" w:themeFillTint="33"/>
            <w:vAlign w:val="center"/>
            <w:hideMark/>
          </w:tcPr>
          <w:p w14:paraId="2B8A4BC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2018</w:t>
            </w:r>
          </w:p>
        </w:tc>
      </w:tr>
      <w:tr w:rsidR="00FE776F" w:rsidRPr="00D27178" w14:paraId="74F3EEBA"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783A18EB"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Пластмаси</w:t>
            </w:r>
          </w:p>
        </w:tc>
        <w:tc>
          <w:tcPr>
            <w:tcW w:w="468" w:type="pct"/>
            <w:tcBorders>
              <w:top w:val="nil"/>
              <w:left w:val="nil"/>
              <w:bottom w:val="single" w:sz="8" w:space="0" w:color="C0C0C0"/>
              <w:right w:val="single" w:sz="8" w:space="0" w:color="C0C0C0"/>
            </w:tcBorders>
            <w:shd w:val="clear" w:color="000000" w:fill="FFFFFF"/>
            <w:vAlign w:val="center"/>
            <w:hideMark/>
          </w:tcPr>
          <w:p w14:paraId="67DAF976"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81,978</w:t>
            </w:r>
          </w:p>
        </w:tc>
        <w:tc>
          <w:tcPr>
            <w:tcW w:w="468" w:type="pct"/>
            <w:tcBorders>
              <w:top w:val="nil"/>
              <w:left w:val="nil"/>
              <w:bottom w:val="single" w:sz="8" w:space="0" w:color="C0C0C0"/>
              <w:right w:val="single" w:sz="8" w:space="0" w:color="C0C0C0"/>
            </w:tcBorders>
            <w:shd w:val="clear" w:color="000000" w:fill="FFFFFF"/>
            <w:vAlign w:val="center"/>
            <w:hideMark/>
          </w:tcPr>
          <w:p w14:paraId="56A11B1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94,963</w:t>
            </w:r>
          </w:p>
        </w:tc>
        <w:tc>
          <w:tcPr>
            <w:tcW w:w="468" w:type="pct"/>
            <w:tcBorders>
              <w:top w:val="nil"/>
              <w:left w:val="nil"/>
              <w:bottom w:val="single" w:sz="8" w:space="0" w:color="C0C0C0"/>
              <w:right w:val="single" w:sz="8" w:space="0" w:color="C0C0C0"/>
            </w:tcBorders>
            <w:shd w:val="clear" w:color="000000" w:fill="FFFFFF"/>
            <w:vAlign w:val="center"/>
            <w:hideMark/>
          </w:tcPr>
          <w:p w14:paraId="7D98A7BA"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96,123</w:t>
            </w:r>
          </w:p>
        </w:tc>
        <w:tc>
          <w:tcPr>
            <w:tcW w:w="468" w:type="pct"/>
            <w:tcBorders>
              <w:top w:val="nil"/>
              <w:left w:val="nil"/>
              <w:bottom w:val="single" w:sz="8" w:space="0" w:color="C0C0C0"/>
              <w:right w:val="single" w:sz="8" w:space="0" w:color="C0C0C0"/>
            </w:tcBorders>
            <w:shd w:val="clear" w:color="000000" w:fill="FFFFFF"/>
            <w:vAlign w:val="center"/>
            <w:hideMark/>
          </w:tcPr>
          <w:p w14:paraId="64678620"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96,547</w:t>
            </w:r>
          </w:p>
        </w:tc>
        <w:tc>
          <w:tcPr>
            <w:tcW w:w="468" w:type="pct"/>
            <w:tcBorders>
              <w:top w:val="nil"/>
              <w:left w:val="nil"/>
              <w:bottom w:val="single" w:sz="8" w:space="0" w:color="C0C0C0"/>
              <w:right w:val="single" w:sz="8" w:space="0" w:color="C0C0C0"/>
            </w:tcBorders>
            <w:shd w:val="clear" w:color="000000" w:fill="FFFFFF"/>
            <w:vAlign w:val="center"/>
            <w:hideMark/>
          </w:tcPr>
          <w:p w14:paraId="729167B1"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102,093</w:t>
            </w:r>
          </w:p>
        </w:tc>
        <w:tc>
          <w:tcPr>
            <w:tcW w:w="468" w:type="pct"/>
            <w:tcBorders>
              <w:top w:val="nil"/>
              <w:left w:val="nil"/>
              <w:bottom w:val="single" w:sz="8" w:space="0" w:color="C0C0C0"/>
              <w:right w:val="single" w:sz="8" w:space="0" w:color="C0C0C0"/>
            </w:tcBorders>
            <w:shd w:val="clear" w:color="000000" w:fill="FFFFFF"/>
            <w:vAlign w:val="center"/>
            <w:hideMark/>
          </w:tcPr>
          <w:p w14:paraId="4F43EAFC"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99,532</w:t>
            </w:r>
          </w:p>
        </w:tc>
        <w:tc>
          <w:tcPr>
            <w:tcW w:w="469" w:type="pct"/>
            <w:tcBorders>
              <w:top w:val="nil"/>
              <w:left w:val="nil"/>
              <w:bottom w:val="single" w:sz="8" w:space="0" w:color="C0C0C0"/>
              <w:right w:val="single" w:sz="8" w:space="0" w:color="C0C0C0"/>
            </w:tcBorders>
            <w:shd w:val="clear" w:color="000000" w:fill="FFFFFF"/>
            <w:vAlign w:val="center"/>
            <w:hideMark/>
          </w:tcPr>
          <w:p w14:paraId="7B9A9EC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108,247</w:t>
            </w:r>
          </w:p>
        </w:tc>
        <w:tc>
          <w:tcPr>
            <w:tcW w:w="469" w:type="pct"/>
            <w:tcBorders>
              <w:top w:val="nil"/>
              <w:left w:val="nil"/>
              <w:bottom w:val="single" w:sz="8" w:space="0" w:color="C0C0C0"/>
              <w:right w:val="single" w:sz="8" w:space="0" w:color="C0C0C0"/>
            </w:tcBorders>
            <w:shd w:val="clear" w:color="000000" w:fill="FFFFFF"/>
            <w:vAlign w:val="center"/>
            <w:hideMark/>
          </w:tcPr>
          <w:p w14:paraId="75CA6BAB"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119,962</w:t>
            </w:r>
          </w:p>
        </w:tc>
        <w:tc>
          <w:tcPr>
            <w:tcW w:w="469" w:type="pct"/>
            <w:tcBorders>
              <w:top w:val="nil"/>
              <w:left w:val="nil"/>
              <w:bottom w:val="single" w:sz="8" w:space="0" w:color="C0C0C0"/>
              <w:right w:val="single" w:sz="8" w:space="0" w:color="C0C0C0"/>
            </w:tcBorders>
            <w:shd w:val="clear" w:color="000000" w:fill="FFFFFF"/>
            <w:vAlign w:val="center"/>
            <w:hideMark/>
          </w:tcPr>
          <w:p w14:paraId="719179A0"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131,359</w:t>
            </w:r>
          </w:p>
        </w:tc>
      </w:tr>
      <w:tr w:rsidR="00FE776F" w:rsidRPr="00D27178" w14:paraId="6B84E2FA"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4D1A3C4C"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 xml:space="preserve">Хартия/картон </w:t>
            </w:r>
          </w:p>
        </w:tc>
        <w:tc>
          <w:tcPr>
            <w:tcW w:w="468" w:type="pct"/>
            <w:tcBorders>
              <w:top w:val="nil"/>
              <w:left w:val="nil"/>
              <w:bottom w:val="single" w:sz="8" w:space="0" w:color="C0C0C0"/>
              <w:right w:val="single" w:sz="8" w:space="0" w:color="C0C0C0"/>
            </w:tcBorders>
            <w:shd w:val="clear" w:color="000000" w:fill="FFFFFF"/>
            <w:vAlign w:val="center"/>
            <w:hideMark/>
          </w:tcPr>
          <w:p w14:paraId="02880AA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138,716</w:t>
            </w:r>
          </w:p>
        </w:tc>
        <w:tc>
          <w:tcPr>
            <w:tcW w:w="468" w:type="pct"/>
            <w:tcBorders>
              <w:top w:val="nil"/>
              <w:left w:val="nil"/>
              <w:bottom w:val="single" w:sz="8" w:space="0" w:color="C0C0C0"/>
              <w:right w:val="single" w:sz="8" w:space="0" w:color="C0C0C0"/>
            </w:tcBorders>
            <w:shd w:val="clear" w:color="000000" w:fill="FFFFFF"/>
            <w:vAlign w:val="center"/>
            <w:hideMark/>
          </w:tcPr>
          <w:p w14:paraId="380D5061"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110,270</w:t>
            </w:r>
          </w:p>
        </w:tc>
        <w:tc>
          <w:tcPr>
            <w:tcW w:w="468" w:type="pct"/>
            <w:tcBorders>
              <w:top w:val="nil"/>
              <w:left w:val="nil"/>
              <w:bottom w:val="single" w:sz="8" w:space="0" w:color="C0C0C0"/>
              <w:right w:val="single" w:sz="8" w:space="0" w:color="C0C0C0"/>
            </w:tcBorders>
            <w:shd w:val="clear" w:color="000000" w:fill="FFFFFF"/>
            <w:vAlign w:val="center"/>
            <w:hideMark/>
          </w:tcPr>
          <w:p w14:paraId="71D17D6B"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122,270</w:t>
            </w:r>
          </w:p>
        </w:tc>
        <w:tc>
          <w:tcPr>
            <w:tcW w:w="468" w:type="pct"/>
            <w:tcBorders>
              <w:top w:val="nil"/>
              <w:left w:val="nil"/>
              <w:bottom w:val="single" w:sz="8" w:space="0" w:color="C0C0C0"/>
              <w:right w:val="single" w:sz="8" w:space="0" w:color="C0C0C0"/>
            </w:tcBorders>
            <w:shd w:val="clear" w:color="000000" w:fill="FFFFFF"/>
            <w:vAlign w:val="center"/>
            <w:hideMark/>
          </w:tcPr>
          <w:p w14:paraId="0CC55D19"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134,270</w:t>
            </w:r>
          </w:p>
        </w:tc>
        <w:tc>
          <w:tcPr>
            <w:tcW w:w="468" w:type="pct"/>
            <w:tcBorders>
              <w:top w:val="nil"/>
              <w:left w:val="nil"/>
              <w:bottom w:val="single" w:sz="8" w:space="0" w:color="C0C0C0"/>
              <w:right w:val="single" w:sz="8" w:space="0" w:color="C0C0C0"/>
            </w:tcBorders>
            <w:shd w:val="clear" w:color="000000" w:fill="FFFFFF"/>
            <w:vAlign w:val="center"/>
            <w:hideMark/>
          </w:tcPr>
          <w:p w14:paraId="0A9138DD"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129,580</w:t>
            </w:r>
          </w:p>
        </w:tc>
        <w:tc>
          <w:tcPr>
            <w:tcW w:w="468" w:type="pct"/>
            <w:tcBorders>
              <w:top w:val="nil"/>
              <w:left w:val="nil"/>
              <w:bottom w:val="single" w:sz="8" w:space="0" w:color="C0C0C0"/>
              <w:right w:val="single" w:sz="8" w:space="0" w:color="C0C0C0"/>
            </w:tcBorders>
            <w:shd w:val="clear" w:color="000000" w:fill="FFFFFF"/>
            <w:vAlign w:val="center"/>
            <w:hideMark/>
          </w:tcPr>
          <w:p w14:paraId="003F334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135,642</w:t>
            </w:r>
          </w:p>
        </w:tc>
        <w:tc>
          <w:tcPr>
            <w:tcW w:w="469" w:type="pct"/>
            <w:tcBorders>
              <w:top w:val="nil"/>
              <w:left w:val="nil"/>
              <w:bottom w:val="single" w:sz="8" w:space="0" w:color="C0C0C0"/>
              <w:right w:val="single" w:sz="8" w:space="0" w:color="C0C0C0"/>
            </w:tcBorders>
            <w:shd w:val="clear" w:color="000000" w:fill="FFFFFF"/>
            <w:vAlign w:val="center"/>
            <w:hideMark/>
          </w:tcPr>
          <w:p w14:paraId="139EFF1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148,229</w:t>
            </w:r>
          </w:p>
        </w:tc>
        <w:tc>
          <w:tcPr>
            <w:tcW w:w="469" w:type="pct"/>
            <w:tcBorders>
              <w:top w:val="nil"/>
              <w:left w:val="nil"/>
              <w:bottom w:val="single" w:sz="8" w:space="0" w:color="C0C0C0"/>
              <w:right w:val="single" w:sz="8" w:space="0" w:color="C0C0C0"/>
            </w:tcBorders>
            <w:shd w:val="clear" w:color="000000" w:fill="FFFFFF"/>
            <w:vAlign w:val="center"/>
            <w:hideMark/>
          </w:tcPr>
          <w:p w14:paraId="55ACD61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153,212</w:t>
            </w:r>
          </w:p>
        </w:tc>
        <w:tc>
          <w:tcPr>
            <w:tcW w:w="469" w:type="pct"/>
            <w:tcBorders>
              <w:top w:val="nil"/>
              <w:left w:val="nil"/>
              <w:bottom w:val="single" w:sz="8" w:space="0" w:color="C0C0C0"/>
              <w:right w:val="single" w:sz="8" w:space="0" w:color="C0C0C0"/>
            </w:tcBorders>
            <w:shd w:val="clear" w:color="000000" w:fill="FFFFFF"/>
            <w:vAlign w:val="center"/>
            <w:hideMark/>
          </w:tcPr>
          <w:p w14:paraId="629E3C8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168,840</w:t>
            </w:r>
          </w:p>
        </w:tc>
      </w:tr>
      <w:tr w:rsidR="00FE776F" w:rsidRPr="00D27178" w14:paraId="716977D9"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64048C27"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Метал</w:t>
            </w:r>
          </w:p>
        </w:tc>
        <w:tc>
          <w:tcPr>
            <w:tcW w:w="468" w:type="pct"/>
            <w:tcBorders>
              <w:top w:val="nil"/>
              <w:left w:val="nil"/>
              <w:bottom w:val="single" w:sz="8" w:space="0" w:color="C0C0C0"/>
              <w:right w:val="single" w:sz="8" w:space="0" w:color="C0C0C0"/>
            </w:tcBorders>
            <w:shd w:val="clear" w:color="000000" w:fill="FFFFFF"/>
            <w:vAlign w:val="center"/>
            <w:hideMark/>
          </w:tcPr>
          <w:p w14:paraId="1D818D69"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15,744</w:t>
            </w:r>
          </w:p>
        </w:tc>
        <w:tc>
          <w:tcPr>
            <w:tcW w:w="468" w:type="pct"/>
            <w:tcBorders>
              <w:top w:val="nil"/>
              <w:left w:val="nil"/>
              <w:bottom w:val="single" w:sz="8" w:space="0" w:color="C0C0C0"/>
              <w:right w:val="single" w:sz="8" w:space="0" w:color="C0C0C0"/>
            </w:tcBorders>
            <w:shd w:val="clear" w:color="000000" w:fill="FFFFFF"/>
            <w:vAlign w:val="center"/>
            <w:hideMark/>
          </w:tcPr>
          <w:p w14:paraId="0E1AB570"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13,414</w:t>
            </w:r>
          </w:p>
        </w:tc>
        <w:tc>
          <w:tcPr>
            <w:tcW w:w="468" w:type="pct"/>
            <w:tcBorders>
              <w:top w:val="nil"/>
              <w:left w:val="nil"/>
              <w:bottom w:val="single" w:sz="8" w:space="0" w:color="C0C0C0"/>
              <w:right w:val="single" w:sz="8" w:space="0" w:color="C0C0C0"/>
            </w:tcBorders>
            <w:shd w:val="clear" w:color="000000" w:fill="FFFFFF"/>
            <w:vAlign w:val="center"/>
            <w:hideMark/>
          </w:tcPr>
          <w:p w14:paraId="31AF3752"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14,587</w:t>
            </w:r>
          </w:p>
        </w:tc>
        <w:tc>
          <w:tcPr>
            <w:tcW w:w="468" w:type="pct"/>
            <w:tcBorders>
              <w:top w:val="nil"/>
              <w:left w:val="nil"/>
              <w:bottom w:val="single" w:sz="8" w:space="0" w:color="C0C0C0"/>
              <w:right w:val="single" w:sz="8" w:space="0" w:color="C0C0C0"/>
            </w:tcBorders>
            <w:shd w:val="clear" w:color="000000" w:fill="FFFFFF"/>
            <w:vAlign w:val="center"/>
            <w:hideMark/>
          </w:tcPr>
          <w:p w14:paraId="29EA1005"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15,887</w:t>
            </w:r>
          </w:p>
        </w:tc>
        <w:tc>
          <w:tcPr>
            <w:tcW w:w="468" w:type="pct"/>
            <w:tcBorders>
              <w:top w:val="nil"/>
              <w:left w:val="nil"/>
              <w:bottom w:val="single" w:sz="8" w:space="0" w:color="C0C0C0"/>
              <w:right w:val="single" w:sz="8" w:space="0" w:color="C0C0C0"/>
            </w:tcBorders>
            <w:shd w:val="clear" w:color="000000" w:fill="FFFFFF"/>
            <w:vAlign w:val="center"/>
            <w:hideMark/>
          </w:tcPr>
          <w:p w14:paraId="13755162"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15,998</w:t>
            </w:r>
          </w:p>
        </w:tc>
        <w:tc>
          <w:tcPr>
            <w:tcW w:w="468" w:type="pct"/>
            <w:tcBorders>
              <w:top w:val="nil"/>
              <w:left w:val="nil"/>
              <w:bottom w:val="single" w:sz="8" w:space="0" w:color="C0C0C0"/>
              <w:right w:val="single" w:sz="8" w:space="0" w:color="C0C0C0"/>
            </w:tcBorders>
            <w:shd w:val="clear" w:color="000000" w:fill="FFFFFF"/>
            <w:vAlign w:val="center"/>
            <w:hideMark/>
          </w:tcPr>
          <w:p w14:paraId="16BFCD9C"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25,147</w:t>
            </w:r>
          </w:p>
        </w:tc>
        <w:tc>
          <w:tcPr>
            <w:tcW w:w="469" w:type="pct"/>
            <w:tcBorders>
              <w:top w:val="nil"/>
              <w:left w:val="nil"/>
              <w:bottom w:val="single" w:sz="8" w:space="0" w:color="C0C0C0"/>
              <w:right w:val="single" w:sz="8" w:space="0" w:color="C0C0C0"/>
            </w:tcBorders>
            <w:shd w:val="clear" w:color="000000" w:fill="FFFFFF"/>
            <w:vAlign w:val="center"/>
            <w:hideMark/>
          </w:tcPr>
          <w:p w14:paraId="573F853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31,890</w:t>
            </w:r>
          </w:p>
        </w:tc>
        <w:tc>
          <w:tcPr>
            <w:tcW w:w="469" w:type="pct"/>
            <w:tcBorders>
              <w:top w:val="nil"/>
              <w:left w:val="nil"/>
              <w:bottom w:val="single" w:sz="8" w:space="0" w:color="C0C0C0"/>
              <w:right w:val="single" w:sz="8" w:space="0" w:color="C0C0C0"/>
            </w:tcBorders>
            <w:shd w:val="clear" w:color="000000" w:fill="FFFFFF"/>
            <w:vAlign w:val="center"/>
            <w:hideMark/>
          </w:tcPr>
          <w:p w14:paraId="3AE60A30"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33,594</w:t>
            </w:r>
          </w:p>
        </w:tc>
        <w:tc>
          <w:tcPr>
            <w:tcW w:w="469" w:type="pct"/>
            <w:tcBorders>
              <w:top w:val="nil"/>
              <w:left w:val="nil"/>
              <w:bottom w:val="single" w:sz="8" w:space="0" w:color="C0C0C0"/>
              <w:right w:val="single" w:sz="8" w:space="0" w:color="C0C0C0"/>
            </w:tcBorders>
            <w:shd w:val="clear" w:color="000000" w:fill="FFFFFF"/>
            <w:vAlign w:val="center"/>
            <w:hideMark/>
          </w:tcPr>
          <w:p w14:paraId="2621954D"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37,625</w:t>
            </w:r>
          </w:p>
        </w:tc>
      </w:tr>
      <w:tr w:rsidR="00FE776F" w:rsidRPr="00D27178" w14:paraId="60AB8268"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7627A79B"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Дърво</w:t>
            </w:r>
          </w:p>
        </w:tc>
        <w:tc>
          <w:tcPr>
            <w:tcW w:w="468" w:type="pct"/>
            <w:tcBorders>
              <w:top w:val="nil"/>
              <w:left w:val="nil"/>
              <w:bottom w:val="single" w:sz="8" w:space="0" w:color="C0C0C0"/>
              <w:right w:val="single" w:sz="8" w:space="0" w:color="C0C0C0"/>
            </w:tcBorders>
            <w:shd w:val="clear" w:color="000000" w:fill="FFFFFF"/>
            <w:vAlign w:val="center"/>
            <w:hideMark/>
          </w:tcPr>
          <w:p w14:paraId="6A55D52D"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18,741</w:t>
            </w:r>
          </w:p>
        </w:tc>
        <w:tc>
          <w:tcPr>
            <w:tcW w:w="468" w:type="pct"/>
            <w:tcBorders>
              <w:top w:val="nil"/>
              <w:left w:val="nil"/>
              <w:bottom w:val="single" w:sz="8" w:space="0" w:color="C0C0C0"/>
              <w:right w:val="single" w:sz="8" w:space="0" w:color="C0C0C0"/>
            </w:tcBorders>
            <w:shd w:val="clear" w:color="000000" w:fill="FFFFFF"/>
            <w:vAlign w:val="center"/>
            <w:hideMark/>
          </w:tcPr>
          <w:p w14:paraId="79E0008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21,444</w:t>
            </w:r>
          </w:p>
        </w:tc>
        <w:tc>
          <w:tcPr>
            <w:tcW w:w="468" w:type="pct"/>
            <w:tcBorders>
              <w:top w:val="nil"/>
              <w:left w:val="nil"/>
              <w:bottom w:val="single" w:sz="8" w:space="0" w:color="C0C0C0"/>
              <w:right w:val="single" w:sz="8" w:space="0" w:color="C0C0C0"/>
            </w:tcBorders>
            <w:shd w:val="clear" w:color="000000" w:fill="FFFFFF"/>
            <w:vAlign w:val="center"/>
            <w:hideMark/>
          </w:tcPr>
          <w:p w14:paraId="21812B70"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20,121</w:t>
            </w:r>
          </w:p>
        </w:tc>
        <w:tc>
          <w:tcPr>
            <w:tcW w:w="468" w:type="pct"/>
            <w:tcBorders>
              <w:top w:val="nil"/>
              <w:left w:val="nil"/>
              <w:bottom w:val="single" w:sz="8" w:space="0" w:color="C0C0C0"/>
              <w:right w:val="single" w:sz="8" w:space="0" w:color="C0C0C0"/>
            </w:tcBorders>
            <w:shd w:val="clear" w:color="000000" w:fill="FFFFFF"/>
            <w:vAlign w:val="center"/>
            <w:hideMark/>
          </w:tcPr>
          <w:p w14:paraId="736C2CD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24,725</w:t>
            </w:r>
          </w:p>
        </w:tc>
        <w:tc>
          <w:tcPr>
            <w:tcW w:w="468" w:type="pct"/>
            <w:tcBorders>
              <w:top w:val="nil"/>
              <w:left w:val="nil"/>
              <w:bottom w:val="single" w:sz="8" w:space="0" w:color="C0C0C0"/>
              <w:right w:val="single" w:sz="8" w:space="0" w:color="C0C0C0"/>
            </w:tcBorders>
            <w:shd w:val="clear" w:color="000000" w:fill="FFFFFF"/>
            <w:vAlign w:val="center"/>
            <w:hideMark/>
          </w:tcPr>
          <w:p w14:paraId="18014D69"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48,725</w:t>
            </w:r>
          </w:p>
        </w:tc>
        <w:tc>
          <w:tcPr>
            <w:tcW w:w="468" w:type="pct"/>
            <w:tcBorders>
              <w:top w:val="nil"/>
              <w:left w:val="nil"/>
              <w:bottom w:val="single" w:sz="8" w:space="0" w:color="C0C0C0"/>
              <w:right w:val="single" w:sz="8" w:space="0" w:color="C0C0C0"/>
            </w:tcBorders>
            <w:shd w:val="clear" w:color="000000" w:fill="FFFFFF"/>
            <w:vAlign w:val="center"/>
            <w:hideMark/>
          </w:tcPr>
          <w:p w14:paraId="05038133"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45,612</w:t>
            </w:r>
          </w:p>
        </w:tc>
        <w:tc>
          <w:tcPr>
            <w:tcW w:w="469" w:type="pct"/>
            <w:tcBorders>
              <w:top w:val="nil"/>
              <w:left w:val="nil"/>
              <w:bottom w:val="single" w:sz="8" w:space="0" w:color="C0C0C0"/>
              <w:right w:val="single" w:sz="8" w:space="0" w:color="C0C0C0"/>
            </w:tcBorders>
            <w:shd w:val="clear" w:color="000000" w:fill="FFFFFF"/>
            <w:vAlign w:val="center"/>
            <w:hideMark/>
          </w:tcPr>
          <w:p w14:paraId="72804303"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51,400</w:t>
            </w:r>
          </w:p>
        </w:tc>
        <w:tc>
          <w:tcPr>
            <w:tcW w:w="469" w:type="pct"/>
            <w:tcBorders>
              <w:top w:val="nil"/>
              <w:left w:val="nil"/>
              <w:bottom w:val="single" w:sz="8" w:space="0" w:color="C0C0C0"/>
              <w:right w:val="single" w:sz="8" w:space="0" w:color="C0C0C0"/>
            </w:tcBorders>
            <w:shd w:val="clear" w:color="000000" w:fill="FFFFFF"/>
            <w:vAlign w:val="center"/>
            <w:hideMark/>
          </w:tcPr>
          <w:p w14:paraId="3D97C0DA"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59,589</w:t>
            </w:r>
          </w:p>
        </w:tc>
        <w:tc>
          <w:tcPr>
            <w:tcW w:w="469" w:type="pct"/>
            <w:tcBorders>
              <w:top w:val="nil"/>
              <w:left w:val="nil"/>
              <w:bottom w:val="single" w:sz="8" w:space="0" w:color="C0C0C0"/>
              <w:right w:val="single" w:sz="8" w:space="0" w:color="C0C0C0"/>
            </w:tcBorders>
            <w:shd w:val="clear" w:color="000000" w:fill="FFFFFF"/>
            <w:vAlign w:val="center"/>
            <w:hideMark/>
          </w:tcPr>
          <w:p w14:paraId="01CE414B"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65,011</w:t>
            </w:r>
          </w:p>
        </w:tc>
      </w:tr>
      <w:tr w:rsidR="00FE776F" w:rsidRPr="00D27178" w14:paraId="7576F921"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2EB6B769"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Стъкло</w:t>
            </w:r>
          </w:p>
        </w:tc>
        <w:tc>
          <w:tcPr>
            <w:tcW w:w="468" w:type="pct"/>
            <w:tcBorders>
              <w:top w:val="nil"/>
              <w:left w:val="nil"/>
              <w:bottom w:val="single" w:sz="8" w:space="0" w:color="C0C0C0"/>
              <w:right w:val="single" w:sz="8" w:space="0" w:color="C0C0C0"/>
            </w:tcBorders>
            <w:shd w:val="clear" w:color="000000" w:fill="FFFFFF"/>
            <w:vAlign w:val="center"/>
            <w:hideMark/>
          </w:tcPr>
          <w:p w14:paraId="32A709A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63,962</w:t>
            </w:r>
          </w:p>
        </w:tc>
        <w:tc>
          <w:tcPr>
            <w:tcW w:w="468" w:type="pct"/>
            <w:tcBorders>
              <w:top w:val="nil"/>
              <w:left w:val="nil"/>
              <w:bottom w:val="single" w:sz="8" w:space="0" w:color="C0C0C0"/>
              <w:right w:val="single" w:sz="8" w:space="0" w:color="C0C0C0"/>
            </w:tcBorders>
            <w:shd w:val="clear" w:color="000000" w:fill="FFFFFF"/>
            <w:vAlign w:val="center"/>
            <w:hideMark/>
          </w:tcPr>
          <w:p w14:paraId="4D29B1E4"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69,374</w:t>
            </w:r>
          </w:p>
        </w:tc>
        <w:tc>
          <w:tcPr>
            <w:tcW w:w="468" w:type="pct"/>
            <w:tcBorders>
              <w:top w:val="nil"/>
              <w:left w:val="nil"/>
              <w:bottom w:val="single" w:sz="8" w:space="0" w:color="C0C0C0"/>
              <w:right w:val="single" w:sz="8" w:space="0" w:color="C0C0C0"/>
            </w:tcBorders>
            <w:shd w:val="clear" w:color="000000" w:fill="FFFFFF"/>
            <w:vAlign w:val="center"/>
            <w:hideMark/>
          </w:tcPr>
          <w:p w14:paraId="539A6573"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70,521</w:t>
            </w:r>
          </w:p>
        </w:tc>
        <w:tc>
          <w:tcPr>
            <w:tcW w:w="468" w:type="pct"/>
            <w:tcBorders>
              <w:top w:val="nil"/>
              <w:left w:val="nil"/>
              <w:bottom w:val="single" w:sz="8" w:space="0" w:color="C0C0C0"/>
              <w:right w:val="single" w:sz="8" w:space="0" w:color="C0C0C0"/>
            </w:tcBorders>
            <w:shd w:val="clear" w:color="000000" w:fill="FFFFFF"/>
            <w:vAlign w:val="center"/>
            <w:hideMark/>
          </w:tcPr>
          <w:p w14:paraId="6532BCA6"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74,017</w:t>
            </w:r>
          </w:p>
        </w:tc>
        <w:tc>
          <w:tcPr>
            <w:tcW w:w="468" w:type="pct"/>
            <w:tcBorders>
              <w:top w:val="nil"/>
              <w:left w:val="nil"/>
              <w:bottom w:val="single" w:sz="8" w:space="0" w:color="C0C0C0"/>
              <w:right w:val="single" w:sz="8" w:space="0" w:color="C0C0C0"/>
            </w:tcBorders>
            <w:shd w:val="clear" w:color="000000" w:fill="FFFFFF"/>
            <w:vAlign w:val="center"/>
            <w:hideMark/>
          </w:tcPr>
          <w:p w14:paraId="667C1E45"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78,251</w:t>
            </w:r>
          </w:p>
        </w:tc>
        <w:tc>
          <w:tcPr>
            <w:tcW w:w="468" w:type="pct"/>
            <w:tcBorders>
              <w:top w:val="nil"/>
              <w:left w:val="nil"/>
              <w:bottom w:val="single" w:sz="8" w:space="0" w:color="C0C0C0"/>
              <w:right w:val="single" w:sz="8" w:space="0" w:color="C0C0C0"/>
            </w:tcBorders>
            <w:shd w:val="clear" w:color="000000" w:fill="FFFFFF"/>
            <w:vAlign w:val="center"/>
            <w:hideMark/>
          </w:tcPr>
          <w:p w14:paraId="42A2217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82,017</w:t>
            </w:r>
          </w:p>
        </w:tc>
        <w:tc>
          <w:tcPr>
            <w:tcW w:w="469" w:type="pct"/>
            <w:tcBorders>
              <w:top w:val="nil"/>
              <w:left w:val="nil"/>
              <w:bottom w:val="single" w:sz="8" w:space="0" w:color="C0C0C0"/>
              <w:right w:val="single" w:sz="8" w:space="0" w:color="C0C0C0"/>
            </w:tcBorders>
            <w:shd w:val="clear" w:color="000000" w:fill="FFFFFF"/>
            <w:vAlign w:val="center"/>
            <w:hideMark/>
          </w:tcPr>
          <w:p w14:paraId="60EAE1B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77,421</w:t>
            </w:r>
          </w:p>
        </w:tc>
        <w:tc>
          <w:tcPr>
            <w:tcW w:w="469" w:type="pct"/>
            <w:tcBorders>
              <w:top w:val="nil"/>
              <w:left w:val="nil"/>
              <w:bottom w:val="single" w:sz="8" w:space="0" w:color="C0C0C0"/>
              <w:right w:val="single" w:sz="8" w:space="0" w:color="C0C0C0"/>
            </w:tcBorders>
            <w:shd w:val="clear" w:color="000000" w:fill="FFFFFF"/>
            <w:vAlign w:val="center"/>
            <w:hideMark/>
          </w:tcPr>
          <w:p w14:paraId="2DE2239D"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83,517</w:t>
            </w:r>
          </w:p>
        </w:tc>
        <w:tc>
          <w:tcPr>
            <w:tcW w:w="469" w:type="pct"/>
            <w:tcBorders>
              <w:top w:val="nil"/>
              <w:left w:val="nil"/>
              <w:bottom w:val="single" w:sz="8" w:space="0" w:color="C0C0C0"/>
              <w:right w:val="single" w:sz="8" w:space="0" w:color="C0C0C0"/>
            </w:tcBorders>
            <w:shd w:val="clear" w:color="000000" w:fill="FFFFFF"/>
            <w:vAlign w:val="center"/>
            <w:hideMark/>
          </w:tcPr>
          <w:p w14:paraId="577D1AB8"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90,950</w:t>
            </w:r>
          </w:p>
        </w:tc>
      </w:tr>
      <w:tr w:rsidR="00FE776F" w:rsidRPr="00D27178" w14:paraId="06233609"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70406397" w14:textId="77777777" w:rsidR="00FE776F" w:rsidRPr="00536E7C" w:rsidRDefault="00FE776F"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Други</w:t>
            </w:r>
          </w:p>
        </w:tc>
        <w:tc>
          <w:tcPr>
            <w:tcW w:w="468" w:type="pct"/>
            <w:tcBorders>
              <w:top w:val="nil"/>
              <w:left w:val="nil"/>
              <w:bottom w:val="single" w:sz="8" w:space="0" w:color="C0C0C0"/>
              <w:right w:val="single" w:sz="8" w:space="0" w:color="C0C0C0"/>
            </w:tcBorders>
            <w:shd w:val="clear" w:color="000000" w:fill="FFFFFF"/>
            <w:vAlign w:val="center"/>
            <w:hideMark/>
          </w:tcPr>
          <w:p w14:paraId="71399AC1"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2,055</w:t>
            </w:r>
          </w:p>
        </w:tc>
        <w:tc>
          <w:tcPr>
            <w:tcW w:w="468" w:type="pct"/>
            <w:tcBorders>
              <w:top w:val="nil"/>
              <w:left w:val="nil"/>
              <w:bottom w:val="single" w:sz="8" w:space="0" w:color="C0C0C0"/>
              <w:right w:val="single" w:sz="8" w:space="0" w:color="C0C0C0"/>
            </w:tcBorders>
            <w:shd w:val="clear" w:color="000000" w:fill="FFFFFF"/>
            <w:vAlign w:val="center"/>
            <w:hideMark/>
          </w:tcPr>
          <w:p w14:paraId="49F2C48A"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5,174</w:t>
            </w:r>
          </w:p>
        </w:tc>
        <w:tc>
          <w:tcPr>
            <w:tcW w:w="468" w:type="pct"/>
            <w:tcBorders>
              <w:top w:val="nil"/>
              <w:left w:val="nil"/>
              <w:bottom w:val="single" w:sz="8" w:space="0" w:color="C0C0C0"/>
              <w:right w:val="single" w:sz="8" w:space="0" w:color="C0C0C0"/>
            </w:tcBorders>
            <w:shd w:val="clear" w:color="000000" w:fill="FFFFFF"/>
            <w:vAlign w:val="center"/>
            <w:hideMark/>
          </w:tcPr>
          <w:p w14:paraId="016AC7AA"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5,174</w:t>
            </w:r>
          </w:p>
        </w:tc>
        <w:tc>
          <w:tcPr>
            <w:tcW w:w="468" w:type="pct"/>
            <w:tcBorders>
              <w:top w:val="nil"/>
              <w:left w:val="nil"/>
              <w:bottom w:val="single" w:sz="8" w:space="0" w:color="C0C0C0"/>
              <w:right w:val="single" w:sz="8" w:space="0" w:color="C0C0C0"/>
            </w:tcBorders>
            <w:shd w:val="clear" w:color="000000" w:fill="FFFFFF"/>
            <w:vAlign w:val="center"/>
            <w:hideMark/>
          </w:tcPr>
          <w:p w14:paraId="787A7CF3"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4,597</w:t>
            </w:r>
          </w:p>
        </w:tc>
        <w:tc>
          <w:tcPr>
            <w:tcW w:w="468" w:type="pct"/>
            <w:tcBorders>
              <w:top w:val="nil"/>
              <w:left w:val="nil"/>
              <w:bottom w:val="single" w:sz="8" w:space="0" w:color="C0C0C0"/>
              <w:right w:val="single" w:sz="8" w:space="0" w:color="C0C0C0"/>
            </w:tcBorders>
            <w:shd w:val="clear" w:color="000000" w:fill="FFFFFF"/>
            <w:vAlign w:val="center"/>
            <w:hideMark/>
          </w:tcPr>
          <w:p w14:paraId="0E187F53"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4,021</w:t>
            </w:r>
          </w:p>
        </w:tc>
        <w:tc>
          <w:tcPr>
            <w:tcW w:w="468" w:type="pct"/>
            <w:tcBorders>
              <w:top w:val="nil"/>
              <w:left w:val="nil"/>
              <w:bottom w:val="single" w:sz="8" w:space="0" w:color="C0C0C0"/>
              <w:right w:val="single" w:sz="8" w:space="0" w:color="C0C0C0"/>
            </w:tcBorders>
            <w:shd w:val="clear" w:color="000000" w:fill="FFFFFF"/>
            <w:vAlign w:val="center"/>
            <w:hideMark/>
          </w:tcPr>
          <w:p w14:paraId="5CD95AB5"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4,597</w:t>
            </w:r>
          </w:p>
        </w:tc>
        <w:tc>
          <w:tcPr>
            <w:tcW w:w="469" w:type="pct"/>
            <w:tcBorders>
              <w:top w:val="nil"/>
              <w:left w:val="nil"/>
              <w:bottom w:val="single" w:sz="8" w:space="0" w:color="C0C0C0"/>
              <w:right w:val="single" w:sz="8" w:space="0" w:color="C0C0C0"/>
            </w:tcBorders>
            <w:shd w:val="clear" w:color="000000" w:fill="FFFFFF"/>
            <w:vAlign w:val="center"/>
            <w:hideMark/>
          </w:tcPr>
          <w:p w14:paraId="1979BD81"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3,958</w:t>
            </w:r>
          </w:p>
        </w:tc>
        <w:tc>
          <w:tcPr>
            <w:tcW w:w="469" w:type="pct"/>
            <w:tcBorders>
              <w:top w:val="nil"/>
              <w:left w:val="nil"/>
              <w:bottom w:val="single" w:sz="8" w:space="0" w:color="C0C0C0"/>
              <w:right w:val="single" w:sz="8" w:space="0" w:color="C0C0C0"/>
            </w:tcBorders>
            <w:shd w:val="clear" w:color="000000" w:fill="FFFFFF"/>
            <w:vAlign w:val="center"/>
            <w:hideMark/>
          </w:tcPr>
          <w:p w14:paraId="6E67B8FB"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3,320</w:t>
            </w:r>
          </w:p>
        </w:tc>
        <w:tc>
          <w:tcPr>
            <w:tcW w:w="469" w:type="pct"/>
            <w:tcBorders>
              <w:top w:val="nil"/>
              <w:left w:val="nil"/>
              <w:bottom w:val="single" w:sz="8" w:space="0" w:color="C0C0C0"/>
              <w:right w:val="single" w:sz="8" w:space="0" w:color="C0C0C0"/>
            </w:tcBorders>
            <w:shd w:val="clear" w:color="000000" w:fill="FFFFFF"/>
            <w:vAlign w:val="center"/>
            <w:hideMark/>
          </w:tcPr>
          <w:p w14:paraId="1C305B17" w14:textId="77777777" w:rsidR="00FE776F" w:rsidRPr="00536E7C" w:rsidRDefault="00FE776F" w:rsidP="003A3C8A">
            <w:pPr>
              <w:spacing w:after="0" w:line="240" w:lineRule="auto"/>
              <w:jc w:val="right"/>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3,708</w:t>
            </w:r>
          </w:p>
        </w:tc>
      </w:tr>
      <w:tr w:rsidR="00FE776F" w:rsidRPr="00D27178" w14:paraId="3AC3E195" w14:textId="77777777" w:rsidTr="003A3C8A">
        <w:trPr>
          <w:trHeight w:val="290"/>
        </w:trPr>
        <w:tc>
          <w:tcPr>
            <w:tcW w:w="786" w:type="pct"/>
            <w:tcBorders>
              <w:top w:val="nil"/>
              <w:left w:val="single" w:sz="8" w:space="0" w:color="C0C0C0"/>
              <w:bottom w:val="single" w:sz="8" w:space="0" w:color="C0C0C0"/>
              <w:right w:val="single" w:sz="8" w:space="0" w:color="C0C0C0"/>
            </w:tcBorders>
            <w:shd w:val="clear" w:color="000000" w:fill="FFFFFF"/>
            <w:vAlign w:val="center"/>
            <w:hideMark/>
          </w:tcPr>
          <w:p w14:paraId="0FDC9EFC" w14:textId="77777777" w:rsidR="00FE776F" w:rsidRPr="00536E7C" w:rsidRDefault="00FE776F" w:rsidP="003A3C8A">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Общо</w:t>
            </w:r>
          </w:p>
        </w:tc>
        <w:tc>
          <w:tcPr>
            <w:tcW w:w="468" w:type="pct"/>
            <w:tcBorders>
              <w:top w:val="nil"/>
              <w:left w:val="nil"/>
              <w:bottom w:val="single" w:sz="8" w:space="0" w:color="C0C0C0"/>
              <w:right w:val="single" w:sz="8" w:space="0" w:color="C0C0C0"/>
            </w:tcBorders>
            <w:shd w:val="clear" w:color="000000" w:fill="FFFFFF"/>
            <w:vAlign w:val="center"/>
            <w:hideMark/>
          </w:tcPr>
          <w:p w14:paraId="1DCBE75D"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321,197</w:t>
            </w:r>
          </w:p>
        </w:tc>
        <w:tc>
          <w:tcPr>
            <w:tcW w:w="468" w:type="pct"/>
            <w:tcBorders>
              <w:top w:val="nil"/>
              <w:left w:val="nil"/>
              <w:bottom w:val="single" w:sz="8" w:space="0" w:color="C0C0C0"/>
              <w:right w:val="single" w:sz="8" w:space="0" w:color="C0C0C0"/>
            </w:tcBorders>
            <w:shd w:val="clear" w:color="000000" w:fill="FFFFFF"/>
            <w:vAlign w:val="center"/>
            <w:hideMark/>
          </w:tcPr>
          <w:p w14:paraId="3277AF01"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314,639</w:t>
            </w:r>
          </w:p>
        </w:tc>
        <w:tc>
          <w:tcPr>
            <w:tcW w:w="468" w:type="pct"/>
            <w:tcBorders>
              <w:top w:val="nil"/>
              <w:left w:val="nil"/>
              <w:bottom w:val="single" w:sz="8" w:space="0" w:color="C0C0C0"/>
              <w:right w:val="single" w:sz="8" w:space="0" w:color="C0C0C0"/>
            </w:tcBorders>
            <w:shd w:val="clear" w:color="000000" w:fill="FFFFFF"/>
            <w:vAlign w:val="center"/>
            <w:hideMark/>
          </w:tcPr>
          <w:p w14:paraId="3481997F"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328,797</w:t>
            </w:r>
          </w:p>
        </w:tc>
        <w:tc>
          <w:tcPr>
            <w:tcW w:w="468" w:type="pct"/>
            <w:tcBorders>
              <w:top w:val="nil"/>
              <w:left w:val="nil"/>
              <w:bottom w:val="single" w:sz="8" w:space="0" w:color="C0C0C0"/>
              <w:right w:val="single" w:sz="8" w:space="0" w:color="C0C0C0"/>
            </w:tcBorders>
            <w:shd w:val="clear" w:color="000000" w:fill="FFFFFF"/>
            <w:vAlign w:val="center"/>
            <w:hideMark/>
          </w:tcPr>
          <w:p w14:paraId="6AEA78B2"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350,043</w:t>
            </w:r>
          </w:p>
        </w:tc>
        <w:tc>
          <w:tcPr>
            <w:tcW w:w="468" w:type="pct"/>
            <w:tcBorders>
              <w:top w:val="nil"/>
              <w:left w:val="nil"/>
              <w:bottom w:val="single" w:sz="8" w:space="0" w:color="C0C0C0"/>
              <w:right w:val="single" w:sz="8" w:space="0" w:color="C0C0C0"/>
            </w:tcBorders>
            <w:shd w:val="clear" w:color="000000" w:fill="FFFFFF"/>
            <w:vAlign w:val="center"/>
            <w:hideMark/>
          </w:tcPr>
          <w:p w14:paraId="40254385"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378,668</w:t>
            </w:r>
          </w:p>
        </w:tc>
        <w:tc>
          <w:tcPr>
            <w:tcW w:w="468" w:type="pct"/>
            <w:tcBorders>
              <w:top w:val="nil"/>
              <w:left w:val="nil"/>
              <w:bottom w:val="single" w:sz="8" w:space="0" w:color="C0C0C0"/>
              <w:right w:val="single" w:sz="8" w:space="0" w:color="C0C0C0"/>
            </w:tcBorders>
            <w:shd w:val="clear" w:color="000000" w:fill="FFFFFF"/>
            <w:vAlign w:val="center"/>
            <w:hideMark/>
          </w:tcPr>
          <w:p w14:paraId="709C0CB8"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392,547</w:t>
            </w:r>
          </w:p>
        </w:tc>
        <w:tc>
          <w:tcPr>
            <w:tcW w:w="469" w:type="pct"/>
            <w:tcBorders>
              <w:top w:val="nil"/>
              <w:left w:val="nil"/>
              <w:bottom w:val="single" w:sz="8" w:space="0" w:color="C0C0C0"/>
              <w:right w:val="single" w:sz="8" w:space="0" w:color="C0C0C0"/>
            </w:tcBorders>
            <w:shd w:val="clear" w:color="000000" w:fill="FFFFFF"/>
            <w:vAlign w:val="center"/>
            <w:hideMark/>
          </w:tcPr>
          <w:p w14:paraId="2DA0F305"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421,145</w:t>
            </w:r>
          </w:p>
        </w:tc>
        <w:tc>
          <w:tcPr>
            <w:tcW w:w="469" w:type="pct"/>
            <w:tcBorders>
              <w:top w:val="nil"/>
              <w:left w:val="nil"/>
              <w:bottom w:val="single" w:sz="8" w:space="0" w:color="C0C0C0"/>
              <w:right w:val="single" w:sz="8" w:space="0" w:color="C0C0C0"/>
            </w:tcBorders>
            <w:shd w:val="clear" w:color="000000" w:fill="FFFFFF"/>
            <w:vAlign w:val="center"/>
            <w:hideMark/>
          </w:tcPr>
          <w:p w14:paraId="1297CA2E"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453,194</w:t>
            </w:r>
          </w:p>
        </w:tc>
        <w:tc>
          <w:tcPr>
            <w:tcW w:w="469" w:type="pct"/>
            <w:tcBorders>
              <w:top w:val="nil"/>
              <w:left w:val="nil"/>
              <w:bottom w:val="single" w:sz="8" w:space="0" w:color="C0C0C0"/>
              <w:right w:val="single" w:sz="8" w:space="0" w:color="C0C0C0"/>
            </w:tcBorders>
            <w:shd w:val="clear" w:color="000000" w:fill="FFFFFF"/>
            <w:vAlign w:val="center"/>
            <w:hideMark/>
          </w:tcPr>
          <w:p w14:paraId="64340580" w14:textId="77777777" w:rsidR="00FE776F" w:rsidRPr="00536E7C" w:rsidRDefault="00FE776F" w:rsidP="003A3C8A">
            <w:pPr>
              <w:spacing w:after="0" w:line="240" w:lineRule="auto"/>
              <w:jc w:val="right"/>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497,493</w:t>
            </w:r>
          </w:p>
        </w:tc>
      </w:tr>
    </w:tbl>
    <w:p w14:paraId="07B1E20E" w14:textId="77777777" w:rsidR="00FE776F" w:rsidRPr="002A5B6B" w:rsidRDefault="00FE776F" w:rsidP="00FE776F">
      <w:pPr>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4E39ED28" w14:textId="77777777" w:rsidR="00FE776F" w:rsidRPr="00655BDE" w:rsidRDefault="00FE776F" w:rsidP="00FE776F">
      <w:pPr>
        <w:spacing w:line="276" w:lineRule="auto"/>
        <w:jc w:val="both"/>
        <w:rPr>
          <w:rFonts w:ascii="Times New Roman" w:hAnsi="Times New Roman" w:cs="Times New Roman"/>
          <w:lang w:val="bg-BG"/>
        </w:rPr>
      </w:pPr>
      <w:bookmarkStart w:id="21" w:name="_Hlk72785268"/>
      <w:r w:rsidRPr="00655BDE">
        <w:rPr>
          <w:rFonts w:ascii="Times New Roman" w:hAnsi="Times New Roman" w:cs="Times New Roman"/>
          <w:lang w:val="bg-BG"/>
        </w:rPr>
        <w:t xml:space="preserve">Общото количество на образуваните </w:t>
      </w:r>
      <w:r w:rsidRPr="00655BDE">
        <w:rPr>
          <w:rFonts w:ascii="Times New Roman" w:hAnsi="Times New Roman" w:cs="Times New Roman"/>
          <w:b/>
          <w:bCs/>
          <w:lang w:val="bg-BG"/>
        </w:rPr>
        <w:t>производствени и опасни отпадъци</w:t>
      </w:r>
      <w:r w:rsidRPr="00655BDE">
        <w:rPr>
          <w:rFonts w:ascii="Times New Roman" w:hAnsi="Times New Roman" w:cs="Times New Roman"/>
          <w:lang w:val="bg-BG"/>
        </w:rPr>
        <w:t xml:space="preserve"> през 2018 г. е 126 138,159 kt със слабо изразена тенденция на намаляване в сравнение с 2015 г. По </w:t>
      </w:r>
      <w:bookmarkEnd w:id="21"/>
      <w:r w:rsidRPr="00655BDE">
        <w:rPr>
          <w:rFonts w:ascii="Times New Roman" w:hAnsi="Times New Roman" w:cs="Times New Roman"/>
          <w:lang w:val="bg-BG"/>
        </w:rPr>
        <w:t>отношение на неопасните отпадъци, най-голям е делът на минералните отпадъци (близо 84%) и отпадъците от горивни процеси (13.39%). При опасните отпадъци количеството минерални отпадъци (99%) е определящо.</w:t>
      </w:r>
    </w:p>
    <w:p w14:paraId="1F4BE89B" w14:textId="77777777" w:rsidR="00FE776F" w:rsidRPr="00F834BF" w:rsidRDefault="00F834BF" w:rsidP="00F834BF">
      <w:pPr>
        <w:pStyle w:val="Caption"/>
        <w:rPr>
          <w:rFonts w:ascii="Times New Roman" w:hAnsi="Times New Roman" w:cs="Times New Roman"/>
          <w:b w:val="0"/>
          <w:bCs w:val="0"/>
          <w:i/>
          <w:iCs/>
          <w:color w:val="auto"/>
          <w:sz w:val="22"/>
          <w:szCs w:val="22"/>
          <w:lang w:val="bg-BG"/>
        </w:rPr>
      </w:pPr>
      <w:bookmarkStart w:id="22" w:name="_Toc72919662"/>
      <w:r w:rsidRPr="00F834BF">
        <w:rPr>
          <w:rFonts w:ascii="Times New Roman" w:hAnsi="Times New Roman" w:cs="Times New Roman"/>
          <w:b w:val="0"/>
          <w:bCs w:val="0"/>
          <w:i/>
          <w:iCs/>
          <w:color w:val="auto"/>
          <w:sz w:val="22"/>
          <w:szCs w:val="22"/>
          <w:lang w:val="bg-BG"/>
        </w:rPr>
        <w:t xml:space="preserve">Таблица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Таблица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3</w:t>
      </w:r>
      <w:r w:rsidRPr="00F834BF">
        <w:rPr>
          <w:rFonts w:ascii="Times New Roman" w:hAnsi="Times New Roman" w:cs="Times New Roman"/>
          <w:b w:val="0"/>
          <w:bCs w:val="0"/>
          <w:i/>
          <w:iCs/>
          <w:color w:val="auto"/>
          <w:sz w:val="22"/>
          <w:szCs w:val="22"/>
          <w:lang w:val="bg-BG"/>
        </w:rPr>
        <w:fldChar w:fldCharType="end"/>
      </w:r>
      <w:r>
        <w:rPr>
          <w:rFonts w:ascii="Times New Roman" w:hAnsi="Times New Roman" w:cs="Times New Roman"/>
          <w:b w:val="0"/>
          <w:bCs w:val="0"/>
          <w:i/>
          <w:iCs/>
          <w:color w:val="auto"/>
          <w:sz w:val="22"/>
          <w:szCs w:val="22"/>
          <w:lang w:val="bg-BG"/>
        </w:rPr>
        <w:t xml:space="preserve"> </w:t>
      </w:r>
      <w:r w:rsidR="00FE776F" w:rsidRPr="00F834BF">
        <w:rPr>
          <w:rFonts w:ascii="Times New Roman" w:hAnsi="Times New Roman" w:cs="Times New Roman"/>
          <w:b w:val="0"/>
          <w:bCs w:val="0"/>
          <w:i/>
          <w:iCs/>
          <w:color w:val="auto"/>
          <w:sz w:val="22"/>
          <w:szCs w:val="22"/>
          <w:lang w:val="bg-BG"/>
        </w:rPr>
        <w:t xml:space="preserve">Образувани производствени и опасни отпадъци общо </w:t>
      </w:r>
      <w:r w:rsidR="003A3C8A" w:rsidRPr="00F834BF">
        <w:rPr>
          <w:rFonts w:ascii="Times New Roman" w:hAnsi="Times New Roman" w:cs="Times New Roman"/>
          <w:b w:val="0"/>
          <w:bCs w:val="0"/>
          <w:i/>
          <w:iCs/>
          <w:color w:val="auto"/>
          <w:sz w:val="22"/>
          <w:szCs w:val="22"/>
          <w:lang w:val="bg-BG"/>
        </w:rPr>
        <w:t>(тон)</w:t>
      </w:r>
      <w:bookmarkEnd w:id="22"/>
    </w:p>
    <w:tbl>
      <w:tblPr>
        <w:tblW w:w="4397" w:type="pct"/>
        <w:tblInd w:w="-10" w:type="dxa"/>
        <w:tblLook w:val="04A0" w:firstRow="1" w:lastRow="0" w:firstColumn="1" w:lastColumn="0" w:noHBand="0" w:noVBand="1"/>
      </w:tblPr>
      <w:tblGrid>
        <w:gridCol w:w="3096"/>
        <w:gridCol w:w="1280"/>
        <w:gridCol w:w="1280"/>
        <w:gridCol w:w="1280"/>
        <w:gridCol w:w="1278"/>
      </w:tblGrid>
      <w:tr w:rsidR="00FE776F" w:rsidRPr="00D27178" w14:paraId="4839F887" w14:textId="77777777" w:rsidTr="003A3C8A">
        <w:trPr>
          <w:trHeight w:val="290"/>
        </w:trPr>
        <w:tc>
          <w:tcPr>
            <w:tcW w:w="1885" w:type="pct"/>
            <w:tcBorders>
              <w:top w:val="single" w:sz="8" w:space="0" w:color="969696"/>
              <w:left w:val="single" w:sz="8" w:space="0" w:color="969696"/>
              <w:bottom w:val="single" w:sz="8" w:space="0" w:color="969696"/>
              <w:right w:val="single" w:sz="8" w:space="0" w:color="969696"/>
            </w:tcBorders>
            <w:shd w:val="clear" w:color="auto" w:fill="DEEAF6" w:themeFill="accent5" w:themeFillTint="33"/>
            <w:noWrap/>
            <w:vAlign w:val="bottom"/>
            <w:hideMark/>
          </w:tcPr>
          <w:p w14:paraId="3E274A51"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Наименование на отпадъците</w:t>
            </w:r>
          </w:p>
        </w:tc>
        <w:tc>
          <w:tcPr>
            <w:tcW w:w="779" w:type="pct"/>
            <w:tcBorders>
              <w:top w:val="single" w:sz="8" w:space="0" w:color="969696"/>
              <w:left w:val="nil"/>
              <w:bottom w:val="single" w:sz="8" w:space="0" w:color="969696"/>
              <w:right w:val="single" w:sz="8" w:space="0" w:color="969696"/>
            </w:tcBorders>
            <w:shd w:val="clear" w:color="auto" w:fill="DEEAF6" w:themeFill="accent5" w:themeFillTint="33"/>
            <w:noWrap/>
            <w:vAlign w:val="bottom"/>
            <w:hideMark/>
          </w:tcPr>
          <w:p w14:paraId="045ACE43"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2015</w:t>
            </w:r>
          </w:p>
        </w:tc>
        <w:tc>
          <w:tcPr>
            <w:tcW w:w="779" w:type="pct"/>
            <w:tcBorders>
              <w:top w:val="single" w:sz="8" w:space="0" w:color="969696"/>
              <w:left w:val="nil"/>
              <w:bottom w:val="single" w:sz="8" w:space="0" w:color="969696"/>
              <w:right w:val="single" w:sz="8" w:space="0" w:color="969696"/>
            </w:tcBorders>
            <w:shd w:val="clear" w:color="auto" w:fill="DEEAF6" w:themeFill="accent5" w:themeFillTint="33"/>
            <w:noWrap/>
            <w:vAlign w:val="bottom"/>
            <w:hideMark/>
          </w:tcPr>
          <w:p w14:paraId="2AA782BC"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2016</w:t>
            </w:r>
          </w:p>
        </w:tc>
        <w:tc>
          <w:tcPr>
            <w:tcW w:w="779" w:type="pct"/>
            <w:tcBorders>
              <w:top w:val="single" w:sz="8" w:space="0" w:color="969696"/>
              <w:left w:val="nil"/>
              <w:bottom w:val="single" w:sz="8" w:space="0" w:color="969696"/>
              <w:right w:val="single" w:sz="8" w:space="0" w:color="969696"/>
            </w:tcBorders>
            <w:shd w:val="clear" w:color="auto" w:fill="DEEAF6" w:themeFill="accent5" w:themeFillTint="33"/>
            <w:noWrap/>
            <w:vAlign w:val="bottom"/>
            <w:hideMark/>
          </w:tcPr>
          <w:p w14:paraId="774F2815"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2017</w:t>
            </w:r>
          </w:p>
        </w:tc>
        <w:tc>
          <w:tcPr>
            <w:tcW w:w="779" w:type="pct"/>
            <w:tcBorders>
              <w:top w:val="single" w:sz="8" w:space="0" w:color="969696"/>
              <w:left w:val="nil"/>
              <w:bottom w:val="single" w:sz="8" w:space="0" w:color="969696"/>
              <w:right w:val="single" w:sz="8" w:space="0" w:color="969696"/>
            </w:tcBorders>
            <w:shd w:val="clear" w:color="auto" w:fill="DEEAF6" w:themeFill="accent5" w:themeFillTint="33"/>
            <w:noWrap/>
            <w:vAlign w:val="bottom"/>
            <w:hideMark/>
          </w:tcPr>
          <w:p w14:paraId="32C199E7"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2018</w:t>
            </w:r>
          </w:p>
        </w:tc>
      </w:tr>
      <w:tr w:rsidR="00FE776F" w:rsidRPr="00D27178" w14:paraId="500F8DB1" w14:textId="77777777" w:rsidTr="003A3C8A">
        <w:trPr>
          <w:trHeight w:val="290"/>
        </w:trPr>
        <w:tc>
          <w:tcPr>
            <w:tcW w:w="1885" w:type="pct"/>
            <w:tcBorders>
              <w:top w:val="nil"/>
              <w:left w:val="single" w:sz="8" w:space="0" w:color="969696"/>
              <w:bottom w:val="single" w:sz="8" w:space="0" w:color="969696"/>
              <w:right w:val="single" w:sz="8" w:space="0" w:color="969696"/>
            </w:tcBorders>
            <w:shd w:val="clear" w:color="auto" w:fill="auto"/>
            <w:noWrap/>
            <w:vAlign w:val="bottom"/>
            <w:hideMark/>
          </w:tcPr>
          <w:p w14:paraId="73002310" w14:textId="77777777" w:rsidR="00FE776F" w:rsidRPr="00536E7C" w:rsidRDefault="00FE776F" w:rsidP="003A3C8A">
            <w:pPr>
              <w:spacing w:after="0" w:line="240" w:lineRule="auto"/>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Общо образувани отпадъци</w:t>
            </w:r>
          </w:p>
        </w:tc>
        <w:tc>
          <w:tcPr>
            <w:tcW w:w="779" w:type="pct"/>
            <w:tcBorders>
              <w:top w:val="nil"/>
              <w:left w:val="nil"/>
              <w:bottom w:val="single" w:sz="8" w:space="0" w:color="969696"/>
              <w:right w:val="single" w:sz="8" w:space="0" w:color="969696"/>
            </w:tcBorders>
            <w:shd w:val="clear" w:color="auto" w:fill="auto"/>
            <w:noWrap/>
            <w:vAlign w:val="bottom"/>
            <w:hideMark/>
          </w:tcPr>
          <w:p w14:paraId="674E1CB7" w14:textId="77777777" w:rsidR="00FE776F" w:rsidRPr="00536E7C" w:rsidRDefault="00FE776F" w:rsidP="003A3C8A">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136890293</w:t>
            </w:r>
          </w:p>
        </w:tc>
        <w:tc>
          <w:tcPr>
            <w:tcW w:w="779" w:type="pct"/>
            <w:tcBorders>
              <w:top w:val="nil"/>
              <w:left w:val="nil"/>
              <w:bottom w:val="single" w:sz="8" w:space="0" w:color="969696"/>
              <w:right w:val="single" w:sz="8" w:space="0" w:color="969696"/>
            </w:tcBorders>
            <w:shd w:val="clear" w:color="auto" w:fill="auto"/>
            <w:noWrap/>
            <w:vAlign w:val="bottom"/>
            <w:hideMark/>
          </w:tcPr>
          <w:p w14:paraId="3AB074B8" w14:textId="77777777" w:rsidR="00FE776F" w:rsidRPr="00536E7C" w:rsidRDefault="00FE776F" w:rsidP="003A3C8A">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117091894</w:t>
            </w:r>
          </w:p>
        </w:tc>
        <w:tc>
          <w:tcPr>
            <w:tcW w:w="779" w:type="pct"/>
            <w:tcBorders>
              <w:top w:val="nil"/>
              <w:left w:val="nil"/>
              <w:bottom w:val="single" w:sz="8" w:space="0" w:color="969696"/>
              <w:right w:val="single" w:sz="8" w:space="0" w:color="969696"/>
            </w:tcBorders>
            <w:shd w:val="clear" w:color="auto" w:fill="auto"/>
            <w:noWrap/>
            <w:vAlign w:val="bottom"/>
            <w:hideMark/>
          </w:tcPr>
          <w:p w14:paraId="1E7A8153" w14:textId="77777777" w:rsidR="00FE776F" w:rsidRPr="00536E7C" w:rsidRDefault="00FE776F" w:rsidP="003A3C8A">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122315892</w:t>
            </w:r>
          </w:p>
        </w:tc>
        <w:tc>
          <w:tcPr>
            <w:tcW w:w="779" w:type="pct"/>
            <w:tcBorders>
              <w:top w:val="nil"/>
              <w:left w:val="nil"/>
              <w:bottom w:val="single" w:sz="8" w:space="0" w:color="969696"/>
              <w:right w:val="single" w:sz="8" w:space="0" w:color="969696"/>
            </w:tcBorders>
            <w:shd w:val="clear" w:color="auto" w:fill="auto"/>
            <w:noWrap/>
            <w:vAlign w:val="bottom"/>
            <w:hideMark/>
          </w:tcPr>
          <w:p w14:paraId="5CC015C2" w14:textId="77777777" w:rsidR="00FE776F" w:rsidRPr="00536E7C" w:rsidRDefault="00FE776F" w:rsidP="003A3C8A">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126 138 159</w:t>
            </w:r>
          </w:p>
        </w:tc>
      </w:tr>
      <w:tr w:rsidR="00FE776F" w:rsidRPr="00D27178" w14:paraId="053F0656" w14:textId="77777777" w:rsidTr="003A3C8A">
        <w:trPr>
          <w:trHeight w:val="290"/>
        </w:trPr>
        <w:tc>
          <w:tcPr>
            <w:tcW w:w="1885" w:type="pct"/>
            <w:tcBorders>
              <w:top w:val="nil"/>
              <w:left w:val="single" w:sz="8" w:space="0" w:color="969696"/>
              <w:bottom w:val="single" w:sz="8" w:space="0" w:color="969696"/>
              <w:right w:val="single" w:sz="8" w:space="0" w:color="969696"/>
            </w:tcBorders>
            <w:shd w:val="clear" w:color="auto" w:fill="auto"/>
            <w:noWrap/>
            <w:vAlign w:val="bottom"/>
            <w:hideMark/>
          </w:tcPr>
          <w:p w14:paraId="7FBB8D73"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Неопасни отпадъци</w:t>
            </w:r>
          </w:p>
        </w:tc>
        <w:tc>
          <w:tcPr>
            <w:tcW w:w="779" w:type="pct"/>
            <w:tcBorders>
              <w:top w:val="nil"/>
              <w:left w:val="nil"/>
              <w:bottom w:val="single" w:sz="8" w:space="0" w:color="969696"/>
              <w:right w:val="single" w:sz="8" w:space="0" w:color="969696"/>
            </w:tcBorders>
            <w:shd w:val="clear" w:color="auto" w:fill="auto"/>
            <w:noWrap/>
            <w:vAlign w:val="bottom"/>
            <w:hideMark/>
          </w:tcPr>
          <w:p w14:paraId="592E5FEC"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123814233</w:t>
            </w:r>
          </w:p>
        </w:tc>
        <w:tc>
          <w:tcPr>
            <w:tcW w:w="779" w:type="pct"/>
            <w:tcBorders>
              <w:top w:val="nil"/>
              <w:left w:val="nil"/>
              <w:bottom w:val="single" w:sz="8" w:space="0" w:color="969696"/>
              <w:right w:val="single" w:sz="8" w:space="0" w:color="969696"/>
            </w:tcBorders>
            <w:shd w:val="clear" w:color="auto" w:fill="auto"/>
            <w:noWrap/>
            <w:vAlign w:val="bottom"/>
            <w:hideMark/>
          </w:tcPr>
          <w:p w14:paraId="6322D758"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103928268</w:t>
            </w:r>
          </w:p>
        </w:tc>
        <w:tc>
          <w:tcPr>
            <w:tcW w:w="779" w:type="pct"/>
            <w:tcBorders>
              <w:top w:val="nil"/>
              <w:left w:val="nil"/>
              <w:bottom w:val="single" w:sz="8" w:space="0" w:color="969696"/>
              <w:right w:val="single" w:sz="8" w:space="0" w:color="969696"/>
            </w:tcBorders>
            <w:shd w:val="clear" w:color="auto" w:fill="auto"/>
            <w:noWrap/>
            <w:vAlign w:val="bottom"/>
            <w:hideMark/>
          </w:tcPr>
          <w:p w14:paraId="4AAC396A"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108304466</w:t>
            </w:r>
          </w:p>
        </w:tc>
        <w:tc>
          <w:tcPr>
            <w:tcW w:w="779" w:type="pct"/>
            <w:tcBorders>
              <w:top w:val="nil"/>
              <w:left w:val="nil"/>
              <w:bottom w:val="single" w:sz="8" w:space="0" w:color="969696"/>
              <w:right w:val="single" w:sz="8" w:space="0" w:color="969696"/>
            </w:tcBorders>
            <w:shd w:val="clear" w:color="auto" w:fill="auto"/>
            <w:noWrap/>
            <w:vAlign w:val="bottom"/>
            <w:hideMark/>
          </w:tcPr>
          <w:p w14:paraId="4C23674E"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112 824 785</w:t>
            </w:r>
          </w:p>
        </w:tc>
      </w:tr>
      <w:tr w:rsidR="00FE776F" w:rsidRPr="00D27178" w14:paraId="2C1E6D03" w14:textId="77777777" w:rsidTr="003A3C8A">
        <w:trPr>
          <w:trHeight w:val="290"/>
        </w:trPr>
        <w:tc>
          <w:tcPr>
            <w:tcW w:w="1885" w:type="pct"/>
            <w:tcBorders>
              <w:top w:val="nil"/>
              <w:left w:val="single" w:sz="8" w:space="0" w:color="969696"/>
              <w:bottom w:val="single" w:sz="8" w:space="0" w:color="969696"/>
              <w:right w:val="single" w:sz="8" w:space="0" w:color="969696"/>
            </w:tcBorders>
            <w:shd w:val="clear" w:color="auto" w:fill="auto"/>
            <w:noWrap/>
            <w:vAlign w:val="bottom"/>
            <w:hideMark/>
          </w:tcPr>
          <w:p w14:paraId="5DE2D367" w14:textId="77777777" w:rsidR="00FE776F" w:rsidRPr="00536E7C" w:rsidRDefault="00FE776F" w:rsidP="003A3C8A">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Опасни отпадъци</w:t>
            </w:r>
            <w:r w:rsidRPr="00536E7C">
              <w:rPr>
                <w:rFonts w:ascii="Times New Roman" w:eastAsia="Times New Roman" w:hAnsi="Times New Roman" w:cs="Times New Roman"/>
                <w:color w:val="FF0000"/>
                <w:sz w:val="20"/>
                <w:szCs w:val="20"/>
                <w:lang w:val="bg-BG"/>
              </w:rPr>
              <w:t xml:space="preserve"> </w:t>
            </w:r>
            <w:r w:rsidRPr="00536E7C">
              <w:rPr>
                <w:rFonts w:ascii="Times New Roman" w:eastAsia="Times New Roman" w:hAnsi="Times New Roman" w:cs="Times New Roman"/>
                <w:sz w:val="20"/>
                <w:szCs w:val="20"/>
                <w:vertAlign w:val="superscript"/>
                <w:lang w:val="bg-BG"/>
              </w:rPr>
              <w:t>2</w:t>
            </w:r>
          </w:p>
        </w:tc>
        <w:tc>
          <w:tcPr>
            <w:tcW w:w="779" w:type="pct"/>
            <w:tcBorders>
              <w:top w:val="nil"/>
              <w:left w:val="nil"/>
              <w:bottom w:val="single" w:sz="8" w:space="0" w:color="969696"/>
              <w:right w:val="single" w:sz="8" w:space="0" w:color="969696"/>
            </w:tcBorders>
            <w:shd w:val="clear" w:color="auto" w:fill="auto"/>
            <w:noWrap/>
            <w:vAlign w:val="bottom"/>
            <w:hideMark/>
          </w:tcPr>
          <w:p w14:paraId="61D4FF2A"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13076060</w:t>
            </w:r>
          </w:p>
        </w:tc>
        <w:tc>
          <w:tcPr>
            <w:tcW w:w="779" w:type="pct"/>
            <w:tcBorders>
              <w:top w:val="nil"/>
              <w:left w:val="nil"/>
              <w:bottom w:val="single" w:sz="8" w:space="0" w:color="969696"/>
              <w:right w:val="single" w:sz="8" w:space="0" w:color="969696"/>
            </w:tcBorders>
            <w:shd w:val="clear" w:color="auto" w:fill="auto"/>
            <w:noWrap/>
            <w:vAlign w:val="bottom"/>
            <w:hideMark/>
          </w:tcPr>
          <w:p w14:paraId="434DEBEA"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13163626</w:t>
            </w:r>
          </w:p>
        </w:tc>
        <w:tc>
          <w:tcPr>
            <w:tcW w:w="779" w:type="pct"/>
            <w:tcBorders>
              <w:top w:val="nil"/>
              <w:left w:val="nil"/>
              <w:bottom w:val="single" w:sz="8" w:space="0" w:color="969696"/>
              <w:right w:val="single" w:sz="8" w:space="0" w:color="969696"/>
            </w:tcBorders>
            <w:shd w:val="clear" w:color="auto" w:fill="auto"/>
            <w:noWrap/>
            <w:vAlign w:val="bottom"/>
            <w:hideMark/>
          </w:tcPr>
          <w:p w14:paraId="1F603AF0"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14011426</w:t>
            </w:r>
          </w:p>
        </w:tc>
        <w:tc>
          <w:tcPr>
            <w:tcW w:w="779" w:type="pct"/>
            <w:tcBorders>
              <w:top w:val="nil"/>
              <w:left w:val="nil"/>
              <w:bottom w:val="single" w:sz="8" w:space="0" w:color="969696"/>
              <w:right w:val="single" w:sz="8" w:space="0" w:color="969696"/>
            </w:tcBorders>
            <w:shd w:val="clear" w:color="auto" w:fill="auto"/>
            <w:noWrap/>
            <w:vAlign w:val="bottom"/>
            <w:hideMark/>
          </w:tcPr>
          <w:p w14:paraId="49C1D53D" w14:textId="77777777" w:rsidR="00FE776F" w:rsidRPr="00536E7C" w:rsidRDefault="00FE776F" w:rsidP="003A3C8A">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13 313 374</w:t>
            </w:r>
          </w:p>
        </w:tc>
      </w:tr>
    </w:tbl>
    <w:p w14:paraId="2648DC7D" w14:textId="77777777" w:rsidR="00FE776F" w:rsidRPr="00F834BF" w:rsidRDefault="00FE776F" w:rsidP="00F834BF">
      <w:pPr>
        <w:pStyle w:val="Caption"/>
        <w:rPr>
          <w:rFonts w:ascii="Times New Roman" w:hAnsi="Times New Roman" w:cs="Times New Roman"/>
          <w:b w:val="0"/>
          <w:bCs w:val="0"/>
          <w:i/>
          <w:iCs/>
          <w:color w:val="auto"/>
          <w:sz w:val="22"/>
          <w:szCs w:val="22"/>
          <w:lang w:val="bg-BG"/>
        </w:rPr>
      </w:pPr>
      <w:r w:rsidRPr="00F834BF">
        <w:rPr>
          <w:rFonts w:ascii="Times New Roman" w:hAnsi="Times New Roman" w:cs="Times New Roman"/>
          <w:b w:val="0"/>
          <w:bCs w:val="0"/>
          <w:i/>
          <w:iCs/>
          <w:color w:val="auto"/>
          <w:sz w:val="22"/>
          <w:szCs w:val="22"/>
          <w:lang w:val="bg-BG"/>
        </w:rPr>
        <w:t>Източник: НСИ</w:t>
      </w:r>
    </w:p>
    <w:p w14:paraId="543F7D6D" w14:textId="77777777" w:rsidR="00FE776F" w:rsidRPr="00655BDE" w:rsidRDefault="00FE776F" w:rsidP="00FE776F">
      <w:pPr>
        <w:spacing w:after="120" w:line="276" w:lineRule="auto"/>
        <w:jc w:val="both"/>
        <w:rPr>
          <w:rFonts w:ascii="Times New Roman" w:eastAsia="Times New Roman" w:hAnsi="Times New Roman" w:cs="Times New Roman"/>
          <w:lang w:val="bg-BG"/>
        </w:rPr>
      </w:pPr>
      <w:bookmarkStart w:id="23" w:name="_Hlk72785278"/>
      <w:r w:rsidRPr="00655BDE">
        <w:rPr>
          <w:rFonts w:ascii="Times New Roman" w:eastAsia="Times New Roman" w:hAnsi="Times New Roman" w:cs="Times New Roman"/>
          <w:lang w:val="bg-BG"/>
        </w:rPr>
        <w:t>В периода 20</w:t>
      </w:r>
      <w:r w:rsidR="003E386A" w:rsidRPr="00655BDE">
        <w:rPr>
          <w:rFonts w:ascii="Times New Roman" w:eastAsia="Times New Roman" w:hAnsi="Times New Roman" w:cs="Times New Roman"/>
          <w:lang w:val="bg-BG"/>
        </w:rPr>
        <w:t>10</w:t>
      </w:r>
      <w:r w:rsidRPr="00655BDE">
        <w:rPr>
          <w:rFonts w:ascii="Times New Roman" w:eastAsia="Times New Roman" w:hAnsi="Times New Roman" w:cs="Times New Roman"/>
          <w:lang w:val="bg-BG"/>
        </w:rPr>
        <w:t xml:space="preserve">-2018 г. е налице увеличаване на количествата на образуваните </w:t>
      </w:r>
      <w:r w:rsidRPr="00655BDE">
        <w:rPr>
          <w:rFonts w:ascii="Times New Roman" w:eastAsia="Times New Roman" w:hAnsi="Times New Roman" w:cs="Times New Roman"/>
          <w:b/>
          <w:bCs/>
          <w:lang w:val="bg-BG"/>
        </w:rPr>
        <w:t>утайки от ПСОВ</w:t>
      </w:r>
      <w:r w:rsidRPr="00655BDE">
        <w:rPr>
          <w:rFonts w:ascii="Times New Roman" w:eastAsia="Times New Roman" w:hAnsi="Times New Roman" w:cs="Times New Roman"/>
          <w:lang w:val="bg-BG"/>
        </w:rPr>
        <w:t xml:space="preserve">. </w:t>
      </w:r>
      <w:bookmarkEnd w:id="23"/>
      <w:r w:rsidRPr="00655BDE">
        <w:rPr>
          <w:rFonts w:ascii="Times New Roman" w:eastAsia="Times New Roman" w:hAnsi="Times New Roman" w:cs="Times New Roman"/>
          <w:lang w:val="bg-BG"/>
        </w:rPr>
        <w:t>Въпреки това образуваните утайки от ПСОВ на жител в страната на годишна база са едни от най-ниските в ЕС.</w:t>
      </w:r>
    </w:p>
    <w:p w14:paraId="22BBAC85" w14:textId="77777777" w:rsidR="00FE776F" w:rsidRPr="00F834BF" w:rsidRDefault="00F834BF" w:rsidP="00F834BF">
      <w:pPr>
        <w:pStyle w:val="Caption"/>
        <w:keepNext/>
        <w:jc w:val="both"/>
        <w:rPr>
          <w:rFonts w:ascii="Times New Roman" w:eastAsia="Times New Roman" w:hAnsi="Times New Roman" w:cs="Times New Roman"/>
          <w:b w:val="0"/>
          <w:bCs w:val="0"/>
          <w:i/>
          <w:color w:val="auto"/>
          <w:sz w:val="22"/>
          <w:szCs w:val="22"/>
          <w:lang w:val="bg-BG"/>
        </w:rPr>
      </w:pPr>
      <w:bookmarkStart w:id="24" w:name="_Toc72919682"/>
      <w:r w:rsidRPr="00F834BF">
        <w:rPr>
          <w:rFonts w:ascii="Times New Roman" w:eastAsia="Times New Roman" w:hAnsi="Times New Roman" w:cs="Times New Roman"/>
          <w:b w:val="0"/>
          <w:bCs w:val="0"/>
          <w:i/>
          <w:color w:val="auto"/>
          <w:sz w:val="22"/>
          <w:szCs w:val="22"/>
          <w:lang w:val="bg-BG"/>
        </w:rPr>
        <w:lastRenderedPageBreak/>
        <w:t xml:space="preserve">Фигура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Фигура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1</w:t>
      </w:r>
      <w:r w:rsidRPr="00F834BF">
        <w:rPr>
          <w:rFonts w:ascii="Times New Roman" w:eastAsia="Times New Roman" w:hAnsi="Times New Roman" w:cs="Times New Roman"/>
          <w:b w:val="0"/>
          <w:bCs w:val="0"/>
          <w:i/>
          <w:color w:val="auto"/>
          <w:sz w:val="22"/>
          <w:szCs w:val="22"/>
          <w:lang w:val="bg-BG"/>
        </w:rPr>
        <w:fldChar w:fldCharType="end"/>
      </w:r>
      <w:r w:rsidRPr="00F834BF">
        <w:rPr>
          <w:rFonts w:ascii="Times New Roman" w:eastAsia="Times New Roman" w:hAnsi="Times New Roman" w:cs="Times New Roman"/>
          <w:b w:val="0"/>
          <w:bCs w:val="0"/>
          <w:i/>
          <w:color w:val="auto"/>
          <w:sz w:val="22"/>
          <w:szCs w:val="22"/>
          <w:lang w:val="bg-BG"/>
        </w:rPr>
        <w:t xml:space="preserve"> </w:t>
      </w:r>
      <w:r w:rsidR="00FE776F" w:rsidRPr="00F834BF">
        <w:rPr>
          <w:rFonts w:ascii="Times New Roman" w:eastAsia="Times New Roman" w:hAnsi="Times New Roman" w:cs="Times New Roman"/>
          <w:b w:val="0"/>
          <w:bCs w:val="0"/>
          <w:i/>
          <w:noProof/>
          <w:color w:val="auto"/>
          <w:sz w:val="22"/>
          <w:szCs w:val="22"/>
          <w:lang w:val="bg-BG" w:eastAsia="bg-BG"/>
        </w:rPr>
        <w:drawing>
          <wp:anchor distT="0" distB="0" distL="114300" distR="114300" simplePos="0" relativeHeight="251676672" behindDoc="0" locked="0" layoutInCell="1" allowOverlap="1" wp14:anchorId="04BAFCC8" wp14:editId="1480281A">
            <wp:simplePos x="0" y="0"/>
            <wp:positionH relativeFrom="column">
              <wp:posOffset>-12700</wp:posOffset>
            </wp:positionH>
            <wp:positionV relativeFrom="paragraph">
              <wp:posOffset>261620</wp:posOffset>
            </wp:positionV>
            <wp:extent cx="3886200" cy="1854200"/>
            <wp:effectExtent l="0" t="0" r="0" b="12700"/>
            <wp:wrapNone/>
            <wp:docPr id="34" name="Chart 34">
              <a:extLst xmlns:a="http://schemas.openxmlformats.org/drawingml/2006/main">
                <a:ext uri="{FF2B5EF4-FFF2-40B4-BE49-F238E27FC236}">
                  <a16:creationId xmlns:a16="http://schemas.microsoft.com/office/drawing/2014/main" id="{97A50B5D-3BF8-411B-AB18-EBA0937EB5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FE776F" w:rsidRPr="00F834BF">
        <w:rPr>
          <w:rFonts w:ascii="Times New Roman" w:eastAsia="Times New Roman" w:hAnsi="Times New Roman" w:cs="Times New Roman"/>
          <w:b w:val="0"/>
          <w:bCs w:val="0"/>
          <w:i/>
          <w:color w:val="auto"/>
          <w:sz w:val="22"/>
          <w:szCs w:val="22"/>
          <w:lang w:val="bg-BG"/>
        </w:rPr>
        <w:t>Общо образувани и третирани утайки, 20</w:t>
      </w:r>
      <w:r w:rsidR="003E386A" w:rsidRPr="00F834BF">
        <w:rPr>
          <w:rFonts w:ascii="Times New Roman" w:eastAsia="Times New Roman" w:hAnsi="Times New Roman" w:cs="Times New Roman"/>
          <w:b w:val="0"/>
          <w:bCs w:val="0"/>
          <w:i/>
          <w:color w:val="auto"/>
          <w:sz w:val="22"/>
          <w:szCs w:val="22"/>
          <w:lang w:val="bg-BG"/>
        </w:rPr>
        <w:t>10</w:t>
      </w:r>
      <w:r w:rsidR="00FE776F" w:rsidRPr="00F834BF">
        <w:rPr>
          <w:rFonts w:ascii="Times New Roman" w:eastAsia="Times New Roman" w:hAnsi="Times New Roman" w:cs="Times New Roman"/>
          <w:b w:val="0"/>
          <w:bCs w:val="0"/>
          <w:i/>
          <w:color w:val="auto"/>
          <w:sz w:val="22"/>
          <w:szCs w:val="22"/>
          <w:lang w:val="bg-BG"/>
        </w:rPr>
        <w:t>-2018 г.</w:t>
      </w:r>
      <w:r w:rsidR="004C5987" w:rsidRPr="00F834BF">
        <w:rPr>
          <w:rFonts w:ascii="Times New Roman" w:eastAsia="Times New Roman" w:hAnsi="Times New Roman" w:cs="Times New Roman"/>
          <w:b w:val="0"/>
          <w:bCs w:val="0"/>
          <w:i/>
          <w:color w:val="auto"/>
          <w:sz w:val="22"/>
          <w:szCs w:val="22"/>
          <w:lang w:val="bg-BG"/>
        </w:rPr>
        <w:t xml:space="preserve"> (</w:t>
      </w:r>
      <w:r w:rsidR="00FE776F" w:rsidRPr="00F834BF">
        <w:rPr>
          <w:rFonts w:ascii="Times New Roman" w:eastAsia="Times New Roman" w:hAnsi="Times New Roman" w:cs="Times New Roman"/>
          <w:b w:val="0"/>
          <w:bCs w:val="0"/>
          <w:i/>
          <w:color w:val="auto"/>
          <w:sz w:val="22"/>
          <w:szCs w:val="22"/>
          <w:lang w:val="bg-BG"/>
        </w:rPr>
        <w:t>тон</w:t>
      </w:r>
      <w:r w:rsidR="004C5987" w:rsidRPr="00F834BF">
        <w:rPr>
          <w:rFonts w:ascii="Times New Roman" w:eastAsia="Times New Roman" w:hAnsi="Times New Roman" w:cs="Times New Roman"/>
          <w:b w:val="0"/>
          <w:bCs w:val="0"/>
          <w:i/>
          <w:color w:val="auto"/>
          <w:sz w:val="22"/>
          <w:szCs w:val="22"/>
          <w:lang w:val="bg-BG"/>
        </w:rPr>
        <w:t>)</w:t>
      </w:r>
      <w:bookmarkEnd w:id="24"/>
    </w:p>
    <w:p w14:paraId="14D62FB4" w14:textId="77777777" w:rsidR="00FE776F" w:rsidRPr="002A5B6B" w:rsidRDefault="00FE776F" w:rsidP="00FE776F">
      <w:pPr>
        <w:keepNext/>
        <w:spacing w:after="0"/>
        <w:jc w:val="center"/>
        <w:rPr>
          <w:lang w:val="bg-BG" w:eastAsia="bg-BG"/>
        </w:rPr>
      </w:pPr>
    </w:p>
    <w:p w14:paraId="77F0C782" w14:textId="77777777" w:rsidR="00FE776F" w:rsidRPr="002A5B6B" w:rsidRDefault="00FE776F" w:rsidP="00FE776F">
      <w:pPr>
        <w:keepNext/>
        <w:spacing w:after="0"/>
        <w:jc w:val="center"/>
        <w:rPr>
          <w:lang w:val="bg-BG" w:eastAsia="bg-BG"/>
        </w:rPr>
      </w:pPr>
    </w:p>
    <w:p w14:paraId="6B22AC20" w14:textId="77777777" w:rsidR="00FE776F" w:rsidRPr="002A5B6B" w:rsidRDefault="00FE776F" w:rsidP="00FE776F">
      <w:pPr>
        <w:keepNext/>
        <w:spacing w:after="0"/>
        <w:jc w:val="center"/>
        <w:rPr>
          <w:lang w:val="bg-BG" w:eastAsia="bg-BG"/>
        </w:rPr>
      </w:pPr>
    </w:p>
    <w:p w14:paraId="2C324907" w14:textId="77777777" w:rsidR="00FE776F" w:rsidRPr="002A5B6B" w:rsidRDefault="00FE776F" w:rsidP="00FE776F">
      <w:pPr>
        <w:keepNext/>
        <w:spacing w:after="0"/>
        <w:jc w:val="center"/>
        <w:rPr>
          <w:lang w:val="bg-BG" w:eastAsia="bg-BG"/>
        </w:rPr>
      </w:pPr>
    </w:p>
    <w:p w14:paraId="20285FB2" w14:textId="77777777" w:rsidR="00FE776F" w:rsidRPr="002A5B6B" w:rsidRDefault="00FE776F" w:rsidP="00FE776F">
      <w:pPr>
        <w:keepNext/>
        <w:spacing w:after="0"/>
        <w:jc w:val="center"/>
        <w:rPr>
          <w:lang w:val="bg-BG" w:eastAsia="bg-BG"/>
        </w:rPr>
      </w:pPr>
    </w:p>
    <w:p w14:paraId="47EBF473" w14:textId="77777777" w:rsidR="00FE776F" w:rsidRPr="002A5B6B" w:rsidRDefault="00FE776F" w:rsidP="00FE776F">
      <w:pPr>
        <w:keepNext/>
        <w:spacing w:after="0"/>
        <w:jc w:val="center"/>
        <w:rPr>
          <w:lang w:val="bg-BG" w:eastAsia="bg-BG"/>
        </w:rPr>
      </w:pPr>
    </w:p>
    <w:p w14:paraId="420DAFE0" w14:textId="77777777" w:rsidR="00FE776F" w:rsidRDefault="00FE776F" w:rsidP="00FE776F">
      <w:pPr>
        <w:keepNext/>
        <w:spacing w:after="0"/>
        <w:jc w:val="center"/>
        <w:rPr>
          <w:lang w:val="bg-BG" w:eastAsia="bg-BG"/>
        </w:rPr>
      </w:pPr>
    </w:p>
    <w:p w14:paraId="222104E3" w14:textId="77777777" w:rsidR="004C5987" w:rsidRDefault="004C5987" w:rsidP="00FE776F">
      <w:pPr>
        <w:keepNext/>
        <w:spacing w:after="0"/>
        <w:jc w:val="center"/>
        <w:rPr>
          <w:lang w:val="bg-BG" w:eastAsia="bg-BG"/>
        </w:rPr>
      </w:pPr>
    </w:p>
    <w:p w14:paraId="67C52A24" w14:textId="77777777" w:rsidR="004C5987" w:rsidRPr="002A5B6B" w:rsidRDefault="004C5987" w:rsidP="00FE776F">
      <w:pPr>
        <w:keepNext/>
        <w:spacing w:after="0"/>
        <w:jc w:val="center"/>
        <w:rPr>
          <w:lang w:val="bg-BG" w:eastAsia="bg-BG"/>
        </w:rPr>
      </w:pPr>
    </w:p>
    <w:p w14:paraId="11EE9154" w14:textId="77777777" w:rsidR="00FE776F" w:rsidRDefault="00FE776F" w:rsidP="00FE776F">
      <w:pPr>
        <w:ind w:left="-426"/>
        <w:rPr>
          <w:i/>
          <w:sz w:val="20"/>
          <w:szCs w:val="20"/>
          <w:lang w:val="bg-BG"/>
        </w:rPr>
      </w:pPr>
    </w:p>
    <w:p w14:paraId="084A0CB9" w14:textId="77777777" w:rsidR="00FE776F" w:rsidRPr="002A5B6B" w:rsidRDefault="00FE776F" w:rsidP="00FE776F">
      <w:pPr>
        <w:ind w:left="-426" w:firstLine="426"/>
        <w:rPr>
          <w:rFonts w:ascii="Times New Roman" w:hAnsi="Times New Roman" w:cs="Times New Roman"/>
          <w:i/>
          <w:sz w:val="20"/>
          <w:szCs w:val="20"/>
          <w:lang w:val="bg-BG"/>
        </w:rPr>
      </w:pPr>
      <w:r w:rsidRPr="002A5B6B">
        <w:rPr>
          <w:rFonts w:ascii="Times New Roman" w:hAnsi="Times New Roman" w:cs="Times New Roman"/>
          <w:i/>
          <w:sz w:val="20"/>
          <w:szCs w:val="20"/>
          <w:lang w:val="bg-BG"/>
        </w:rPr>
        <w:t>Източник: Eвростат</w:t>
      </w:r>
    </w:p>
    <w:p w14:paraId="1BD6DA71" w14:textId="77777777" w:rsidR="00FE776F" w:rsidRPr="00655BDE" w:rsidRDefault="00FE776F" w:rsidP="00FE776F">
      <w:pPr>
        <w:spacing w:after="0" w:line="276" w:lineRule="auto"/>
        <w:jc w:val="both"/>
        <w:rPr>
          <w:rFonts w:ascii="Times New Roman" w:hAnsi="Times New Roman" w:cs="Times New Roman"/>
          <w:lang w:val="bg-BG"/>
        </w:rPr>
      </w:pPr>
      <w:r w:rsidRPr="00655BDE">
        <w:rPr>
          <w:rFonts w:ascii="Times New Roman" w:hAnsi="Times New Roman" w:cs="Times New Roman"/>
          <w:lang w:val="bg-BG"/>
        </w:rPr>
        <w:t xml:space="preserve">В рамките на периода 2010 – 2018 г. се регистрира </w:t>
      </w:r>
      <w:bookmarkStart w:id="25" w:name="_Hlk72785288"/>
      <w:r w:rsidR="003E386A" w:rsidRPr="00655BDE">
        <w:rPr>
          <w:rFonts w:ascii="Times New Roman" w:hAnsi="Times New Roman" w:cs="Times New Roman"/>
          <w:lang w:val="bg-BG"/>
        </w:rPr>
        <w:t xml:space="preserve">и </w:t>
      </w:r>
      <w:r w:rsidRPr="00655BDE">
        <w:rPr>
          <w:rFonts w:ascii="Times New Roman" w:hAnsi="Times New Roman" w:cs="Times New Roman"/>
          <w:lang w:val="bg-BG"/>
        </w:rPr>
        <w:t xml:space="preserve">увеличаване на количествата на образуваните </w:t>
      </w:r>
      <w:r w:rsidRPr="00655BDE">
        <w:rPr>
          <w:rFonts w:ascii="Times New Roman" w:eastAsia="Times New Roman" w:hAnsi="Times New Roman" w:cs="Times New Roman"/>
          <w:b/>
          <w:bCs/>
          <w:lang w:val="bg-BG"/>
        </w:rPr>
        <w:t>отпадъци от лечебни и здравни заведения</w:t>
      </w:r>
      <w:r w:rsidRPr="00655BDE">
        <w:rPr>
          <w:rFonts w:ascii="Times New Roman" w:hAnsi="Times New Roman" w:cs="Times New Roman"/>
          <w:b/>
          <w:bCs/>
          <w:lang w:val="bg-BG"/>
        </w:rPr>
        <w:t>.</w:t>
      </w:r>
      <w:r w:rsidRPr="00655BDE">
        <w:rPr>
          <w:rFonts w:ascii="Times New Roman" w:hAnsi="Times New Roman" w:cs="Times New Roman"/>
          <w:lang w:val="bg-BG"/>
        </w:rPr>
        <w:t xml:space="preserve"> </w:t>
      </w:r>
      <w:bookmarkEnd w:id="25"/>
    </w:p>
    <w:p w14:paraId="1C86F499" w14:textId="77777777" w:rsidR="00F834BF" w:rsidRDefault="00F834BF" w:rsidP="00F834BF">
      <w:pPr>
        <w:pStyle w:val="Caption"/>
        <w:keepNext/>
        <w:rPr>
          <w:rFonts w:ascii="Times New Roman" w:eastAsia="Times New Roman" w:hAnsi="Times New Roman" w:cs="Times New Roman"/>
          <w:b w:val="0"/>
          <w:bCs w:val="0"/>
          <w:i/>
          <w:color w:val="auto"/>
          <w:sz w:val="22"/>
          <w:szCs w:val="22"/>
          <w:lang w:val="bg-BG"/>
        </w:rPr>
      </w:pPr>
      <w:bookmarkStart w:id="26" w:name="_Toc72919683"/>
      <w:r w:rsidRPr="00F834BF">
        <w:rPr>
          <w:rFonts w:ascii="Times New Roman" w:eastAsia="Times New Roman" w:hAnsi="Times New Roman" w:cs="Times New Roman"/>
          <w:b w:val="0"/>
          <w:bCs w:val="0"/>
          <w:i/>
          <w:color w:val="auto"/>
          <w:sz w:val="22"/>
          <w:szCs w:val="22"/>
          <w:lang w:val="bg-BG"/>
        </w:rPr>
        <w:t xml:space="preserve">Фигура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Фигура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2</w:t>
      </w:r>
      <w:r w:rsidRPr="00F834BF">
        <w:rPr>
          <w:rFonts w:ascii="Times New Roman" w:eastAsia="Times New Roman" w:hAnsi="Times New Roman" w:cs="Times New Roman"/>
          <w:b w:val="0"/>
          <w:bCs w:val="0"/>
          <w:i/>
          <w:color w:val="auto"/>
          <w:sz w:val="22"/>
          <w:szCs w:val="22"/>
          <w:lang w:val="bg-BG"/>
        </w:rPr>
        <w:fldChar w:fldCharType="end"/>
      </w:r>
      <w:r w:rsidR="003E386A" w:rsidRPr="00F834BF">
        <w:rPr>
          <w:rFonts w:ascii="Times New Roman" w:eastAsia="Times New Roman" w:hAnsi="Times New Roman" w:cs="Times New Roman"/>
          <w:b w:val="0"/>
          <w:bCs w:val="0"/>
          <w:i/>
          <w:noProof/>
          <w:color w:val="auto"/>
          <w:sz w:val="22"/>
          <w:szCs w:val="22"/>
          <w:lang w:val="bg-BG" w:eastAsia="bg-BG"/>
        </w:rPr>
        <w:drawing>
          <wp:anchor distT="0" distB="0" distL="114300" distR="114300" simplePos="0" relativeHeight="251677696" behindDoc="0" locked="0" layoutInCell="1" allowOverlap="1" wp14:anchorId="138F1DB4" wp14:editId="747334F7">
            <wp:simplePos x="0" y="0"/>
            <wp:positionH relativeFrom="column">
              <wp:posOffset>38100</wp:posOffset>
            </wp:positionH>
            <wp:positionV relativeFrom="paragraph">
              <wp:posOffset>494665</wp:posOffset>
            </wp:positionV>
            <wp:extent cx="3886200" cy="1524000"/>
            <wp:effectExtent l="0" t="0" r="0" b="0"/>
            <wp:wrapNone/>
            <wp:docPr id="31" name="Chart 31">
              <a:extLst xmlns:a="http://schemas.openxmlformats.org/drawingml/2006/main">
                <a:ext uri="{FF2B5EF4-FFF2-40B4-BE49-F238E27FC236}">
                  <a16:creationId xmlns:a16="http://schemas.microsoft.com/office/drawing/2014/main" id="{DC2E50E4-13C5-4EF9-BAF6-4DFBF3A2FA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FE776F" w:rsidRPr="00F834BF">
        <w:rPr>
          <w:rFonts w:ascii="Times New Roman" w:eastAsia="Times New Roman" w:hAnsi="Times New Roman" w:cs="Times New Roman"/>
          <w:b w:val="0"/>
          <w:bCs w:val="0"/>
          <w:i/>
          <w:color w:val="auto"/>
          <w:sz w:val="22"/>
          <w:szCs w:val="22"/>
          <w:lang w:val="bg-BG"/>
        </w:rPr>
        <w:t xml:space="preserve"> Общо образувани отпадъци от лечебни и здравни заведения, и биологични отпадъци (тона)</w:t>
      </w:r>
      <w:bookmarkEnd w:id="26"/>
    </w:p>
    <w:p w14:paraId="0062595E" w14:textId="77777777" w:rsidR="00F834BF" w:rsidRDefault="00F834BF" w:rsidP="00F834BF">
      <w:pPr>
        <w:pStyle w:val="Caption"/>
        <w:keepNext/>
        <w:rPr>
          <w:rFonts w:ascii="Times New Roman" w:eastAsia="Times New Roman" w:hAnsi="Times New Roman" w:cs="Times New Roman"/>
          <w:b w:val="0"/>
          <w:bCs w:val="0"/>
          <w:i/>
          <w:color w:val="auto"/>
          <w:sz w:val="22"/>
          <w:szCs w:val="22"/>
          <w:lang w:val="bg-BG"/>
        </w:rPr>
      </w:pPr>
    </w:p>
    <w:p w14:paraId="580B1F13" w14:textId="77777777" w:rsidR="00FE776F" w:rsidRDefault="00FE776F" w:rsidP="00F834BF">
      <w:pPr>
        <w:pStyle w:val="Caption"/>
        <w:keepNext/>
        <w:rPr>
          <w:rFonts w:ascii="Times New Roman" w:hAnsi="Times New Roman" w:cs="Times New Roman"/>
          <w:i/>
          <w:lang w:val="bg-BG"/>
        </w:rPr>
      </w:pPr>
      <w:r w:rsidRPr="002A5B6B">
        <w:rPr>
          <w:rFonts w:ascii="Times New Roman" w:hAnsi="Times New Roman" w:cs="Times New Roman"/>
          <w:i/>
          <w:lang w:val="bg-BG"/>
        </w:rPr>
        <w:t xml:space="preserve">                 </w:t>
      </w:r>
    </w:p>
    <w:p w14:paraId="3DB3F106" w14:textId="77777777" w:rsidR="00FE776F" w:rsidRDefault="00FE776F" w:rsidP="00FE776F">
      <w:pPr>
        <w:ind w:left="-426"/>
        <w:rPr>
          <w:rFonts w:ascii="Times New Roman" w:hAnsi="Times New Roman" w:cs="Times New Roman"/>
          <w:i/>
          <w:lang w:val="bg-BG"/>
        </w:rPr>
      </w:pPr>
    </w:p>
    <w:p w14:paraId="3B32423B" w14:textId="77777777" w:rsidR="00FE776F" w:rsidRDefault="00FE776F" w:rsidP="00FE776F">
      <w:pPr>
        <w:ind w:left="-426"/>
        <w:rPr>
          <w:rFonts w:ascii="Times New Roman" w:hAnsi="Times New Roman" w:cs="Times New Roman"/>
          <w:i/>
          <w:lang w:val="bg-BG"/>
        </w:rPr>
      </w:pPr>
    </w:p>
    <w:p w14:paraId="12239D1D" w14:textId="77777777" w:rsidR="00FE776F" w:rsidRDefault="00FE776F" w:rsidP="00FE776F">
      <w:pPr>
        <w:ind w:left="-426"/>
        <w:rPr>
          <w:rFonts w:ascii="Times New Roman" w:hAnsi="Times New Roman" w:cs="Times New Roman"/>
          <w:i/>
          <w:lang w:val="bg-BG"/>
        </w:rPr>
      </w:pPr>
    </w:p>
    <w:p w14:paraId="7B4F268A" w14:textId="77777777" w:rsidR="00FE776F" w:rsidRDefault="00FE776F" w:rsidP="00FE776F">
      <w:pPr>
        <w:ind w:left="-426"/>
        <w:rPr>
          <w:rFonts w:ascii="Times New Roman" w:hAnsi="Times New Roman" w:cs="Times New Roman"/>
          <w:i/>
          <w:lang w:val="bg-BG"/>
        </w:rPr>
      </w:pPr>
    </w:p>
    <w:p w14:paraId="26868780" w14:textId="77777777" w:rsidR="00FE776F" w:rsidRPr="002A5B6B" w:rsidRDefault="00FE776F" w:rsidP="00FE776F">
      <w:pPr>
        <w:rPr>
          <w:rFonts w:ascii="Times New Roman" w:hAnsi="Times New Roman" w:cs="Times New Roman"/>
          <w:i/>
          <w:lang w:val="bg-BG"/>
        </w:rPr>
      </w:pPr>
      <w:r w:rsidRPr="002A5B6B">
        <w:rPr>
          <w:rFonts w:ascii="Times New Roman" w:hAnsi="Times New Roman" w:cs="Times New Roman"/>
          <w:i/>
          <w:lang w:val="bg-BG"/>
        </w:rPr>
        <w:t xml:space="preserve">  Източник: Евростат</w:t>
      </w:r>
    </w:p>
    <w:p w14:paraId="12090DA6" w14:textId="77777777" w:rsidR="00D27783" w:rsidRPr="00655BDE" w:rsidRDefault="00D27783" w:rsidP="00D27783">
      <w:pPr>
        <w:spacing w:line="276" w:lineRule="auto"/>
        <w:rPr>
          <w:rFonts w:ascii="Times New Roman" w:hAnsi="Times New Roman" w:cs="Times New Roman"/>
          <w:b/>
          <w:bCs/>
          <w:lang w:val="bg-BG"/>
        </w:rPr>
      </w:pPr>
      <w:r w:rsidRPr="00655BDE">
        <w:rPr>
          <w:rFonts w:ascii="Times New Roman" w:hAnsi="Times New Roman" w:cs="Times New Roman"/>
          <w:b/>
          <w:bCs/>
          <w:lang w:val="bg-BG"/>
        </w:rPr>
        <w:t>Екологична инфраструктура, свързана с управление на отпадъците</w:t>
      </w:r>
    </w:p>
    <w:p w14:paraId="005D4C1C" w14:textId="77777777" w:rsidR="00D27783" w:rsidRPr="00655BDE" w:rsidRDefault="00D27783" w:rsidP="00D27783">
      <w:pPr>
        <w:jc w:val="both"/>
        <w:rPr>
          <w:rFonts w:ascii="Times New Roman" w:hAnsi="Times New Roman" w:cs="Times New Roman"/>
          <w:lang w:val="bg-BG"/>
        </w:rPr>
      </w:pPr>
      <w:r w:rsidRPr="00655BDE">
        <w:rPr>
          <w:rFonts w:ascii="Times New Roman" w:hAnsi="Times New Roman" w:cs="Times New Roman"/>
          <w:lang w:val="bg-BG"/>
        </w:rPr>
        <w:t>През последните години разходите за опазване и възстановяване на околната среда са значителни, като периодите на особена инвестиционна активност (2013 – 2015 г.) са свързани и с инвестициите в рамките на оперативните програми, съфинансирани със средства от ЕС.</w:t>
      </w:r>
    </w:p>
    <w:p w14:paraId="163D877F" w14:textId="77777777" w:rsidR="00D27783" w:rsidRPr="00F834BF" w:rsidRDefault="00F834BF" w:rsidP="00F834BF">
      <w:pPr>
        <w:pStyle w:val="Caption"/>
        <w:jc w:val="both"/>
        <w:rPr>
          <w:rFonts w:ascii="Times New Roman" w:eastAsia="Times New Roman" w:hAnsi="Times New Roman" w:cs="Times New Roman"/>
          <w:b w:val="0"/>
          <w:bCs w:val="0"/>
          <w:i/>
          <w:color w:val="auto"/>
          <w:sz w:val="22"/>
          <w:szCs w:val="22"/>
          <w:lang w:val="bg-BG"/>
        </w:rPr>
      </w:pPr>
      <w:bookmarkStart w:id="27" w:name="_Toc72919663"/>
      <w:r w:rsidRPr="00F834BF">
        <w:rPr>
          <w:rFonts w:ascii="Times New Roman" w:eastAsia="Times New Roman" w:hAnsi="Times New Roman" w:cs="Times New Roman"/>
          <w:b w:val="0"/>
          <w:bCs w:val="0"/>
          <w:i/>
          <w:color w:val="auto"/>
          <w:sz w:val="22"/>
          <w:szCs w:val="22"/>
          <w:lang w:val="bg-BG"/>
        </w:rPr>
        <w:t xml:space="preserve">Таблица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Таблица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4</w:t>
      </w:r>
      <w:r w:rsidRPr="00F834BF">
        <w:rPr>
          <w:rFonts w:ascii="Times New Roman" w:eastAsia="Times New Roman" w:hAnsi="Times New Roman" w:cs="Times New Roman"/>
          <w:b w:val="0"/>
          <w:bCs w:val="0"/>
          <w:i/>
          <w:color w:val="auto"/>
          <w:sz w:val="22"/>
          <w:szCs w:val="22"/>
          <w:lang w:val="bg-BG"/>
        </w:rPr>
        <w:fldChar w:fldCharType="end"/>
      </w:r>
      <w:r w:rsidRPr="00F834BF">
        <w:rPr>
          <w:rFonts w:ascii="Times New Roman" w:eastAsia="Times New Roman" w:hAnsi="Times New Roman" w:cs="Times New Roman"/>
          <w:b w:val="0"/>
          <w:bCs w:val="0"/>
          <w:i/>
          <w:color w:val="auto"/>
          <w:sz w:val="22"/>
          <w:szCs w:val="22"/>
          <w:lang w:val="bg-BG"/>
        </w:rPr>
        <w:t xml:space="preserve"> </w:t>
      </w:r>
      <w:r w:rsidR="00D27783" w:rsidRPr="00F834BF">
        <w:rPr>
          <w:rFonts w:ascii="Times New Roman" w:eastAsia="Times New Roman" w:hAnsi="Times New Roman" w:cs="Times New Roman"/>
          <w:b w:val="0"/>
          <w:bCs w:val="0"/>
          <w:i/>
          <w:color w:val="auto"/>
          <w:sz w:val="22"/>
          <w:szCs w:val="22"/>
          <w:lang w:val="bg-BG"/>
        </w:rPr>
        <w:t>Разходи за опазване и възстановяване на околната среда, разходи за услуги</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990"/>
        <w:gridCol w:w="900"/>
        <w:gridCol w:w="810"/>
        <w:gridCol w:w="900"/>
        <w:gridCol w:w="900"/>
        <w:gridCol w:w="990"/>
        <w:gridCol w:w="990"/>
        <w:gridCol w:w="990"/>
      </w:tblGrid>
      <w:tr w:rsidR="00181DFA" w:rsidRPr="00933BAC" w14:paraId="7748B940" w14:textId="77777777" w:rsidTr="003A3C8A">
        <w:tc>
          <w:tcPr>
            <w:tcW w:w="1615" w:type="dxa"/>
            <w:shd w:val="clear" w:color="auto" w:fill="DEEAF6" w:themeFill="accent5" w:themeFillTint="33"/>
          </w:tcPr>
          <w:p w14:paraId="5183C4E4" w14:textId="77777777" w:rsidR="00181DFA" w:rsidRPr="00536E7C" w:rsidRDefault="00181DFA" w:rsidP="003A3C8A">
            <w:pPr>
              <w:jc w:val="both"/>
              <w:rPr>
                <w:rFonts w:ascii="Times New Roman" w:hAnsi="Times New Roman" w:cs="Times New Roman"/>
                <w:sz w:val="20"/>
                <w:szCs w:val="20"/>
                <w:lang w:val="bg-BG"/>
              </w:rPr>
            </w:pPr>
          </w:p>
        </w:tc>
        <w:tc>
          <w:tcPr>
            <w:tcW w:w="990" w:type="dxa"/>
            <w:shd w:val="clear" w:color="auto" w:fill="DEEAF6" w:themeFill="accent5" w:themeFillTint="33"/>
          </w:tcPr>
          <w:p w14:paraId="4725380D"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2011</w:t>
            </w:r>
          </w:p>
        </w:tc>
        <w:tc>
          <w:tcPr>
            <w:tcW w:w="900" w:type="dxa"/>
            <w:shd w:val="clear" w:color="auto" w:fill="DEEAF6" w:themeFill="accent5" w:themeFillTint="33"/>
          </w:tcPr>
          <w:p w14:paraId="79E412E0"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2012</w:t>
            </w:r>
          </w:p>
        </w:tc>
        <w:tc>
          <w:tcPr>
            <w:tcW w:w="810" w:type="dxa"/>
            <w:shd w:val="clear" w:color="auto" w:fill="DEEAF6" w:themeFill="accent5" w:themeFillTint="33"/>
          </w:tcPr>
          <w:p w14:paraId="3DB51881"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2013</w:t>
            </w:r>
          </w:p>
        </w:tc>
        <w:tc>
          <w:tcPr>
            <w:tcW w:w="900" w:type="dxa"/>
            <w:shd w:val="clear" w:color="auto" w:fill="DEEAF6" w:themeFill="accent5" w:themeFillTint="33"/>
          </w:tcPr>
          <w:p w14:paraId="6779F3E3"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2014</w:t>
            </w:r>
          </w:p>
        </w:tc>
        <w:tc>
          <w:tcPr>
            <w:tcW w:w="900" w:type="dxa"/>
            <w:shd w:val="clear" w:color="auto" w:fill="DEEAF6" w:themeFill="accent5" w:themeFillTint="33"/>
          </w:tcPr>
          <w:p w14:paraId="4C8E424D"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2015</w:t>
            </w:r>
          </w:p>
        </w:tc>
        <w:tc>
          <w:tcPr>
            <w:tcW w:w="990" w:type="dxa"/>
            <w:shd w:val="clear" w:color="auto" w:fill="DEEAF6" w:themeFill="accent5" w:themeFillTint="33"/>
          </w:tcPr>
          <w:p w14:paraId="089260F6"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2016</w:t>
            </w:r>
          </w:p>
        </w:tc>
        <w:tc>
          <w:tcPr>
            <w:tcW w:w="990" w:type="dxa"/>
            <w:shd w:val="clear" w:color="auto" w:fill="DEEAF6" w:themeFill="accent5" w:themeFillTint="33"/>
          </w:tcPr>
          <w:p w14:paraId="729E80CD"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2017</w:t>
            </w:r>
          </w:p>
        </w:tc>
        <w:tc>
          <w:tcPr>
            <w:tcW w:w="990" w:type="dxa"/>
            <w:shd w:val="clear" w:color="auto" w:fill="DEEAF6" w:themeFill="accent5" w:themeFillTint="33"/>
          </w:tcPr>
          <w:p w14:paraId="45C02498" w14:textId="77777777" w:rsidR="00181DFA" w:rsidRPr="00181DFA" w:rsidRDefault="00181DFA" w:rsidP="00181DFA">
            <w:pPr>
              <w:spacing w:after="0" w:line="240" w:lineRule="auto"/>
              <w:jc w:val="both"/>
              <w:rPr>
                <w:rFonts w:ascii="Times New Roman" w:eastAsia="Times New Roman" w:hAnsi="Times New Roman" w:cs="Times New Roman"/>
                <w:sz w:val="20"/>
                <w:szCs w:val="20"/>
                <w:lang w:val="bg-BG"/>
              </w:rPr>
            </w:pPr>
            <w:r w:rsidRPr="00181DFA">
              <w:rPr>
                <w:rFonts w:ascii="Times New Roman" w:eastAsia="Times New Roman" w:hAnsi="Times New Roman" w:cs="Times New Roman"/>
                <w:sz w:val="20"/>
                <w:szCs w:val="20"/>
                <w:lang w:val="bg-BG"/>
              </w:rPr>
              <w:t>2018</w:t>
            </w:r>
          </w:p>
        </w:tc>
      </w:tr>
      <w:tr w:rsidR="00181DFA" w:rsidRPr="00933BAC" w14:paraId="2C2EF2AE" w14:textId="77777777" w:rsidTr="003A3C8A">
        <w:tc>
          <w:tcPr>
            <w:tcW w:w="9085" w:type="dxa"/>
            <w:gridSpan w:val="9"/>
          </w:tcPr>
          <w:p w14:paraId="3BF7CAE1" w14:textId="77777777" w:rsidR="00181DFA" w:rsidRPr="00536E7C" w:rsidRDefault="00181DFA" w:rsidP="003A3C8A">
            <w:pPr>
              <w:jc w:val="both"/>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Разходи за придобиване на ДМА (хил. лв.)</w:t>
            </w:r>
          </w:p>
        </w:tc>
      </w:tr>
    </w:tbl>
    <w:tbl>
      <w:tblPr>
        <w:tblStyle w:val="TableGrid"/>
        <w:tblW w:w="0" w:type="auto"/>
        <w:tblLayout w:type="fixed"/>
        <w:tblLook w:val="04A0" w:firstRow="1" w:lastRow="0" w:firstColumn="1" w:lastColumn="0" w:noHBand="0" w:noVBand="1"/>
      </w:tblPr>
      <w:tblGrid>
        <w:gridCol w:w="1658"/>
        <w:gridCol w:w="947"/>
        <w:gridCol w:w="827"/>
        <w:gridCol w:w="887"/>
        <w:gridCol w:w="887"/>
        <w:gridCol w:w="887"/>
        <w:gridCol w:w="1012"/>
        <w:gridCol w:w="990"/>
        <w:gridCol w:w="990"/>
      </w:tblGrid>
      <w:tr w:rsidR="00181DFA" w:rsidRPr="00933BAC" w14:paraId="719165C6" w14:textId="77777777" w:rsidTr="003A3C8A">
        <w:tc>
          <w:tcPr>
            <w:tcW w:w="1658" w:type="dxa"/>
            <w:vAlign w:val="bottom"/>
          </w:tcPr>
          <w:p w14:paraId="2020C7FE"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За отпадъците</w:t>
            </w:r>
          </w:p>
        </w:tc>
        <w:tc>
          <w:tcPr>
            <w:tcW w:w="947" w:type="dxa"/>
            <w:vAlign w:val="bottom"/>
          </w:tcPr>
          <w:p w14:paraId="24A51964"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166455</w:t>
            </w:r>
          </w:p>
        </w:tc>
        <w:tc>
          <w:tcPr>
            <w:tcW w:w="827" w:type="dxa"/>
            <w:vAlign w:val="bottom"/>
          </w:tcPr>
          <w:p w14:paraId="6CCBDB0E"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145055</w:t>
            </w:r>
          </w:p>
        </w:tc>
        <w:tc>
          <w:tcPr>
            <w:tcW w:w="887" w:type="dxa"/>
            <w:vAlign w:val="bottom"/>
          </w:tcPr>
          <w:p w14:paraId="639F9E19"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215341</w:t>
            </w:r>
          </w:p>
        </w:tc>
        <w:tc>
          <w:tcPr>
            <w:tcW w:w="887" w:type="dxa"/>
            <w:vAlign w:val="bottom"/>
          </w:tcPr>
          <w:p w14:paraId="7D810237"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397458</w:t>
            </w:r>
          </w:p>
        </w:tc>
        <w:tc>
          <w:tcPr>
            <w:tcW w:w="887" w:type="dxa"/>
            <w:vAlign w:val="bottom"/>
          </w:tcPr>
          <w:p w14:paraId="593EEFB7"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588575</w:t>
            </w:r>
          </w:p>
        </w:tc>
        <w:tc>
          <w:tcPr>
            <w:tcW w:w="1012" w:type="dxa"/>
            <w:vAlign w:val="bottom"/>
          </w:tcPr>
          <w:p w14:paraId="5E7F2382"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191275</w:t>
            </w:r>
          </w:p>
        </w:tc>
        <w:tc>
          <w:tcPr>
            <w:tcW w:w="990" w:type="dxa"/>
            <w:vAlign w:val="bottom"/>
          </w:tcPr>
          <w:p w14:paraId="4E821EDF"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145645</w:t>
            </w:r>
          </w:p>
        </w:tc>
        <w:tc>
          <w:tcPr>
            <w:tcW w:w="990" w:type="dxa"/>
            <w:vAlign w:val="bottom"/>
          </w:tcPr>
          <w:p w14:paraId="70E73962"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color w:val="000000"/>
                <w:sz w:val="20"/>
                <w:szCs w:val="20"/>
                <w:lang w:val="bg-BG"/>
              </w:rPr>
              <w:t>127452</w:t>
            </w:r>
          </w:p>
        </w:tc>
      </w:tr>
      <w:tr w:rsidR="00181DFA" w:rsidRPr="00933BAC" w14:paraId="77EE1CA5" w14:textId="77777777" w:rsidTr="003A3C8A">
        <w:tc>
          <w:tcPr>
            <w:tcW w:w="1658" w:type="dxa"/>
            <w:vAlign w:val="bottom"/>
          </w:tcPr>
          <w:p w14:paraId="71FA62D3"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Специализирани съоръжения</w:t>
            </w:r>
          </w:p>
        </w:tc>
        <w:tc>
          <w:tcPr>
            <w:tcW w:w="947" w:type="dxa"/>
            <w:vAlign w:val="bottom"/>
          </w:tcPr>
          <w:p w14:paraId="2DAE2945"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166198</w:t>
            </w:r>
          </w:p>
        </w:tc>
        <w:tc>
          <w:tcPr>
            <w:tcW w:w="827" w:type="dxa"/>
            <w:vAlign w:val="bottom"/>
          </w:tcPr>
          <w:p w14:paraId="0D721635"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144649</w:t>
            </w:r>
          </w:p>
        </w:tc>
        <w:tc>
          <w:tcPr>
            <w:tcW w:w="887" w:type="dxa"/>
            <w:vAlign w:val="bottom"/>
          </w:tcPr>
          <w:p w14:paraId="6CCAB66F"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207049</w:t>
            </w:r>
          </w:p>
        </w:tc>
        <w:tc>
          <w:tcPr>
            <w:tcW w:w="887" w:type="dxa"/>
            <w:vAlign w:val="bottom"/>
          </w:tcPr>
          <w:p w14:paraId="37C5AF98"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385924</w:t>
            </w:r>
          </w:p>
        </w:tc>
        <w:tc>
          <w:tcPr>
            <w:tcW w:w="887" w:type="dxa"/>
            <w:vAlign w:val="bottom"/>
          </w:tcPr>
          <w:p w14:paraId="35EE2A05"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586484</w:t>
            </w:r>
          </w:p>
        </w:tc>
        <w:tc>
          <w:tcPr>
            <w:tcW w:w="1012" w:type="dxa"/>
            <w:vAlign w:val="bottom"/>
          </w:tcPr>
          <w:p w14:paraId="0CCEC674"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190038</w:t>
            </w:r>
          </w:p>
        </w:tc>
        <w:tc>
          <w:tcPr>
            <w:tcW w:w="990" w:type="dxa"/>
            <w:vAlign w:val="bottom"/>
          </w:tcPr>
          <w:p w14:paraId="73A0124D"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140501</w:t>
            </w:r>
          </w:p>
        </w:tc>
        <w:tc>
          <w:tcPr>
            <w:tcW w:w="990" w:type="dxa"/>
            <w:vAlign w:val="bottom"/>
          </w:tcPr>
          <w:p w14:paraId="5EEAFCB9"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color w:val="000000"/>
                <w:sz w:val="20"/>
                <w:szCs w:val="20"/>
                <w:lang w:val="bg-BG"/>
              </w:rPr>
              <w:t>125858</w:t>
            </w:r>
          </w:p>
        </w:tc>
      </w:tr>
      <w:tr w:rsidR="00181DFA" w:rsidRPr="00933BAC" w14:paraId="2A9B5924" w14:textId="77777777" w:rsidTr="003A3C8A">
        <w:tc>
          <w:tcPr>
            <w:tcW w:w="1658" w:type="dxa"/>
            <w:vAlign w:val="bottom"/>
          </w:tcPr>
          <w:p w14:paraId="04CDE52C"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Интегрирани технологии</w:t>
            </w:r>
          </w:p>
        </w:tc>
        <w:tc>
          <w:tcPr>
            <w:tcW w:w="947" w:type="dxa"/>
            <w:vAlign w:val="bottom"/>
          </w:tcPr>
          <w:p w14:paraId="69DD8CF1"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257</w:t>
            </w:r>
          </w:p>
        </w:tc>
        <w:tc>
          <w:tcPr>
            <w:tcW w:w="827" w:type="dxa"/>
            <w:vAlign w:val="bottom"/>
          </w:tcPr>
          <w:p w14:paraId="7374F016"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406</w:t>
            </w:r>
          </w:p>
        </w:tc>
        <w:tc>
          <w:tcPr>
            <w:tcW w:w="887" w:type="dxa"/>
            <w:vAlign w:val="bottom"/>
          </w:tcPr>
          <w:p w14:paraId="682B6377"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8292</w:t>
            </w:r>
          </w:p>
        </w:tc>
        <w:tc>
          <w:tcPr>
            <w:tcW w:w="887" w:type="dxa"/>
            <w:vAlign w:val="bottom"/>
          </w:tcPr>
          <w:p w14:paraId="6393C696"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11534</w:t>
            </w:r>
          </w:p>
        </w:tc>
        <w:tc>
          <w:tcPr>
            <w:tcW w:w="887" w:type="dxa"/>
            <w:vAlign w:val="bottom"/>
          </w:tcPr>
          <w:p w14:paraId="37365A16"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2091</w:t>
            </w:r>
          </w:p>
        </w:tc>
        <w:tc>
          <w:tcPr>
            <w:tcW w:w="1012" w:type="dxa"/>
            <w:vAlign w:val="bottom"/>
          </w:tcPr>
          <w:p w14:paraId="3B2ABF8E"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1237</w:t>
            </w:r>
          </w:p>
        </w:tc>
        <w:tc>
          <w:tcPr>
            <w:tcW w:w="990" w:type="dxa"/>
            <w:vAlign w:val="bottom"/>
          </w:tcPr>
          <w:p w14:paraId="720381F3"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sz w:val="20"/>
                <w:szCs w:val="20"/>
                <w:lang w:val="bg-BG"/>
              </w:rPr>
              <w:t>5144</w:t>
            </w:r>
          </w:p>
        </w:tc>
        <w:tc>
          <w:tcPr>
            <w:tcW w:w="990" w:type="dxa"/>
            <w:vAlign w:val="bottom"/>
          </w:tcPr>
          <w:p w14:paraId="0B9D3F8A" w14:textId="77777777" w:rsidR="00181DFA" w:rsidRPr="00536E7C" w:rsidRDefault="00181DFA" w:rsidP="003A3C8A">
            <w:pPr>
              <w:jc w:val="both"/>
              <w:rPr>
                <w:rFonts w:ascii="Times New Roman" w:hAnsi="Times New Roman" w:cs="Times New Roman"/>
                <w:sz w:val="20"/>
                <w:szCs w:val="20"/>
                <w:lang w:val="bg-BG"/>
              </w:rPr>
            </w:pPr>
            <w:r w:rsidRPr="00536E7C">
              <w:rPr>
                <w:rFonts w:ascii="Times New Roman" w:eastAsia="Times New Roman" w:hAnsi="Times New Roman" w:cs="Times New Roman"/>
                <w:color w:val="000000"/>
                <w:sz w:val="20"/>
                <w:szCs w:val="20"/>
                <w:lang w:val="bg-BG"/>
              </w:rPr>
              <w:t>1594</w:t>
            </w:r>
          </w:p>
        </w:tc>
      </w:tr>
    </w:tbl>
    <w:p w14:paraId="24B782E9" w14:textId="77777777" w:rsidR="00D27783" w:rsidRPr="00F834BF" w:rsidRDefault="00D27783" w:rsidP="00F834BF">
      <w:pPr>
        <w:pStyle w:val="Caption"/>
        <w:jc w:val="both"/>
        <w:rPr>
          <w:rFonts w:ascii="Times New Roman" w:eastAsia="Times New Roman" w:hAnsi="Times New Roman" w:cs="Times New Roman"/>
          <w:b w:val="0"/>
          <w:bCs w:val="0"/>
          <w:i/>
          <w:color w:val="auto"/>
          <w:sz w:val="22"/>
          <w:szCs w:val="22"/>
          <w:lang w:val="bg-BG"/>
        </w:rPr>
      </w:pPr>
      <w:r w:rsidRPr="00F834BF">
        <w:rPr>
          <w:rFonts w:ascii="Times New Roman" w:eastAsia="Times New Roman" w:hAnsi="Times New Roman" w:cs="Times New Roman"/>
          <w:b w:val="0"/>
          <w:bCs w:val="0"/>
          <w:i/>
          <w:color w:val="auto"/>
          <w:sz w:val="22"/>
          <w:szCs w:val="22"/>
          <w:lang w:val="bg-BG"/>
        </w:rPr>
        <w:t>Източник: НСИ</w:t>
      </w:r>
    </w:p>
    <w:p w14:paraId="2F25ED67" w14:textId="77777777" w:rsidR="00D27783" w:rsidRPr="00655BDE" w:rsidRDefault="00D27783" w:rsidP="00D27783">
      <w:pPr>
        <w:spacing w:line="276" w:lineRule="auto"/>
        <w:jc w:val="both"/>
        <w:rPr>
          <w:rFonts w:ascii="Times New Roman" w:hAnsi="Times New Roman" w:cs="Times New Roman"/>
          <w:lang w:val="bg-BG"/>
        </w:rPr>
      </w:pPr>
      <w:r w:rsidRPr="00655BDE">
        <w:rPr>
          <w:rFonts w:ascii="Times New Roman" w:hAnsi="Times New Roman" w:cs="Times New Roman"/>
          <w:lang w:val="bg-BG"/>
        </w:rPr>
        <w:lastRenderedPageBreak/>
        <w:t>Тенденциите в развитието на инфраструктурата за управление на отпадъците през последните 10 години отразяват и процесите по реструктуриране на системите за управление на отпадъците на регионален принцип, както и процеса по закриване и рекултивация на съществуващите депа за твърди битови отпадъци.</w:t>
      </w:r>
    </w:p>
    <w:p w14:paraId="5D114A34" w14:textId="77777777" w:rsidR="00D27783" w:rsidRPr="00F834BF" w:rsidRDefault="00F834BF" w:rsidP="00F834BF">
      <w:pPr>
        <w:pStyle w:val="Caption"/>
        <w:rPr>
          <w:rFonts w:ascii="Times New Roman" w:eastAsia="Times New Roman" w:hAnsi="Times New Roman" w:cs="Times New Roman"/>
          <w:b w:val="0"/>
          <w:bCs w:val="0"/>
          <w:i/>
          <w:color w:val="auto"/>
          <w:sz w:val="22"/>
          <w:szCs w:val="22"/>
          <w:lang w:val="bg-BG"/>
        </w:rPr>
      </w:pPr>
      <w:bookmarkStart w:id="28" w:name="_Toc72919664"/>
      <w:r w:rsidRPr="00F834BF">
        <w:rPr>
          <w:rFonts w:ascii="Times New Roman" w:eastAsia="Times New Roman" w:hAnsi="Times New Roman" w:cs="Times New Roman"/>
          <w:b w:val="0"/>
          <w:bCs w:val="0"/>
          <w:i/>
          <w:color w:val="auto"/>
          <w:sz w:val="22"/>
          <w:szCs w:val="22"/>
          <w:lang w:val="bg-BG"/>
        </w:rPr>
        <w:t xml:space="preserve">Таблица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Таблица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5</w:t>
      </w:r>
      <w:r w:rsidRPr="00F834BF">
        <w:rPr>
          <w:rFonts w:ascii="Times New Roman" w:eastAsia="Times New Roman" w:hAnsi="Times New Roman" w:cs="Times New Roman"/>
          <w:b w:val="0"/>
          <w:bCs w:val="0"/>
          <w:i/>
          <w:color w:val="auto"/>
          <w:sz w:val="22"/>
          <w:szCs w:val="22"/>
          <w:lang w:val="bg-BG"/>
        </w:rPr>
        <w:fldChar w:fldCharType="end"/>
      </w:r>
      <w:r w:rsidRPr="00F834BF">
        <w:rPr>
          <w:rFonts w:ascii="Times New Roman" w:eastAsia="Times New Roman" w:hAnsi="Times New Roman" w:cs="Times New Roman"/>
          <w:b w:val="0"/>
          <w:bCs w:val="0"/>
          <w:i/>
          <w:color w:val="auto"/>
          <w:sz w:val="22"/>
          <w:szCs w:val="22"/>
          <w:lang w:val="bg-BG"/>
        </w:rPr>
        <w:t xml:space="preserve"> </w:t>
      </w:r>
      <w:r w:rsidR="00D27783" w:rsidRPr="00F834BF">
        <w:rPr>
          <w:rFonts w:ascii="Times New Roman" w:eastAsia="Times New Roman" w:hAnsi="Times New Roman" w:cs="Times New Roman"/>
          <w:b w:val="0"/>
          <w:bCs w:val="0"/>
          <w:i/>
          <w:color w:val="auto"/>
          <w:sz w:val="22"/>
          <w:szCs w:val="22"/>
          <w:lang w:val="bg-BG"/>
        </w:rPr>
        <w:t>Депа и инсталации за третиране на битови отпадъци</w:t>
      </w:r>
      <w:r w:rsidR="003A3C8A" w:rsidRPr="00F834BF">
        <w:rPr>
          <w:rFonts w:ascii="Times New Roman" w:eastAsia="Times New Roman" w:hAnsi="Times New Roman" w:cs="Times New Roman"/>
          <w:b w:val="0"/>
          <w:bCs w:val="0"/>
          <w:i/>
          <w:color w:val="auto"/>
          <w:sz w:val="22"/>
          <w:szCs w:val="22"/>
          <w:lang w:val="bg-BG"/>
        </w:rPr>
        <w:t xml:space="preserve"> (брой)</w:t>
      </w:r>
      <w:bookmarkEnd w:id="28"/>
    </w:p>
    <w:tbl>
      <w:tblPr>
        <w:tblW w:w="5011" w:type="pct"/>
        <w:tblInd w:w="-10" w:type="dxa"/>
        <w:tblLook w:val="04A0" w:firstRow="1" w:lastRow="0" w:firstColumn="1" w:lastColumn="0" w:noHBand="0" w:noVBand="1"/>
      </w:tblPr>
      <w:tblGrid>
        <w:gridCol w:w="2598"/>
        <w:gridCol w:w="846"/>
        <w:gridCol w:w="846"/>
        <w:gridCol w:w="846"/>
        <w:gridCol w:w="846"/>
        <w:gridCol w:w="846"/>
        <w:gridCol w:w="846"/>
        <w:gridCol w:w="846"/>
        <w:gridCol w:w="841"/>
      </w:tblGrid>
      <w:tr w:rsidR="00D27783" w:rsidRPr="00933BAC" w14:paraId="66DC62AD" w14:textId="77777777" w:rsidTr="003A3C8A">
        <w:trPr>
          <w:trHeight w:val="660"/>
        </w:trPr>
        <w:tc>
          <w:tcPr>
            <w:tcW w:w="1387" w:type="pct"/>
            <w:tcBorders>
              <w:top w:val="single" w:sz="8" w:space="0" w:color="A6A6A6"/>
              <w:left w:val="single" w:sz="8" w:space="0" w:color="A6A6A6"/>
              <w:bottom w:val="single" w:sz="8" w:space="0" w:color="A6A6A6"/>
              <w:right w:val="single" w:sz="8" w:space="0" w:color="A6A6A6"/>
            </w:tcBorders>
            <w:shd w:val="clear" w:color="auto" w:fill="DEEAF6" w:themeFill="accent5" w:themeFillTint="33"/>
            <w:vAlign w:val="center"/>
            <w:hideMark/>
          </w:tcPr>
          <w:p w14:paraId="7B589929" w14:textId="77777777" w:rsidR="00D27783" w:rsidRPr="00536E7C" w:rsidRDefault="00D27783"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 xml:space="preserve">Статистически райони                                     </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10F8A5CB"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2011</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2DFD25CD"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2012</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63A00722"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2013</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0D3E7F24"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2014</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31A04F1D"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2015</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6E07C680"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2016</w:t>
            </w:r>
          </w:p>
        </w:tc>
        <w:tc>
          <w:tcPr>
            <w:tcW w:w="452"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3B571AD4"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2017</w:t>
            </w:r>
          </w:p>
        </w:tc>
        <w:tc>
          <w:tcPr>
            <w:tcW w:w="449" w:type="pct"/>
            <w:tcBorders>
              <w:top w:val="single" w:sz="8" w:space="0" w:color="A6A6A6"/>
              <w:left w:val="nil"/>
              <w:bottom w:val="single" w:sz="8" w:space="0" w:color="A6A6A6"/>
              <w:right w:val="single" w:sz="8" w:space="0" w:color="A6A6A6"/>
            </w:tcBorders>
            <w:shd w:val="clear" w:color="auto" w:fill="DEEAF6" w:themeFill="accent5" w:themeFillTint="33"/>
            <w:vAlign w:val="center"/>
            <w:hideMark/>
          </w:tcPr>
          <w:p w14:paraId="17AD1A73"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2018</w:t>
            </w:r>
          </w:p>
        </w:tc>
      </w:tr>
      <w:tr w:rsidR="00D27783" w:rsidRPr="00933BAC" w14:paraId="6C8C026D"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2FC269D4"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Общо за страната</w:t>
            </w:r>
          </w:p>
        </w:tc>
        <w:tc>
          <w:tcPr>
            <w:tcW w:w="452" w:type="pct"/>
            <w:tcBorders>
              <w:top w:val="nil"/>
              <w:left w:val="nil"/>
              <w:bottom w:val="single" w:sz="8" w:space="0" w:color="A6A6A6"/>
              <w:right w:val="single" w:sz="8" w:space="0" w:color="A6A6A6"/>
            </w:tcBorders>
            <w:shd w:val="clear" w:color="000000" w:fill="FFFFFF"/>
            <w:noWrap/>
            <w:vAlign w:val="bottom"/>
            <w:hideMark/>
          </w:tcPr>
          <w:p w14:paraId="5062C1D5"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164</w:t>
            </w:r>
          </w:p>
        </w:tc>
        <w:tc>
          <w:tcPr>
            <w:tcW w:w="452" w:type="pct"/>
            <w:tcBorders>
              <w:top w:val="nil"/>
              <w:left w:val="nil"/>
              <w:bottom w:val="single" w:sz="8" w:space="0" w:color="A6A6A6"/>
              <w:right w:val="single" w:sz="8" w:space="0" w:color="A6A6A6"/>
            </w:tcBorders>
            <w:shd w:val="clear" w:color="000000" w:fill="FFFFFF"/>
            <w:noWrap/>
            <w:vAlign w:val="bottom"/>
            <w:hideMark/>
          </w:tcPr>
          <w:p w14:paraId="77B2DDB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157</w:t>
            </w:r>
          </w:p>
        </w:tc>
        <w:tc>
          <w:tcPr>
            <w:tcW w:w="452" w:type="pct"/>
            <w:tcBorders>
              <w:top w:val="nil"/>
              <w:left w:val="nil"/>
              <w:bottom w:val="single" w:sz="8" w:space="0" w:color="A6A6A6"/>
              <w:right w:val="single" w:sz="8" w:space="0" w:color="A6A6A6"/>
            </w:tcBorders>
            <w:shd w:val="clear" w:color="000000" w:fill="FFFFFF"/>
            <w:noWrap/>
            <w:vAlign w:val="bottom"/>
            <w:hideMark/>
          </w:tcPr>
          <w:p w14:paraId="23F0D7C7"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144</w:t>
            </w:r>
          </w:p>
        </w:tc>
        <w:tc>
          <w:tcPr>
            <w:tcW w:w="452" w:type="pct"/>
            <w:tcBorders>
              <w:top w:val="nil"/>
              <w:left w:val="nil"/>
              <w:bottom w:val="single" w:sz="8" w:space="0" w:color="A6A6A6"/>
              <w:right w:val="single" w:sz="8" w:space="0" w:color="A6A6A6"/>
            </w:tcBorders>
            <w:shd w:val="clear" w:color="000000" w:fill="FFFFFF"/>
            <w:noWrap/>
            <w:vAlign w:val="bottom"/>
            <w:hideMark/>
          </w:tcPr>
          <w:p w14:paraId="6992B18D"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147</w:t>
            </w:r>
          </w:p>
        </w:tc>
        <w:tc>
          <w:tcPr>
            <w:tcW w:w="452" w:type="pct"/>
            <w:tcBorders>
              <w:top w:val="nil"/>
              <w:left w:val="nil"/>
              <w:bottom w:val="single" w:sz="8" w:space="0" w:color="A6A6A6"/>
              <w:right w:val="single" w:sz="8" w:space="0" w:color="A6A6A6"/>
            </w:tcBorders>
            <w:shd w:val="clear" w:color="000000" w:fill="FFFFFF"/>
            <w:noWrap/>
            <w:vAlign w:val="bottom"/>
            <w:hideMark/>
          </w:tcPr>
          <w:p w14:paraId="3BB25A45"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134</w:t>
            </w:r>
          </w:p>
        </w:tc>
        <w:tc>
          <w:tcPr>
            <w:tcW w:w="452" w:type="pct"/>
            <w:tcBorders>
              <w:top w:val="nil"/>
              <w:left w:val="nil"/>
              <w:bottom w:val="single" w:sz="8" w:space="0" w:color="A6A6A6"/>
              <w:right w:val="single" w:sz="8" w:space="0" w:color="A6A6A6"/>
            </w:tcBorders>
            <w:shd w:val="clear" w:color="000000" w:fill="FFFFFF"/>
            <w:noWrap/>
            <w:vAlign w:val="bottom"/>
            <w:hideMark/>
          </w:tcPr>
          <w:p w14:paraId="443DE00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125</w:t>
            </w:r>
          </w:p>
        </w:tc>
        <w:tc>
          <w:tcPr>
            <w:tcW w:w="452" w:type="pct"/>
            <w:tcBorders>
              <w:top w:val="nil"/>
              <w:left w:val="nil"/>
              <w:bottom w:val="single" w:sz="8" w:space="0" w:color="A6A6A6"/>
              <w:right w:val="single" w:sz="8" w:space="0" w:color="A6A6A6"/>
            </w:tcBorders>
            <w:shd w:val="clear" w:color="000000" w:fill="FFFFFF"/>
            <w:noWrap/>
            <w:vAlign w:val="bottom"/>
            <w:hideMark/>
          </w:tcPr>
          <w:p w14:paraId="14C974D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104</w:t>
            </w:r>
          </w:p>
        </w:tc>
        <w:tc>
          <w:tcPr>
            <w:tcW w:w="449" w:type="pct"/>
            <w:tcBorders>
              <w:top w:val="nil"/>
              <w:left w:val="nil"/>
              <w:bottom w:val="single" w:sz="8" w:space="0" w:color="A6A6A6"/>
              <w:right w:val="single" w:sz="8" w:space="0" w:color="A6A6A6"/>
            </w:tcBorders>
            <w:shd w:val="clear" w:color="000000" w:fill="FFFFFF"/>
            <w:noWrap/>
            <w:vAlign w:val="bottom"/>
            <w:hideMark/>
          </w:tcPr>
          <w:p w14:paraId="0F954530"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72</w:t>
            </w:r>
          </w:p>
        </w:tc>
      </w:tr>
      <w:tr w:rsidR="00D27783" w:rsidRPr="00933BAC" w14:paraId="40D23A94"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5245EE15"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Северозападен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5FCB776A"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26</w:t>
            </w:r>
          </w:p>
        </w:tc>
        <w:tc>
          <w:tcPr>
            <w:tcW w:w="452" w:type="pct"/>
            <w:tcBorders>
              <w:top w:val="nil"/>
              <w:left w:val="nil"/>
              <w:bottom w:val="single" w:sz="8" w:space="0" w:color="A6A6A6"/>
              <w:right w:val="single" w:sz="8" w:space="0" w:color="A6A6A6"/>
            </w:tcBorders>
            <w:shd w:val="clear" w:color="000000" w:fill="FFFFFF"/>
            <w:noWrap/>
            <w:vAlign w:val="bottom"/>
            <w:hideMark/>
          </w:tcPr>
          <w:p w14:paraId="1BB10AE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25</w:t>
            </w:r>
          </w:p>
        </w:tc>
        <w:tc>
          <w:tcPr>
            <w:tcW w:w="452" w:type="pct"/>
            <w:tcBorders>
              <w:top w:val="nil"/>
              <w:left w:val="nil"/>
              <w:bottom w:val="single" w:sz="8" w:space="0" w:color="A6A6A6"/>
              <w:right w:val="single" w:sz="8" w:space="0" w:color="A6A6A6"/>
            </w:tcBorders>
            <w:shd w:val="clear" w:color="000000" w:fill="FFFFFF"/>
            <w:noWrap/>
            <w:vAlign w:val="bottom"/>
            <w:hideMark/>
          </w:tcPr>
          <w:p w14:paraId="71FC213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26</w:t>
            </w:r>
          </w:p>
        </w:tc>
        <w:tc>
          <w:tcPr>
            <w:tcW w:w="452" w:type="pct"/>
            <w:tcBorders>
              <w:top w:val="nil"/>
              <w:left w:val="nil"/>
              <w:bottom w:val="single" w:sz="8" w:space="0" w:color="A6A6A6"/>
              <w:right w:val="single" w:sz="8" w:space="0" w:color="A6A6A6"/>
            </w:tcBorders>
            <w:shd w:val="clear" w:color="000000" w:fill="FFFFFF"/>
            <w:noWrap/>
            <w:vAlign w:val="bottom"/>
            <w:hideMark/>
          </w:tcPr>
          <w:p w14:paraId="70946C37"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26</w:t>
            </w:r>
          </w:p>
        </w:tc>
        <w:tc>
          <w:tcPr>
            <w:tcW w:w="452" w:type="pct"/>
            <w:tcBorders>
              <w:top w:val="nil"/>
              <w:left w:val="nil"/>
              <w:bottom w:val="single" w:sz="8" w:space="0" w:color="A6A6A6"/>
              <w:right w:val="single" w:sz="8" w:space="0" w:color="A6A6A6"/>
            </w:tcBorders>
            <w:shd w:val="clear" w:color="000000" w:fill="FFFFFF"/>
            <w:noWrap/>
            <w:vAlign w:val="bottom"/>
            <w:hideMark/>
          </w:tcPr>
          <w:p w14:paraId="09085D6A"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25</w:t>
            </w:r>
          </w:p>
        </w:tc>
        <w:tc>
          <w:tcPr>
            <w:tcW w:w="452" w:type="pct"/>
            <w:tcBorders>
              <w:top w:val="nil"/>
              <w:left w:val="nil"/>
              <w:bottom w:val="single" w:sz="8" w:space="0" w:color="A6A6A6"/>
              <w:right w:val="single" w:sz="8" w:space="0" w:color="A6A6A6"/>
            </w:tcBorders>
            <w:shd w:val="clear" w:color="000000" w:fill="FFFFFF"/>
            <w:noWrap/>
            <w:vAlign w:val="center"/>
            <w:hideMark/>
          </w:tcPr>
          <w:p w14:paraId="20F4607C"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23</w:t>
            </w:r>
          </w:p>
        </w:tc>
        <w:tc>
          <w:tcPr>
            <w:tcW w:w="452" w:type="pct"/>
            <w:tcBorders>
              <w:top w:val="nil"/>
              <w:left w:val="nil"/>
              <w:bottom w:val="single" w:sz="8" w:space="0" w:color="A6A6A6"/>
              <w:right w:val="single" w:sz="8" w:space="0" w:color="A6A6A6"/>
            </w:tcBorders>
            <w:shd w:val="clear" w:color="000000" w:fill="FFFFFF"/>
            <w:noWrap/>
            <w:vAlign w:val="center"/>
            <w:hideMark/>
          </w:tcPr>
          <w:p w14:paraId="5A2638A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w:t>
            </w:r>
          </w:p>
        </w:tc>
        <w:tc>
          <w:tcPr>
            <w:tcW w:w="449" w:type="pct"/>
            <w:tcBorders>
              <w:top w:val="nil"/>
              <w:left w:val="nil"/>
              <w:bottom w:val="single" w:sz="8" w:space="0" w:color="A6A6A6"/>
              <w:right w:val="single" w:sz="8" w:space="0" w:color="A6A6A6"/>
            </w:tcBorders>
            <w:shd w:val="clear" w:color="000000" w:fill="FFFFFF"/>
            <w:noWrap/>
            <w:vAlign w:val="center"/>
            <w:hideMark/>
          </w:tcPr>
          <w:p w14:paraId="0757728D"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10</w:t>
            </w:r>
          </w:p>
        </w:tc>
      </w:tr>
      <w:tr w:rsidR="00D27783" w:rsidRPr="00933BAC" w14:paraId="47A2CBEB" w14:textId="77777777" w:rsidTr="003A3C8A">
        <w:trPr>
          <w:trHeight w:val="30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5C1E11D0"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Северен централен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089E2E6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w:t>
            </w:r>
          </w:p>
        </w:tc>
        <w:tc>
          <w:tcPr>
            <w:tcW w:w="452" w:type="pct"/>
            <w:tcBorders>
              <w:top w:val="nil"/>
              <w:left w:val="nil"/>
              <w:bottom w:val="single" w:sz="8" w:space="0" w:color="A6A6A6"/>
              <w:right w:val="single" w:sz="8" w:space="0" w:color="A6A6A6"/>
            </w:tcBorders>
            <w:shd w:val="clear" w:color="000000" w:fill="FFFFFF"/>
            <w:noWrap/>
            <w:vAlign w:val="bottom"/>
            <w:hideMark/>
          </w:tcPr>
          <w:p w14:paraId="376811F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17</w:t>
            </w:r>
          </w:p>
        </w:tc>
        <w:tc>
          <w:tcPr>
            <w:tcW w:w="452" w:type="pct"/>
            <w:tcBorders>
              <w:top w:val="nil"/>
              <w:left w:val="nil"/>
              <w:bottom w:val="single" w:sz="8" w:space="0" w:color="A6A6A6"/>
              <w:right w:val="single" w:sz="8" w:space="0" w:color="A6A6A6"/>
            </w:tcBorders>
            <w:shd w:val="clear" w:color="000000" w:fill="FFFFFF"/>
            <w:noWrap/>
            <w:vAlign w:val="bottom"/>
            <w:hideMark/>
          </w:tcPr>
          <w:p w14:paraId="2E853E8B"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15</w:t>
            </w:r>
          </w:p>
        </w:tc>
        <w:tc>
          <w:tcPr>
            <w:tcW w:w="452" w:type="pct"/>
            <w:tcBorders>
              <w:top w:val="nil"/>
              <w:left w:val="nil"/>
              <w:bottom w:val="single" w:sz="8" w:space="0" w:color="A6A6A6"/>
              <w:right w:val="single" w:sz="8" w:space="0" w:color="A6A6A6"/>
            </w:tcBorders>
            <w:shd w:val="clear" w:color="000000" w:fill="FFFFFF"/>
            <w:noWrap/>
            <w:vAlign w:val="bottom"/>
            <w:hideMark/>
          </w:tcPr>
          <w:p w14:paraId="48BD14DD"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16</w:t>
            </w:r>
          </w:p>
        </w:tc>
        <w:tc>
          <w:tcPr>
            <w:tcW w:w="452" w:type="pct"/>
            <w:tcBorders>
              <w:top w:val="nil"/>
              <w:left w:val="nil"/>
              <w:bottom w:val="single" w:sz="8" w:space="0" w:color="A6A6A6"/>
              <w:right w:val="single" w:sz="8" w:space="0" w:color="A6A6A6"/>
            </w:tcBorders>
            <w:shd w:val="clear" w:color="000000" w:fill="FFFFFF"/>
            <w:noWrap/>
            <w:vAlign w:val="bottom"/>
            <w:hideMark/>
          </w:tcPr>
          <w:p w14:paraId="18D64F3C"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16</w:t>
            </w:r>
          </w:p>
        </w:tc>
        <w:tc>
          <w:tcPr>
            <w:tcW w:w="452" w:type="pct"/>
            <w:tcBorders>
              <w:top w:val="nil"/>
              <w:left w:val="nil"/>
              <w:bottom w:val="single" w:sz="8" w:space="0" w:color="A6A6A6"/>
              <w:right w:val="single" w:sz="8" w:space="0" w:color="A6A6A6"/>
            </w:tcBorders>
            <w:shd w:val="clear" w:color="000000" w:fill="FFFFFF"/>
            <w:noWrap/>
            <w:vAlign w:val="center"/>
            <w:hideMark/>
          </w:tcPr>
          <w:p w14:paraId="70AA6851"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15</w:t>
            </w:r>
          </w:p>
        </w:tc>
        <w:tc>
          <w:tcPr>
            <w:tcW w:w="452" w:type="pct"/>
            <w:tcBorders>
              <w:top w:val="nil"/>
              <w:left w:val="nil"/>
              <w:bottom w:val="single" w:sz="8" w:space="0" w:color="A6A6A6"/>
              <w:right w:val="single" w:sz="8" w:space="0" w:color="A6A6A6"/>
            </w:tcBorders>
            <w:shd w:val="clear" w:color="000000" w:fill="FFFFFF"/>
            <w:noWrap/>
            <w:vAlign w:val="center"/>
            <w:hideMark/>
          </w:tcPr>
          <w:p w14:paraId="5470DC1E"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10</w:t>
            </w:r>
          </w:p>
        </w:tc>
        <w:tc>
          <w:tcPr>
            <w:tcW w:w="449" w:type="pct"/>
            <w:tcBorders>
              <w:top w:val="nil"/>
              <w:left w:val="nil"/>
              <w:bottom w:val="single" w:sz="8" w:space="0" w:color="A6A6A6"/>
              <w:right w:val="single" w:sz="8" w:space="0" w:color="A6A6A6"/>
            </w:tcBorders>
            <w:shd w:val="clear" w:color="000000" w:fill="FFFFFF"/>
            <w:noWrap/>
            <w:vAlign w:val="center"/>
            <w:hideMark/>
          </w:tcPr>
          <w:p w14:paraId="08B94BE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6</w:t>
            </w:r>
          </w:p>
        </w:tc>
      </w:tr>
      <w:tr w:rsidR="00D27783" w:rsidRPr="00933BAC" w14:paraId="0C51E514"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4B75C3C6"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Североизточен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7FE44EC1"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21</w:t>
            </w:r>
          </w:p>
        </w:tc>
        <w:tc>
          <w:tcPr>
            <w:tcW w:w="452" w:type="pct"/>
            <w:tcBorders>
              <w:top w:val="nil"/>
              <w:left w:val="nil"/>
              <w:bottom w:val="single" w:sz="8" w:space="0" w:color="A6A6A6"/>
              <w:right w:val="single" w:sz="8" w:space="0" w:color="A6A6A6"/>
            </w:tcBorders>
            <w:shd w:val="clear" w:color="000000" w:fill="FFFFFF"/>
            <w:noWrap/>
            <w:vAlign w:val="bottom"/>
            <w:hideMark/>
          </w:tcPr>
          <w:p w14:paraId="74AE3B6B"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22</w:t>
            </w:r>
          </w:p>
        </w:tc>
        <w:tc>
          <w:tcPr>
            <w:tcW w:w="452" w:type="pct"/>
            <w:tcBorders>
              <w:top w:val="nil"/>
              <w:left w:val="nil"/>
              <w:bottom w:val="single" w:sz="8" w:space="0" w:color="A6A6A6"/>
              <w:right w:val="single" w:sz="8" w:space="0" w:color="A6A6A6"/>
            </w:tcBorders>
            <w:shd w:val="clear" w:color="000000" w:fill="FFFFFF"/>
            <w:noWrap/>
            <w:vAlign w:val="bottom"/>
            <w:hideMark/>
          </w:tcPr>
          <w:p w14:paraId="5B2A7B1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21</w:t>
            </w:r>
          </w:p>
        </w:tc>
        <w:tc>
          <w:tcPr>
            <w:tcW w:w="452" w:type="pct"/>
            <w:tcBorders>
              <w:top w:val="nil"/>
              <w:left w:val="nil"/>
              <w:bottom w:val="single" w:sz="8" w:space="0" w:color="A6A6A6"/>
              <w:right w:val="single" w:sz="8" w:space="0" w:color="A6A6A6"/>
            </w:tcBorders>
            <w:shd w:val="clear" w:color="000000" w:fill="FFFFFF"/>
            <w:noWrap/>
            <w:vAlign w:val="bottom"/>
            <w:hideMark/>
          </w:tcPr>
          <w:p w14:paraId="07C03D7B"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21</w:t>
            </w:r>
          </w:p>
        </w:tc>
        <w:tc>
          <w:tcPr>
            <w:tcW w:w="452" w:type="pct"/>
            <w:tcBorders>
              <w:top w:val="nil"/>
              <w:left w:val="nil"/>
              <w:bottom w:val="single" w:sz="8" w:space="0" w:color="A6A6A6"/>
              <w:right w:val="single" w:sz="8" w:space="0" w:color="A6A6A6"/>
            </w:tcBorders>
            <w:shd w:val="clear" w:color="000000" w:fill="FFFFFF"/>
            <w:noWrap/>
            <w:vAlign w:val="bottom"/>
            <w:hideMark/>
          </w:tcPr>
          <w:p w14:paraId="75034649"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18</w:t>
            </w:r>
          </w:p>
        </w:tc>
        <w:tc>
          <w:tcPr>
            <w:tcW w:w="452" w:type="pct"/>
            <w:tcBorders>
              <w:top w:val="nil"/>
              <w:left w:val="nil"/>
              <w:bottom w:val="single" w:sz="8" w:space="0" w:color="A6A6A6"/>
              <w:right w:val="single" w:sz="8" w:space="0" w:color="A6A6A6"/>
            </w:tcBorders>
            <w:shd w:val="clear" w:color="000000" w:fill="FFFFFF"/>
            <w:noWrap/>
            <w:vAlign w:val="center"/>
            <w:hideMark/>
          </w:tcPr>
          <w:p w14:paraId="19AC5DFA"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17</w:t>
            </w:r>
          </w:p>
        </w:tc>
        <w:tc>
          <w:tcPr>
            <w:tcW w:w="452" w:type="pct"/>
            <w:tcBorders>
              <w:top w:val="nil"/>
              <w:left w:val="nil"/>
              <w:bottom w:val="single" w:sz="8" w:space="0" w:color="A6A6A6"/>
              <w:right w:val="single" w:sz="8" w:space="0" w:color="A6A6A6"/>
            </w:tcBorders>
            <w:shd w:val="clear" w:color="000000" w:fill="FFFFFF"/>
            <w:noWrap/>
            <w:vAlign w:val="center"/>
            <w:hideMark/>
          </w:tcPr>
          <w:p w14:paraId="049DF240"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13</w:t>
            </w:r>
          </w:p>
        </w:tc>
        <w:tc>
          <w:tcPr>
            <w:tcW w:w="449" w:type="pct"/>
            <w:tcBorders>
              <w:top w:val="nil"/>
              <w:left w:val="nil"/>
              <w:bottom w:val="single" w:sz="8" w:space="0" w:color="A6A6A6"/>
              <w:right w:val="single" w:sz="8" w:space="0" w:color="A6A6A6"/>
            </w:tcBorders>
            <w:shd w:val="clear" w:color="000000" w:fill="FFFFFF"/>
            <w:noWrap/>
            <w:vAlign w:val="center"/>
            <w:hideMark/>
          </w:tcPr>
          <w:p w14:paraId="3A633E1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9</w:t>
            </w:r>
          </w:p>
        </w:tc>
      </w:tr>
      <w:tr w:rsidR="00D27783" w:rsidRPr="00933BAC" w14:paraId="36F394E5"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3CCDF93F"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Югоизточен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44DFBC94"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29</w:t>
            </w:r>
          </w:p>
        </w:tc>
        <w:tc>
          <w:tcPr>
            <w:tcW w:w="452" w:type="pct"/>
            <w:tcBorders>
              <w:top w:val="nil"/>
              <w:left w:val="nil"/>
              <w:bottom w:val="single" w:sz="8" w:space="0" w:color="A6A6A6"/>
              <w:right w:val="single" w:sz="8" w:space="0" w:color="A6A6A6"/>
            </w:tcBorders>
            <w:shd w:val="clear" w:color="000000" w:fill="FFFFFF"/>
            <w:noWrap/>
            <w:vAlign w:val="bottom"/>
            <w:hideMark/>
          </w:tcPr>
          <w:p w14:paraId="565259AC"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26</w:t>
            </w:r>
          </w:p>
        </w:tc>
        <w:tc>
          <w:tcPr>
            <w:tcW w:w="452" w:type="pct"/>
            <w:tcBorders>
              <w:top w:val="nil"/>
              <w:left w:val="nil"/>
              <w:bottom w:val="single" w:sz="8" w:space="0" w:color="A6A6A6"/>
              <w:right w:val="single" w:sz="8" w:space="0" w:color="A6A6A6"/>
            </w:tcBorders>
            <w:shd w:val="clear" w:color="000000" w:fill="FFFFFF"/>
            <w:noWrap/>
            <w:vAlign w:val="bottom"/>
            <w:hideMark/>
          </w:tcPr>
          <w:p w14:paraId="3047088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24</w:t>
            </w:r>
          </w:p>
        </w:tc>
        <w:tc>
          <w:tcPr>
            <w:tcW w:w="452" w:type="pct"/>
            <w:tcBorders>
              <w:top w:val="nil"/>
              <w:left w:val="nil"/>
              <w:bottom w:val="single" w:sz="8" w:space="0" w:color="A6A6A6"/>
              <w:right w:val="single" w:sz="8" w:space="0" w:color="A6A6A6"/>
            </w:tcBorders>
            <w:shd w:val="clear" w:color="000000" w:fill="FFFFFF"/>
            <w:noWrap/>
            <w:vAlign w:val="bottom"/>
            <w:hideMark/>
          </w:tcPr>
          <w:p w14:paraId="301E21B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25</w:t>
            </w:r>
          </w:p>
        </w:tc>
        <w:tc>
          <w:tcPr>
            <w:tcW w:w="452" w:type="pct"/>
            <w:tcBorders>
              <w:top w:val="nil"/>
              <w:left w:val="nil"/>
              <w:bottom w:val="single" w:sz="8" w:space="0" w:color="A6A6A6"/>
              <w:right w:val="single" w:sz="8" w:space="0" w:color="A6A6A6"/>
            </w:tcBorders>
            <w:shd w:val="clear" w:color="000000" w:fill="FFFFFF"/>
            <w:noWrap/>
            <w:vAlign w:val="bottom"/>
            <w:hideMark/>
          </w:tcPr>
          <w:p w14:paraId="0F00560E"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21</w:t>
            </w:r>
          </w:p>
        </w:tc>
        <w:tc>
          <w:tcPr>
            <w:tcW w:w="452" w:type="pct"/>
            <w:tcBorders>
              <w:top w:val="nil"/>
              <w:left w:val="nil"/>
              <w:bottom w:val="single" w:sz="8" w:space="0" w:color="A6A6A6"/>
              <w:right w:val="single" w:sz="8" w:space="0" w:color="A6A6A6"/>
            </w:tcBorders>
            <w:shd w:val="clear" w:color="000000" w:fill="FFFFFF"/>
            <w:noWrap/>
            <w:vAlign w:val="center"/>
            <w:hideMark/>
          </w:tcPr>
          <w:p w14:paraId="1AF2122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13</w:t>
            </w:r>
          </w:p>
        </w:tc>
        <w:tc>
          <w:tcPr>
            <w:tcW w:w="452" w:type="pct"/>
            <w:tcBorders>
              <w:top w:val="nil"/>
              <w:left w:val="nil"/>
              <w:bottom w:val="single" w:sz="8" w:space="0" w:color="A6A6A6"/>
              <w:right w:val="single" w:sz="8" w:space="0" w:color="A6A6A6"/>
            </w:tcBorders>
            <w:shd w:val="clear" w:color="000000" w:fill="FFFFFF"/>
            <w:noWrap/>
            <w:vAlign w:val="center"/>
            <w:hideMark/>
          </w:tcPr>
          <w:p w14:paraId="53AE5AEC"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15</w:t>
            </w:r>
          </w:p>
        </w:tc>
        <w:tc>
          <w:tcPr>
            <w:tcW w:w="449" w:type="pct"/>
            <w:tcBorders>
              <w:top w:val="nil"/>
              <w:left w:val="nil"/>
              <w:bottom w:val="single" w:sz="8" w:space="0" w:color="A6A6A6"/>
              <w:right w:val="single" w:sz="8" w:space="0" w:color="A6A6A6"/>
            </w:tcBorders>
            <w:shd w:val="clear" w:color="000000" w:fill="FFFFFF"/>
            <w:noWrap/>
            <w:vAlign w:val="center"/>
            <w:hideMark/>
          </w:tcPr>
          <w:p w14:paraId="62E2EEE4"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w:t>
            </w:r>
          </w:p>
        </w:tc>
      </w:tr>
      <w:tr w:rsidR="00D27783" w:rsidRPr="00933BAC" w14:paraId="2EAC9C20"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39A3D688"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Югозападен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5D69E1DE"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40</w:t>
            </w:r>
          </w:p>
        </w:tc>
        <w:tc>
          <w:tcPr>
            <w:tcW w:w="452" w:type="pct"/>
            <w:tcBorders>
              <w:top w:val="nil"/>
              <w:left w:val="nil"/>
              <w:bottom w:val="single" w:sz="8" w:space="0" w:color="A6A6A6"/>
              <w:right w:val="single" w:sz="8" w:space="0" w:color="A6A6A6"/>
            </w:tcBorders>
            <w:shd w:val="clear" w:color="000000" w:fill="FFFFFF"/>
            <w:noWrap/>
            <w:vAlign w:val="bottom"/>
            <w:hideMark/>
          </w:tcPr>
          <w:p w14:paraId="420ADFE9"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40</w:t>
            </w:r>
          </w:p>
        </w:tc>
        <w:tc>
          <w:tcPr>
            <w:tcW w:w="452" w:type="pct"/>
            <w:tcBorders>
              <w:top w:val="nil"/>
              <w:left w:val="nil"/>
              <w:bottom w:val="single" w:sz="8" w:space="0" w:color="A6A6A6"/>
              <w:right w:val="single" w:sz="8" w:space="0" w:color="A6A6A6"/>
            </w:tcBorders>
            <w:shd w:val="clear" w:color="000000" w:fill="FFFFFF"/>
            <w:noWrap/>
            <w:vAlign w:val="bottom"/>
            <w:hideMark/>
          </w:tcPr>
          <w:p w14:paraId="363CB474"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38</w:t>
            </w:r>
          </w:p>
        </w:tc>
        <w:tc>
          <w:tcPr>
            <w:tcW w:w="452" w:type="pct"/>
            <w:tcBorders>
              <w:top w:val="nil"/>
              <w:left w:val="nil"/>
              <w:bottom w:val="single" w:sz="8" w:space="0" w:color="A6A6A6"/>
              <w:right w:val="single" w:sz="8" w:space="0" w:color="A6A6A6"/>
            </w:tcBorders>
            <w:shd w:val="clear" w:color="000000" w:fill="FFFFFF"/>
            <w:noWrap/>
            <w:vAlign w:val="bottom"/>
            <w:hideMark/>
          </w:tcPr>
          <w:p w14:paraId="51E39291"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35</w:t>
            </w:r>
          </w:p>
        </w:tc>
        <w:tc>
          <w:tcPr>
            <w:tcW w:w="452" w:type="pct"/>
            <w:tcBorders>
              <w:top w:val="nil"/>
              <w:left w:val="nil"/>
              <w:bottom w:val="single" w:sz="8" w:space="0" w:color="A6A6A6"/>
              <w:right w:val="single" w:sz="8" w:space="0" w:color="A6A6A6"/>
            </w:tcBorders>
            <w:shd w:val="clear" w:color="000000" w:fill="FFFFFF"/>
            <w:noWrap/>
            <w:vAlign w:val="bottom"/>
            <w:hideMark/>
          </w:tcPr>
          <w:p w14:paraId="227AA902"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32</w:t>
            </w:r>
          </w:p>
        </w:tc>
        <w:tc>
          <w:tcPr>
            <w:tcW w:w="452" w:type="pct"/>
            <w:tcBorders>
              <w:top w:val="nil"/>
              <w:left w:val="nil"/>
              <w:bottom w:val="single" w:sz="8" w:space="0" w:color="A6A6A6"/>
              <w:right w:val="single" w:sz="8" w:space="0" w:color="A6A6A6"/>
            </w:tcBorders>
            <w:shd w:val="clear" w:color="000000" w:fill="FFFFFF"/>
            <w:noWrap/>
            <w:vAlign w:val="center"/>
            <w:hideMark/>
          </w:tcPr>
          <w:p w14:paraId="56B26D85"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34</w:t>
            </w:r>
          </w:p>
        </w:tc>
        <w:tc>
          <w:tcPr>
            <w:tcW w:w="452" w:type="pct"/>
            <w:tcBorders>
              <w:top w:val="nil"/>
              <w:left w:val="nil"/>
              <w:bottom w:val="single" w:sz="8" w:space="0" w:color="A6A6A6"/>
              <w:right w:val="single" w:sz="8" w:space="0" w:color="A6A6A6"/>
            </w:tcBorders>
            <w:shd w:val="clear" w:color="000000" w:fill="FFFFFF"/>
            <w:noWrap/>
            <w:vAlign w:val="center"/>
            <w:hideMark/>
          </w:tcPr>
          <w:p w14:paraId="16205F36"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30</w:t>
            </w:r>
          </w:p>
        </w:tc>
        <w:tc>
          <w:tcPr>
            <w:tcW w:w="449" w:type="pct"/>
            <w:tcBorders>
              <w:top w:val="nil"/>
              <w:left w:val="nil"/>
              <w:bottom w:val="single" w:sz="8" w:space="0" w:color="A6A6A6"/>
              <w:right w:val="single" w:sz="8" w:space="0" w:color="A6A6A6"/>
            </w:tcBorders>
            <w:shd w:val="clear" w:color="000000" w:fill="FFFFFF"/>
            <w:noWrap/>
            <w:vAlign w:val="center"/>
            <w:hideMark/>
          </w:tcPr>
          <w:p w14:paraId="72F15090"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w:t>
            </w:r>
          </w:p>
        </w:tc>
      </w:tr>
      <w:tr w:rsidR="00D27783" w:rsidRPr="00933BAC" w14:paraId="23A473D4" w14:textId="77777777" w:rsidTr="003A3C8A">
        <w:trPr>
          <w:trHeight w:val="290"/>
        </w:trPr>
        <w:tc>
          <w:tcPr>
            <w:tcW w:w="1387" w:type="pct"/>
            <w:tcBorders>
              <w:top w:val="nil"/>
              <w:left w:val="single" w:sz="8" w:space="0" w:color="A6A6A6"/>
              <w:bottom w:val="single" w:sz="8" w:space="0" w:color="A6A6A6"/>
              <w:right w:val="single" w:sz="8" w:space="0" w:color="A6A6A6"/>
            </w:tcBorders>
            <w:shd w:val="clear" w:color="000000" w:fill="FFFFFF"/>
            <w:vAlign w:val="bottom"/>
            <w:hideMark/>
          </w:tcPr>
          <w:p w14:paraId="2EEE3C30" w14:textId="77777777" w:rsidR="00D27783" w:rsidRPr="00536E7C" w:rsidRDefault="00D27783"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b/>
                <w:bCs/>
                <w:color w:val="000000"/>
                <w:sz w:val="20"/>
                <w:szCs w:val="20"/>
                <w:lang w:val="bg-BG"/>
              </w:rPr>
              <w:t>Южен централен район</w:t>
            </w:r>
          </w:p>
        </w:tc>
        <w:tc>
          <w:tcPr>
            <w:tcW w:w="452" w:type="pct"/>
            <w:tcBorders>
              <w:top w:val="nil"/>
              <w:left w:val="nil"/>
              <w:bottom w:val="single" w:sz="8" w:space="0" w:color="A6A6A6"/>
              <w:right w:val="single" w:sz="8" w:space="0" w:color="A6A6A6"/>
            </w:tcBorders>
            <w:shd w:val="clear" w:color="000000" w:fill="FFFFFF"/>
            <w:noWrap/>
            <w:vAlign w:val="bottom"/>
            <w:hideMark/>
          </w:tcPr>
          <w:p w14:paraId="0487B8A3"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28</w:t>
            </w:r>
          </w:p>
        </w:tc>
        <w:tc>
          <w:tcPr>
            <w:tcW w:w="452" w:type="pct"/>
            <w:tcBorders>
              <w:top w:val="nil"/>
              <w:left w:val="nil"/>
              <w:bottom w:val="single" w:sz="8" w:space="0" w:color="A6A6A6"/>
              <w:right w:val="single" w:sz="8" w:space="0" w:color="A6A6A6"/>
            </w:tcBorders>
            <w:shd w:val="clear" w:color="000000" w:fill="FFFFFF"/>
            <w:noWrap/>
            <w:vAlign w:val="bottom"/>
            <w:hideMark/>
          </w:tcPr>
          <w:p w14:paraId="65C2E55B"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27</w:t>
            </w:r>
          </w:p>
        </w:tc>
        <w:tc>
          <w:tcPr>
            <w:tcW w:w="452" w:type="pct"/>
            <w:tcBorders>
              <w:top w:val="nil"/>
              <w:left w:val="nil"/>
              <w:bottom w:val="single" w:sz="8" w:space="0" w:color="A6A6A6"/>
              <w:right w:val="single" w:sz="8" w:space="0" w:color="A6A6A6"/>
            </w:tcBorders>
            <w:shd w:val="clear" w:color="000000" w:fill="FFFFFF"/>
            <w:noWrap/>
            <w:vAlign w:val="bottom"/>
            <w:hideMark/>
          </w:tcPr>
          <w:p w14:paraId="00E5D15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w:t>
            </w:r>
          </w:p>
        </w:tc>
        <w:tc>
          <w:tcPr>
            <w:tcW w:w="452" w:type="pct"/>
            <w:tcBorders>
              <w:top w:val="nil"/>
              <w:left w:val="nil"/>
              <w:bottom w:val="single" w:sz="8" w:space="0" w:color="A6A6A6"/>
              <w:right w:val="single" w:sz="8" w:space="0" w:color="A6A6A6"/>
            </w:tcBorders>
            <w:shd w:val="clear" w:color="000000" w:fill="FFFFFF"/>
            <w:noWrap/>
            <w:vAlign w:val="bottom"/>
            <w:hideMark/>
          </w:tcPr>
          <w:p w14:paraId="0B9CC50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24</w:t>
            </w:r>
          </w:p>
        </w:tc>
        <w:tc>
          <w:tcPr>
            <w:tcW w:w="452" w:type="pct"/>
            <w:tcBorders>
              <w:top w:val="nil"/>
              <w:left w:val="nil"/>
              <w:bottom w:val="single" w:sz="8" w:space="0" w:color="A6A6A6"/>
              <w:right w:val="single" w:sz="8" w:space="0" w:color="A6A6A6"/>
            </w:tcBorders>
            <w:shd w:val="clear" w:color="000000" w:fill="FFFFFF"/>
            <w:noWrap/>
            <w:vAlign w:val="bottom"/>
            <w:hideMark/>
          </w:tcPr>
          <w:p w14:paraId="18408AB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22</w:t>
            </w:r>
          </w:p>
        </w:tc>
        <w:tc>
          <w:tcPr>
            <w:tcW w:w="452" w:type="pct"/>
            <w:tcBorders>
              <w:top w:val="nil"/>
              <w:left w:val="nil"/>
              <w:bottom w:val="single" w:sz="8" w:space="0" w:color="A6A6A6"/>
              <w:right w:val="single" w:sz="8" w:space="0" w:color="A6A6A6"/>
            </w:tcBorders>
            <w:shd w:val="clear" w:color="000000" w:fill="FFFFFF"/>
            <w:noWrap/>
            <w:vAlign w:val="center"/>
            <w:hideMark/>
          </w:tcPr>
          <w:p w14:paraId="7F178C80"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23</w:t>
            </w:r>
          </w:p>
        </w:tc>
        <w:tc>
          <w:tcPr>
            <w:tcW w:w="452" w:type="pct"/>
            <w:tcBorders>
              <w:top w:val="nil"/>
              <w:left w:val="nil"/>
              <w:bottom w:val="single" w:sz="8" w:space="0" w:color="A6A6A6"/>
              <w:right w:val="single" w:sz="8" w:space="0" w:color="A6A6A6"/>
            </w:tcBorders>
            <w:shd w:val="clear" w:color="000000" w:fill="FFFFFF"/>
            <w:noWrap/>
            <w:vAlign w:val="center"/>
            <w:hideMark/>
          </w:tcPr>
          <w:p w14:paraId="4575FB28"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24</w:t>
            </w:r>
          </w:p>
        </w:tc>
        <w:tc>
          <w:tcPr>
            <w:tcW w:w="449" w:type="pct"/>
            <w:tcBorders>
              <w:top w:val="nil"/>
              <w:left w:val="nil"/>
              <w:bottom w:val="single" w:sz="8" w:space="0" w:color="A6A6A6"/>
              <w:right w:val="single" w:sz="8" w:space="0" w:color="A6A6A6"/>
            </w:tcBorders>
            <w:shd w:val="clear" w:color="000000" w:fill="FFFFFF"/>
            <w:noWrap/>
            <w:vAlign w:val="center"/>
            <w:hideMark/>
          </w:tcPr>
          <w:p w14:paraId="5A30F7EF" w14:textId="77777777" w:rsidR="00D27783" w:rsidRPr="00536E7C" w:rsidRDefault="00D27783"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15</w:t>
            </w:r>
          </w:p>
        </w:tc>
      </w:tr>
    </w:tbl>
    <w:p w14:paraId="76FC43FC" w14:textId="77777777" w:rsidR="00D27783" w:rsidRPr="002A5B6B" w:rsidRDefault="00D27783" w:rsidP="00D27783">
      <w:pPr>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46C90EB0" w14:textId="77777777" w:rsidR="00D27783" w:rsidRPr="00655BDE" w:rsidRDefault="00D27783"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Системите за управление на битови отпадъци са организирани на регионален принцип чрез създадените 55 Регионални сдружения за управление на отпадъците. </w:t>
      </w:r>
    </w:p>
    <w:p w14:paraId="2A453E65" w14:textId="77777777" w:rsidR="00D27783" w:rsidRPr="00655BDE" w:rsidRDefault="00D27783"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Към 2020 г. са изградени и функционират всички депа за управление на отпадъците на регионален принцип, с изключение на два региона (Благоевград и Кюстендил), за които изграждането на депата е в процес на изпълнение. Третирането на отпадъците в Регион Провадия е в частна инсталация.</w:t>
      </w:r>
    </w:p>
    <w:p w14:paraId="3D7774F8" w14:textId="77777777" w:rsidR="00D27783" w:rsidRPr="00655BDE" w:rsidRDefault="00D27783" w:rsidP="00D27783">
      <w:pPr>
        <w:spacing w:before="120" w:after="120" w:line="276" w:lineRule="auto"/>
        <w:jc w:val="both"/>
        <w:rPr>
          <w:rFonts w:ascii="Times New Roman" w:hAnsi="Times New Roman" w:cs="Times New Roman"/>
          <w:lang w:val="bg-BG"/>
        </w:rPr>
      </w:pPr>
      <w:bookmarkStart w:id="29" w:name="_Hlk72785312"/>
      <w:r w:rsidRPr="00655BDE">
        <w:rPr>
          <w:rFonts w:ascii="Times New Roman" w:hAnsi="Times New Roman" w:cs="Times New Roman"/>
          <w:lang w:val="bg-BG"/>
        </w:rPr>
        <w:t xml:space="preserve">Депонирането, като метод за обезвреждане на отпадъците, е с най-голям относителен дял в третирането на битовите отпадъци, независимо че намалява през последните 10 години. </w:t>
      </w:r>
      <w:bookmarkEnd w:id="29"/>
      <w:r w:rsidRPr="00655BDE">
        <w:rPr>
          <w:rFonts w:ascii="Times New Roman" w:hAnsi="Times New Roman" w:cs="Times New Roman"/>
          <w:lang w:val="bg-BG"/>
        </w:rPr>
        <w:t>Това обуславя и необходимостта от изграждане на допълнителни клетки за депониране и сравнително бързо изчерпване на капацитета на съоръженията в експлоатация.</w:t>
      </w:r>
    </w:p>
    <w:p w14:paraId="2ACF247D" w14:textId="77777777" w:rsidR="00D27783" w:rsidRPr="00F834BF" w:rsidRDefault="00F834BF" w:rsidP="00F834BF">
      <w:pPr>
        <w:pStyle w:val="Caption"/>
        <w:rPr>
          <w:rFonts w:ascii="Times New Roman" w:eastAsia="Times New Roman" w:hAnsi="Times New Roman" w:cs="Times New Roman"/>
          <w:b w:val="0"/>
          <w:bCs w:val="0"/>
          <w:i/>
          <w:color w:val="auto"/>
          <w:sz w:val="22"/>
          <w:szCs w:val="22"/>
          <w:lang w:val="bg-BG"/>
        </w:rPr>
      </w:pPr>
      <w:bookmarkStart w:id="30" w:name="_Toc72919665"/>
      <w:r w:rsidRPr="00F834BF">
        <w:rPr>
          <w:rFonts w:ascii="Times New Roman" w:eastAsia="Times New Roman" w:hAnsi="Times New Roman" w:cs="Times New Roman"/>
          <w:b w:val="0"/>
          <w:bCs w:val="0"/>
          <w:i/>
          <w:color w:val="auto"/>
          <w:sz w:val="22"/>
          <w:szCs w:val="22"/>
          <w:lang w:val="bg-BG"/>
        </w:rPr>
        <w:t xml:space="preserve">Таблица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Таблица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6</w:t>
      </w:r>
      <w:r w:rsidRPr="00F834BF">
        <w:rPr>
          <w:rFonts w:ascii="Times New Roman" w:eastAsia="Times New Roman" w:hAnsi="Times New Roman" w:cs="Times New Roman"/>
          <w:b w:val="0"/>
          <w:bCs w:val="0"/>
          <w:i/>
          <w:color w:val="auto"/>
          <w:sz w:val="22"/>
          <w:szCs w:val="22"/>
          <w:lang w:val="bg-BG"/>
        </w:rPr>
        <w:fldChar w:fldCharType="end"/>
      </w:r>
      <w:r w:rsidRPr="00F834BF">
        <w:rPr>
          <w:rFonts w:ascii="Times New Roman" w:eastAsia="Times New Roman" w:hAnsi="Times New Roman" w:cs="Times New Roman"/>
          <w:b w:val="0"/>
          <w:bCs w:val="0"/>
          <w:i/>
          <w:color w:val="auto"/>
          <w:sz w:val="22"/>
          <w:szCs w:val="22"/>
          <w:lang w:val="bg-BG"/>
        </w:rPr>
        <w:t xml:space="preserve"> </w:t>
      </w:r>
      <w:r w:rsidR="00D27783" w:rsidRPr="00F834BF">
        <w:rPr>
          <w:rFonts w:ascii="Times New Roman" w:eastAsia="Times New Roman" w:hAnsi="Times New Roman" w:cs="Times New Roman"/>
          <w:b w:val="0"/>
          <w:bCs w:val="0"/>
          <w:i/>
          <w:color w:val="auto"/>
          <w:sz w:val="22"/>
          <w:szCs w:val="22"/>
          <w:lang w:val="bg-BG"/>
        </w:rPr>
        <w:t>Остатъчен капацитет на депата и инсталациите за третиране на битови отпадъци</w:t>
      </w:r>
      <w:r w:rsidR="003A3C8A" w:rsidRPr="00F834BF">
        <w:rPr>
          <w:rFonts w:ascii="Times New Roman" w:eastAsia="Times New Roman" w:hAnsi="Times New Roman" w:cs="Times New Roman"/>
          <w:b w:val="0"/>
          <w:bCs w:val="0"/>
          <w:i/>
          <w:color w:val="auto"/>
          <w:sz w:val="22"/>
          <w:szCs w:val="22"/>
          <w:lang w:val="bg-BG"/>
        </w:rPr>
        <w:t xml:space="preserve"> (кубични метри)</w:t>
      </w:r>
      <w:bookmarkEnd w:id="30"/>
    </w:p>
    <w:tbl>
      <w:tblPr>
        <w:tblpPr w:leftFromText="180" w:rightFromText="180" w:vertAnchor="text" w:horzAnchor="margin" w:tblpY="325"/>
        <w:tblW w:w="5349" w:type="pct"/>
        <w:tblLayout w:type="fixed"/>
        <w:tblLook w:val="04A0" w:firstRow="1" w:lastRow="0" w:firstColumn="1" w:lastColumn="0" w:noHBand="0" w:noVBand="1"/>
      </w:tblPr>
      <w:tblGrid>
        <w:gridCol w:w="1388"/>
        <w:gridCol w:w="1051"/>
        <w:gridCol w:w="1079"/>
        <w:gridCol w:w="1079"/>
        <w:gridCol w:w="1077"/>
        <w:gridCol w:w="1079"/>
        <w:gridCol w:w="1081"/>
        <w:gridCol w:w="1081"/>
        <w:gridCol w:w="1077"/>
      </w:tblGrid>
      <w:tr w:rsidR="003A3C8A" w:rsidRPr="00933BAC" w14:paraId="157CDAC9" w14:textId="77777777" w:rsidTr="003E386A">
        <w:trPr>
          <w:trHeight w:val="300"/>
        </w:trPr>
        <w:tc>
          <w:tcPr>
            <w:tcW w:w="694" w:type="pct"/>
            <w:tcBorders>
              <w:top w:val="single" w:sz="8" w:space="0" w:color="A6A6A6"/>
              <w:left w:val="single" w:sz="8" w:space="0" w:color="A6A6A6"/>
              <w:bottom w:val="single" w:sz="8" w:space="0" w:color="A6A6A6"/>
              <w:right w:val="single" w:sz="8" w:space="0" w:color="A6A6A6"/>
            </w:tcBorders>
            <w:shd w:val="clear" w:color="auto" w:fill="DEEAF6" w:themeFill="accent5" w:themeFillTint="33"/>
            <w:noWrap/>
            <w:vAlign w:val="center"/>
            <w:hideMark/>
          </w:tcPr>
          <w:p w14:paraId="67B79371" w14:textId="77777777" w:rsidR="003A3C8A" w:rsidRPr="00536E7C" w:rsidRDefault="003A3C8A" w:rsidP="00D27783">
            <w:pPr>
              <w:spacing w:after="0" w:line="240" w:lineRule="auto"/>
              <w:rPr>
                <w:rFonts w:ascii="Times New Roman" w:eastAsia="Times New Roman" w:hAnsi="Times New Roman" w:cs="Times New Roman"/>
                <w:sz w:val="20"/>
                <w:szCs w:val="20"/>
                <w:lang w:val="bg-BG"/>
              </w:rPr>
            </w:pPr>
            <w:r>
              <w:rPr>
                <w:rFonts w:ascii="Times New Roman" w:eastAsia="Times New Roman" w:hAnsi="Times New Roman" w:cs="Times New Roman"/>
                <w:color w:val="000000"/>
                <w:sz w:val="20"/>
                <w:szCs w:val="20"/>
                <w:lang w:val="bg-BG"/>
              </w:rPr>
              <w:t>Район на планиране</w:t>
            </w:r>
          </w:p>
        </w:tc>
        <w:tc>
          <w:tcPr>
            <w:tcW w:w="526"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08A0538F"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2011</w:t>
            </w:r>
          </w:p>
        </w:tc>
        <w:tc>
          <w:tcPr>
            <w:tcW w:w="540"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09B251F2"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2012</w:t>
            </w:r>
          </w:p>
        </w:tc>
        <w:tc>
          <w:tcPr>
            <w:tcW w:w="540"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18FE5ED9"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2013</w:t>
            </w:r>
          </w:p>
        </w:tc>
        <w:tc>
          <w:tcPr>
            <w:tcW w:w="539"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71896B91"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2014</w:t>
            </w:r>
          </w:p>
        </w:tc>
        <w:tc>
          <w:tcPr>
            <w:tcW w:w="540"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3FF0977B"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2015</w:t>
            </w:r>
          </w:p>
        </w:tc>
        <w:tc>
          <w:tcPr>
            <w:tcW w:w="541"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0BF022A1" w14:textId="77777777" w:rsidR="003A3C8A" w:rsidRPr="00933BAC" w:rsidRDefault="003A3C8A"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2016</w:t>
            </w:r>
          </w:p>
        </w:tc>
        <w:tc>
          <w:tcPr>
            <w:tcW w:w="541"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166D1EE8" w14:textId="77777777" w:rsidR="003A3C8A" w:rsidRPr="00933BA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2017</w:t>
            </w:r>
          </w:p>
        </w:tc>
        <w:tc>
          <w:tcPr>
            <w:tcW w:w="540" w:type="pct"/>
            <w:tcBorders>
              <w:top w:val="single" w:sz="8" w:space="0" w:color="A6A6A6"/>
              <w:left w:val="nil"/>
              <w:bottom w:val="single" w:sz="8" w:space="0" w:color="A6A6A6"/>
              <w:right w:val="single" w:sz="8" w:space="0" w:color="A6A6A6"/>
            </w:tcBorders>
            <w:shd w:val="clear" w:color="auto" w:fill="DEEAF6" w:themeFill="accent5" w:themeFillTint="33"/>
            <w:noWrap/>
            <w:vAlign w:val="center"/>
            <w:hideMark/>
          </w:tcPr>
          <w:p w14:paraId="73476865" w14:textId="77777777" w:rsidR="003A3C8A" w:rsidRPr="00536E7C" w:rsidRDefault="003A3C8A" w:rsidP="003A3C8A">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sz w:val="20"/>
                <w:szCs w:val="20"/>
                <w:lang w:val="bg-BG"/>
              </w:rPr>
              <w:t>2018</w:t>
            </w:r>
          </w:p>
        </w:tc>
      </w:tr>
      <w:tr w:rsidR="003A3C8A" w:rsidRPr="00933BAC" w14:paraId="13E18AFF" w14:textId="77777777" w:rsidTr="003E386A">
        <w:trPr>
          <w:trHeight w:val="675"/>
        </w:trPr>
        <w:tc>
          <w:tcPr>
            <w:tcW w:w="694" w:type="pct"/>
            <w:tcBorders>
              <w:top w:val="nil"/>
              <w:left w:val="single" w:sz="8" w:space="0" w:color="A6A6A6"/>
              <w:bottom w:val="single" w:sz="8" w:space="0" w:color="A6A6A6"/>
              <w:right w:val="single" w:sz="8" w:space="0" w:color="A6A6A6"/>
            </w:tcBorders>
            <w:shd w:val="clear" w:color="000000" w:fill="FFFFFF"/>
            <w:vAlign w:val="bottom"/>
            <w:hideMark/>
          </w:tcPr>
          <w:p w14:paraId="71E220AA"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b/>
                <w:bCs/>
                <w:color w:val="000000"/>
                <w:sz w:val="20"/>
                <w:szCs w:val="20"/>
                <w:lang w:val="bg-BG"/>
              </w:rPr>
              <w:t>Общо за страната</w:t>
            </w:r>
          </w:p>
        </w:tc>
        <w:tc>
          <w:tcPr>
            <w:tcW w:w="526" w:type="pct"/>
            <w:tcBorders>
              <w:top w:val="nil"/>
              <w:left w:val="nil"/>
              <w:bottom w:val="single" w:sz="8" w:space="0" w:color="A6A6A6"/>
              <w:right w:val="single" w:sz="8" w:space="0" w:color="A6A6A6"/>
            </w:tcBorders>
            <w:shd w:val="clear" w:color="000000" w:fill="FFFFFF"/>
            <w:vAlign w:val="bottom"/>
            <w:hideMark/>
          </w:tcPr>
          <w:p w14:paraId="0B0C1D30"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13618234</w:t>
            </w:r>
          </w:p>
        </w:tc>
        <w:tc>
          <w:tcPr>
            <w:tcW w:w="540" w:type="pct"/>
            <w:tcBorders>
              <w:top w:val="nil"/>
              <w:left w:val="nil"/>
              <w:bottom w:val="single" w:sz="8" w:space="0" w:color="A6A6A6"/>
              <w:right w:val="single" w:sz="8" w:space="0" w:color="A6A6A6"/>
            </w:tcBorders>
            <w:shd w:val="clear" w:color="000000" w:fill="FFFFFF"/>
            <w:vAlign w:val="bottom"/>
            <w:hideMark/>
          </w:tcPr>
          <w:p w14:paraId="6AC85EA0"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11391118</w:t>
            </w:r>
          </w:p>
        </w:tc>
        <w:tc>
          <w:tcPr>
            <w:tcW w:w="540" w:type="pct"/>
            <w:tcBorders>
              <w:top w:val="nil"/>
              <w:left w:val="nil"/>
              <w:bottom w:val="single" w:sz="8" w:space="0" w:color="A6A6A6"/>
              <w:right w:val="single" w:sz="8" w:space="0" w:color="A6A6A6"/>
            </w:tcBorders>
            <w:shd w:val="clear" w:color="000000" w:fill="FFFFFF"/>
            <w:vAlign w:val="bottom"/>
            <w:hideMark/>
          </w:tcPr>
          <w:p w14:paraId="23E31610"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15078576</w:t>
            </w:r>
          </w:p>
        </w:tc>
        <w:tc>
          <w:tcPr>
            <w:tcW w:w="539" w:type="pct"/>
            <w:tcBorders>
              <w:top w:val="nil"/>
              <w:left w:val="nil"/>
              <w:bottom w:val="single" w:sz="8" w:space="0" w:color="A6A6A6"/>
              <w:right w:val="single" w:sz="8" w:space="0" w:color="A6A6A6"/>
            </w:tcBorders>
            <w:shd w:val="clear" w:color="000000" w:fill="FFFFFF"/>
            <w:vAlign w:val="bottom"/>
            <w:hideMark/>
          </w:tcPr>
          <w:p w14:paraId="59D23A0E"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16281276</w:t>
            </w:r>
          </w:p>
        </w:tc>
        <w:tc>
          <w:tcPr>
            <w:tcW w:w="540" w:type="pct"/>
            <w:tcBorders>
              <w:top w:val="nil"/>
              <w:left w:val="nil"/>
              <w:bottom w:val="single" w:sz="8" w:space="0" w:color="A6A6A6"/>
              <w:right w:val="single" w:sz="8" w:space="0" w:color="A6A6A6"/>
            </w:tcBorders>
            <w:shd w:val="clear" w:color="000000" w:fill="FFFFFF"/>
            <w:vAlign w:val="bottom"/>
            <w:hideMark/>
          </w:tcPr>
          <w:p w14:paraId="710A078B"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14556798</w:t>
            </w:r>
          </w:p>
        </w:tc>
        <w:tc>
          <w:tcPr>
            <w:tcW w:w="541" w:type="pct"/>
            <w:tcBorders>
              <w:top w:val="nil"/>
              <w:left w:val="nil"/>
              <w:bottom w:val="single" w:sz="8" w:space="0" w:color="A6A6A6"/>
              <w:right w:val="single" w:sz="8" w:space="0" w:color="A6A6A6"/>
            </w:tcBorders>
            <w:shd w:val="clear" w:color="000000" w:fill="FFFFFF"/>
            <w:vAlign w:val="bottom"/>
            <w:hideMark/>
          </w:tcPr>
          <w:p w14:paraId="28D0653F"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13226948</w:t>
            </w:r>
          </w:p>
        </w:tc>
        <w:tc>
          <w:tcPr>
            <w:tcW w:w="541" w:type="pct"/>
            <w:tcBorders>
              <w:top w:val="nil"/>
              <w:left w:val="nil"/>
              <w:bottom w:val="single" w:sz="8" w:space="0" w:color="A6A6A6"/>
              <w:right w:val="single" w:sz="8" w:space="0" w:color="A6A6A6"/>
            </w:tcBorders>
            <w:shd w:val="clear" w:color="000000" w:fill="FFFFFF"/>
            <w:vAlign w:val="bottom"/>
            <w:hideMark/>
          </w:tcPr>
          <w:p w14:paraId="5DC8DE34"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16311964</w:t>
            </w:r>
          </w:p>
        </w:tc>
        <w:tc>
          <w:tcPr>
            <w:tcW w:w="540" w:type="pct"/>
            <w:tcBorders>
              <w:top w:val="nil"/>
              <w:left w:val="nil"/>
              <w:bottom w:val="single" w:sz="8" w:space="0" w:color="A6A6A6"/>
              <w:right w:val="single" w:sz="8" w:space="0" w:color="A6A6A6"/>
            </w:tcBorders>
            <w:shd w:val="clear" w:color="000000" w:fill="FFFFFF"/>
            <w:vAlign w:val="bottom"/>
            <w:hideMark/>
          </w:tcPr>
          <w:p w14:paraId="7E015331" w14:textId="77777777" w:rsidR="003A3C8A" w:rsidRPr="00536E7C" w:rsidRDefault="003A3C8A"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b/>
                <w:bCs/>
                <w:sz w:val="20"/>
                <w:szCs w:val="20"/>
                <w:lang w:val="bg-BG"/>
              </w:rPr>
              <w:t>16429214</w:t>
            </w:r>
          </w:p>
        </w:tc>
      </w:tr>
      <w:tr w:rsidR="003A3C8A" w:rsidRPr="00933BAC" w14:paraId="5339C2C7" w14:textId="77777777" w:rsidTr="003E386A">
        <w:trPr>
          <w:trHeight w:val="290"/>
        </w:trPr>
        <w:tc>
          <w:tcPr>
            <w:tcW w:w="694" w:type="pct"/>
            <w:tcBorders>
              <w:top w:val="nil"/>
              <w:left w:val="single" w:sz="8" w:space="0" w:color="A6A6A6"/>
              <w:bottom w:val="single" w:sz="8" w:space="0" w:color="A6A6A6"/>
              <w:right w:val="single" w:sz="8" w:space="0" w:color="A6A6A6"/>
            </w:tcBorders>
            <w:shd w:val="clear" w:color="000000" w:fill="FFFFFF"/>
            <w:vAlign w:val="bottom"/>
            <w:hideMark/>
          </w:tcPr>
          <w:p w14:paraId="4E9E066B" w14:textId="77777777" w:rsidR="003A3C8A" w:rsidRPr="00536E7C" w:rsidRDefault="003A3C8A" w:rsidP="00D27783">
            <w:pPr>
              <w:spacing w:after="0" w:line="240" w:lineRule="auto"/>
              <w:rPr>
                <w:rFonts w:ascii="Times New Roman" w:eastAsia="Times New Roman" w:hAnsi="Times New Roman" w:cs="Times New Roman"/>
                <w:b/>
                <w:bCs/>
                <w:color w:val="000000"/>
                <w:sz w:val="20"/>
                <w:szCs w:val="20"/>
                <w:lang w:val="bg-BG"/>
              </w:rPr>
            </w:pPr>
            <w:r w:rsidRPr="00536E7C">
              <w:rPr>
                <w:rFonts w:ascii="Times New Roman" w:eastAsia="Times New Roman" w:hAnsi="Times New Roman" w:cs="Times New Roman"/>
                <w:color w:val="000000"/>
                <w:sz w:val="20"/>
                <w:szCs w:val="20"/>
                <w:lang w:val="bg-BG"/>
              </w:rPr>
              <w:t>Северозападен район</w:t>
            </w:r>
          </w:p>
        </w:tc>
        <w:tc>
          <w:tcPr>
            <w:tcW w:w="526" w:type="pct"/>
            <w:tcBorders>
              <w:top w:val="nil"/>
              <w:left w:val="nil"/>
              <w:bottom w:val="single" w:sz="8" w:space="0" w:color="A6A6A6"/>
              <w:right w:val="single" w:sz="8" w:space="0" w:color="A6A6A6"/>
            </w:tcBorders>
            <w:shd w:val="clear" w:color="000000" w:fill="FFFFFF"/>
            <w:noWrap/>
            <w:vAlign w:val="bottom"/>
            <w:hideMark/>
          </w:tcPr>
          <w:p w14:paraId="1F69100A"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1194068</w:t>
            </w:r>
          </w:p>
        </w:tc>
        <w:tc>
          <w:tcPr>
            <w:tcW w:w="540" w:type="pct"/>
            <w:tcBorders>
              <w:top w:val="nil"/>
              <w:left w:val="nil"/>
              <w:bottom w:val="single" w:sz="8" w:space="0" w:color="A6A6A6"/>
              <w:right w:val="single" w:sz="8" w:space="0" w:color="A6A6A6"/>
            </w:tcBorders>
            <w:shd w:val="clear" w:color="000000" w:fill="FFFFFF"/>
            <w:noWrap/>
            <w:vAlign w:val="bottom"/>
            <w:hideMark/>
          </w:tcPr>
          <w:p w14:paraId="1C9908F5"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1862290</w:t>
            </w:r>
          </w:p>
        </w:tc>
        <w:tc>
          <w:tcPr>
            <w:tcW w:w="540" w:type="pct"/>
            <w:tcBorders>
              <w:top w:val="nil"/>
              <w:left w:val="nil"/>
              <w:bottom w:val="single" w:sz="8" w:space="0" w:color="A6A6A6"/>
              <w:right w:val="single" w:sz="8" w:space="0" w:color="A6A6A6"/>
            </w:tcBorders>
            <w:shd w:val="clear" w:color="000000" w:fill="FFFFFF"/>
            <w:noWrap/>
            <w:vAlign w:val="bottom"/>
            <w:hideMark/>
          </w:tcPr>
          <w:p w14:paraId="35F950C2"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1850040</w:t>
            </w:r>
          </w:p>
        </w:tc>
        <w:tc>
          <w:tcPr>
            <w:tcW w:w="539" w:type="pct"/>
            <w:tcBorders>
              <w:top w:val="nil"/>
              <w:left w:val="nil"/>
              <w:bottom w:val="single" w:sz="8" w:space="0" w:color="A6A6A6"/>
              <w:right w:val="single" w:sz="8" w:space="0" w:color="A6A6A6"/>
            </w:tcBorders>
            <w:shd w:val="clear" w:color="000000" w:fill="FFFFFF"/>
            <w:noWrap/>
            <w:vAlign w:val="bottom"/>
            <w:hideMark/>
          </w:tcPr>
          <w:p w14:paraId="389BED55"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2379678</w:t>
            </w:r>
          </w:p>
        </w:tc>
        <w:tc>
          <w:tcPr>
            <w:tcW w:w="540" w:type="pct"/>
            <w:tcBorders>
              <w:top w:val="nil"/>
              <w:left w:val="nil"/>
              <w:bottom w:val="single" w:sz="8" w:space="0" w:color="A6A6A6"/>
              <w:right w:val="single" w:sz="8" w:space="0" w:color="A6A6A6"/>
            </w:tcBorders>
            <w:shd w:val="clear" w:color="000000" w:fill="FFFFFF"/>
            <w:noWrap/>
            <w:vAlign w:val="bottom"/>
            <w:hideMark/>
          </w:tcPr>
          <w:p w14:paraId="50EC9AF6"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2330199</w:t>
            </w:r>
          </w:p>
        </w:tc>
        <w:tc>
          <w:tcPr>
            <w:tcW w:w="541" w:type="pct"/>
            <w:tcBorders>
              <w:top w:val="nil"/>
              <w:left w:val="nil"/>
              <w:bottom w:val="single" w:sz="8" w:space="0" w:color="A6A6A6"/>
              <w:right w:val="single" w:sz="8" w:space="0" w:color="A6A6A6"/>
            </w:tcBorders>
            <w:shd w:val="clear" w:color="000000" w:fill="FFFFFF"/>
            <w:noWrap/>
            <w:vAlign w:val="bottom"/>
            <w:hideMark/>
          </w:tcPr>
          <w:p w14:paraId="2001BB5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3509298</w:t>
            </w:r>
          </w:p>
        </w:tc>
        <w:tc>
          <w:tcPr>
            <w:tcW w:w="541" w:type="pct"/>
            <w:tcBorders>
              <w:top w:val="nil"/>
              <w:left w:val="nil"/>
              <w:bottom w:val="single" w:sz="8" w:space="0" w:color="A6A6A6"/>
              <w:right w:val="single" w:sz="8" w:space="0" w:color="A6A6A6"/>
            </w:tcBorders>
            <w:shd w:val="clear" w:color="000000" w:fill="FFFFFF"/>
            <w:noWrap/>
            <w:vAlign w:val="bottom"/>
            <w:hideMark/>
          </w:tcPr>
          <w:p w14:paraId="7D7CC8A0"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3342189</w:t>
            </w:r>
          </w:p>
        </w:tc>
        <w:tc>
          <w:tcPr>
            <w:tcW w:w="540" w:type="pct"/>
            <w:tcBorders>
              <w:top w:val="nil"/>
              <w:left w:val="nil"/>
              <w:bottom w:val="single" w:sz="8" w:space="0" w:color="A6A6A6"/>
              <w:right w:val="single" w:sz="8" w:space="0" w:color="A6A6A6"/>
            </w:tcBorders>
            <w:shd w:val="clear" w:color="000000" w:fill="FFFFFF"/>
            <w:noWrap/>
            <w:vAlign w:val="bottom"/>
            <w:hideMark/>
          </w:tcPr>
          <w:p w14:paraId="3729A20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3272790</w:t>
            </w:r>
          </w:p>
        </w:tc>
      </w:tr>
      <w:tr w:rsidR="003A3C8A" w:rsidRPr="00933BAC" w14:paraId="7F8B593A" w14:textId="77777777" w:rsidTr="003E386A">
        <w:trPr>
          <w:trHeight w:val="290"/>
        </w:trPr>
        <w:tc>
          <w:tcPr>
            <w:tcW w:w="694" w:type="pct"/>
            <w:tcBorders>
              <w:top w:val="nil"/>
              <w:left w:val="single" w:sz="8" w:space="0" w:color="A6A6A6"/>
              <w:bottom w:val="single" w:sz="4" w:space="0" w:color="auto"/>
              <w:right w:val="single" w:sz="8" w:space="0" w:color="A6A6A6"/>
            </w:tcBorders>
            <w:shd w:val="clear" w:color="000000" w:fill="FFFFFF"/>
            <w:vAlign w:val="bottom"/>
            <w:hideMark/>
          </w:tcPr>
          <w:p w14:paraId="69F23D22"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Северен централен район</w:t>
            </w:r>
          </w:p>
        </w:tc>
        <w:tc>
          <w:tcPr>
            <w:tcW w:w="526" w:type="pct"/>
            <w:tcBorders>
              <w:top w:val="nil"/>
              <w:left w:val="nil"/>
              <w:bottom w:val="single" w:sz="4" w:space="0" w:color="auto"/>
              <w:right w:val="single" w:sz="8" w:space="0" w:color="A6A6A6"/>
            </w:tcBorders>
            <w:shd w:val="clear" w:color="000000" w:fill="FFFFFF"/>
            <w:noWrap/>
            <w:vAlign w:val="bottom"/>
            <w:hideMark/>
          </w:tcPr>
          <w:p w14:paraId="0D20305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3698393</w:t>
            </w:r>
          </w:p>
        </w:tc>
        <w:tc>
          <w:tcPr>
            <w:tcW w:w="540" w:type="pct"/>
            <w:tcBorders>
              <w:top w:val="nil"/>
              <w:left w:val="nil"/>
              <w:bottom w:val="single" w:sz="4" w:space="0" w:color="auto"/>
              <w:right w:val="single" w:sz="8" w:space="0" w:color="A6A6A6"/>
            </w:tcBorders>
            <w:shd w:val="clear" w:color="000000" w:fill="FFFFFF"/>
            <w:noWrap/>
            <w:vAlign w:val="bottom"/>
            <w:hideMark/>
          </w:tcPr>
          <w:p w14:paraId="26EA9401"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3402370</w:t>
            </w:r>
          </w:p>
        </w:tc>
        <w:tc>
          <w:tcPr>
            <w:tcW w:w="540" w:type="pct"/>
            <w:tcBorders>
              <w:top w:val="nil"/>
              <w:left w:val="nil"/>
              <w:bottom w:val="single" w:sz="4" w:space="0" w:color="auto"/>
              <w:right w:val="single" w:sz="8" w:space="0" w:color="A6A6A6"/>
            </w:tcBorders>
            <w:shd w:val="clear" w:color="000000" w:fill="FFFFFF"/>
            <w:noWrap/>
            <w:vAlign w:val="bottom"/>
            <w:hideMark/>
          </w:tcPr>
          <w:p w14:paraId="103CB884"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3538676</w:t>
            </w:r>
          </w:p>
        </w:tc>
        <w:tc>
          <w:tcPr>
            <w:tcW w:w="539" w:type="pct"/>
            <w:tcBorders>
              <w:top w:val="nil"/>
              <w:left w:val="nil"/>
              <w:bottom w:val="single" w:sz="4" w:space="0" w:color="auto"/>
              <w:right w:val="single" w:sz="8" w:space="0" w:color="A6A6A6"/>
            </w:tcBorders>
            <w:shd w:val="clear" w:color="000000" w:fill="FFFFFF"/>
            <w:noWrap/>
            <w:vAlign w:val="bottom"/>
            <w:hideMark/>
          </w:tcPr>
          <w:p w14:paraId="047F64BE"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3138512</w:t>
            </w:r>
          </w:p>
        </w:tc>
        <w:tc>
          <w:tcPr>
            <w:tcW w:w="540" w:type="pct"/>
            <w:tcBorders>
              <w:top w:val="nil"/>
              <w:left w:val="nil"/>
              <w:bottom w:val="single" w:sz="4" w:space="0" w:color="auto"/>
              <w:right w:val="single" w:sz="8" w:space="0" w:color="A6A6A6"/>
            </w:tcBorders>
            <w:shd w:val="clear" w:color="000000" w:fill="FFFFFF"/>
            <w:noWrap/>
            <w:vAlign w:val="bottom"/>
            <w:hideMark/>
          </w:tcPr>
          <w:p w14:paraId="264876C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2882116</w:t>
            </w:r>
          </w:p>
        </w:tc>
        <w:tc>
          <w:tcPr>
            <w:tcW w:w="541" w:type="pct"/>
            <w:tcBorders>
              <w:top w:val="nil"/>
              <w:left w:val="nil"/>
              <w:bottom w:val="single" w:sz="4" w:space="0" w:color="auto"/>
              <w:right w:val="single" w:sz="8" w:space="0" w:color="A6A6A6"/>
            </w:tcBorders>
            <w:shd w:val="clear" w:color="000000" w:fill="FFFFFF"/>
            <w:noWrap/>
            <w:vAlign w:val="bottom"/>
            <w:hideMark/>
          </w:tcPr>
          <w:p w14:paraId="4500D0FC"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2029156</w:t>
            </w:r>
          </w:p>
        </w:tc>
        <w:tc>
          <w:tcPr>
            <w:tcW w:w="541" w:type="pct"/>
            <w:tcBorders>
              <w:top w:val="nil"/>
              <w:left w:val="nil"/>
              <w:bottom w:val="single" w:sz="4" w:space="0" w:color="auto"/>
              <w:right w:val="single" w:sz="8" w:space="0" w:color="A6A6A6"/>
            </w:tcBorders>
            <w:shd w:val="clear" w:color="000000" w:fill="FFFFFF"/>
            <w:noWrap/>
            <w:vAlign w:val="bottom"/>
            <w:hideMark/>
          </w:tcPr>
          <w:p w14:paraId="4B5E2B96"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2055614</w:t>
            </w:r>
          </w:p>
        </w:tc>
        <w:tc>
          <w:tcPr>
            <w:tcW w:w="540" w:type="pct"/>
            <w:tcBorders>
              <w:top w:val="nil"/>
              <w:left w:val="nil"/>
              <w:bottom w:val="single" w:sz="4" w:space="0" w:color="auto"/>
              <w:right w:val="single" w:sz="8" w:space="0" w:color="A6A6A6"/>
            </w:tcBorders>
            <w:shd w:val="clear" w:color="000000" w:fill="FFFFFF"/>
            <w:noWrap/>
            <w:vAlign w:val="bottom"/>
            <w:hideMark/>
          </w:tcPr>
          <w:p w14:paraId="76BB03BD"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2311029</w:t>
            </w:r>
          </w:p>
        </w:tc>
      </w:tr>
      <w:tr w:rsidR="003A3C8A" w:rsidRPr="00933BAC" w14:paraId="653F1AAA" w14:textId="77777777" w:rsidTr="003E386A">
        <w:trPr>
          <w:trHeight w:val="300"/>
        </w:trPr>
        <w:tc>
          <w:tcPr>
            <w:tcW w:w="694"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1FEAF1BF"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Североизточен район</w:t>
            </w:r>
          </w:p>
        </w:tc>
        <w:tc>
          <w:tcPr>
            <w:tcW w:w="52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8E09D"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1295964</w:t>
            </w:r>
          </w:p>
        </w:tc>
        <w:tc>
          <w:tcPr>
            <w:tcW w:w="54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DDB1A9"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1150095</w:t>
            </w:r>
          </w:p>
        </w:tc>
        <w:tc>
          <w:tcPr>
            <w:tcW w:w="54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59D4C"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1046849</w:t>
            </w:r>
          </w:p>
        </w:tc>
        <w:tc>
          <w:tcPr>
            <w:tcW w:w="53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06505"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982463</w:t>
            </w:r>
          </w:p>
        </w:tc>
        <w:tc>
          <w:tcPr>
            <w:tcW w:w="54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046C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882132</w:t>
            </w:r>
          </w:p>
        </w:tc>
        <w:tc>
          <w:tcPr>
            <w:tcW w:w="541"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B7676E"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1114967</w:t>
            </w:r>
          </w:p>
        </w:tc>
        <w:tc>
          <w:tcPr>
            <w:tcW w:w="541"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7B07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1416132</w:t>
            </w:r>
          </w:p>
        </w:tc>
        <w:tc>
          <w:tcPr>
            <w:tcW w:w="54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9A65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966808</w:t>
            </w:r>
          </w:p>
        </w:tc>
      </w:tr>
      <w:tr w:rsidR="003A3C8A" w:rsidRPr="00933BAC" w14:paraId="3975D0EE" w14:textId="77777777" w:rsidTr="003E386A">
        <w:trPr>
          <w:trHeight w:val="290"/>
        </w:trPr>
        <w:tc>
          <w:tcPr>
            <w:tcW w:w="694" w:type="pct"/>
            <w:tcBorders>
              <w:top w:val="single" w:sz="4" w:space="0" w:color="auto"/>
              <w:left w:val="single" w:sz="8" w:space="0" w:color="A6A6A6"/>
              <w:bottom w:val="single" w:sz="8" w:space="0" w:color="A6A6A6"/>
              <w:right w:val="single" w:sz="8" w:space="0" w:color="A6A6A6"/>
            </w:tcBorders>
            <w:shd w:val="clear" w:color="000000" w:fill="FFFFFF"/>
            <w:vAlign w:val="bottom"/>
            <w:hideMark/>
          </w:tcPr>
          <w:p w14:paraId="40EEDB67"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Югоизточен район</w:t>
            </w:r>
          </w:p>
        </w:tc>
        <w:tc>
          <w:tcPr>
            <w:tcW w:w="526" w:type="pct"/>
            <w:tcBorders>
              <w:top w:val="single" w:sz="4" w:space="0" w:color="auto"/>
              <w:left w:val="nil"/>
              <w:bottom w:val="single" w:sz="8" w:space="0" w:color="A6A6A6"/>
              <w:right w:val="single" w:sz="8" w:space="0" w:color="A6A6A6"/>
            </w:tcBorders>
            <w:shd w:val="clear" w:color="000000" w:fill="FFFFFF"/>
            <w:noWrap/>
            <w:vAlign w:val="bottom"/>
            <w:hideMark/>
          </w:tcPr>
          <w:p w14:paraId="2663CA9F"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1883212</w:t>
            </w:r>
          </w:p>
        </w:tc>
        <w:tc>
          <w:tcPr>
            <w:tcW w:w="540" w:type="pct"/>
            <w:tcBorders>
              <w:top w:val="single" w:sz="4" w:space="0" w:color="auto"/>
              <w:left w:val="nil"/>
              <w:bottom w:val="single" w:sz="8" w:space="0" w:color="A6A6A6"/>
              <w:right w:val="single" w:sz="8" w:space="0" w:color="A6A6A6"/>
            </w:tcBorders>
            <w:shd w:val="clear" w:color="000000" w:fill="FFFFFF"/>
            <w:noWrap/>
            <w:vAlign w:val="bottom"/>
            <w:hideMark/>
          </w:tcPr>
          <w:p w14:paraId="5D61052F"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985916</w:t>
            </w:r>
          </w:p>
        </w:tc>
        <w:tc>
          <w:tcPr>
            <w:tcW w:w="540" w:type="pct"/>
            <w:tcBorders>
              <w:top w:val="single" w:sz="4" w:space="0" w:color="auto"/>
              <w:left w:val="nil"/>
              <w:bottom w:val="single" w:sz="8" w:space="0" w:color="A6A6A6"/>
              <w:right w:val="single" w:sz="8" w:space="0" w:color="A6A6A6"/>
            </w:tcBorders>
            <w:shd w:val="clear" w:color="000000" w:fill="FFFFFF"/>
            <w:noWrap/>
            <w:vAlign w:val="bottom"/>
            <w:hideMark/>
          </w:tcPr>
          <w:p w14:paraId="6E10CA9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1154584</w:t>
            </w:r>
          </w:p>
        </w:tc>
        <w:tc>
          <w:tcPr>
            <w:tcW w:w="539" w:type="pct"/>
            <w:tcBorders>
              <w:top w:val="single" w:sz="4" w:space="0" w:color="auto"/>
              <w:left w:val="nil"/>
              <w:bottom w:val="single" w:sz="8" w:space="0" w:color="A6A6A6"/>
              <w:right w:val="single" w:sz="8" w:space="0" w:color="A6A6A6"/>
            </w:tcBorders>
            <w:shd w:val="clear" w:color="000000" w:fill="FFFFFF"/>
            <w:noWrap/>
            <w:vAlign w:val="bottom"/>
            <w:hideMark/>
          </w:tcPr>
          <w:p w14:paraId="1538FFFD"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978609</w:t>
            </w:r>
          </w:p>
        </w:tc>
        <w:tc>
          <w:tcPr>
            <w:tcW w:w="540" w:type="pct"/>
            <w:tcBorders>
              <w:top w:val="single" w:sz="4" w:space="0" w:color="auto"/>
              <w:left w:val="nil"/>
              <w:bottom w:val="single" w:sz="8" w:space="0" w:color="A6A6A6"/>
              <w:right w:val="single" w:sz="8" w:space="0" w:color="A6A6A6"/>
            </w:tcBorders>
            <w:shd w:val="clear" w:color="000000" w:fill="FFFFFF"/>
            <w:noWrap/>
            <w:vAlign w:val="bottom"/>
            <w:hideMark/>
          </w:tcPr>
          <w:p w14:paraId="46C14D9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1205934</w:t>
            </w:r>
          </w:p>
        </w:tc>
        <w:tc>
          <w:tcPr>
            <w:tcW w:w="541" w:type="pct"/>
            <w:tcBorders>
              <w:top w:val="single" w:sz="4" w:space="0" w:color="auto"/>
              <w:left w:val="nil"/>
              <w:bottom w:val="single" w:sz="8" w:space="0" w:color="A6A6A6"/>
              <w:right w:val="single" w:sz="8" w:space="0" w:color="A6A6A6"/>
            </w:tcBorders>
            <w:shd w:val="clear" w:color="000000" w:fill="FFFFFF"/>
            <w:noWrap/>
            <w:vAlign w:val="bottom"/>
            <w:hideMark/>
          </w:tcPr>
          <w:p w14:paraId="00C9D0E1"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429334</w:t>
            </w:r>
          </w:p>
        </w:tc>
        <w:tc>
          <w:tcPr>
            <w:tcW w:w="541" w:type="pct"/>
            <w:tcBorders>
              <w:top w:val="single" w:sz="4" w:space="0" w:color="auto"/>
              <w:left w:val="nil"/>
              <w:bottom w:val="single" w:sz="8" w:space="0" w:color="A6A6A6"/>
              <w:right w:val="single" w:sz="8" w:space="0" w:color="A6A6A6"/>
            </w:tcBorders>
            <w:shd w:val="clear" w:color="000000" w:fill="FFFFFF"/>
            <w:noWrap/>
            <w:vAlign w:val="bottom"/>
            <w:hideMark/>
          </w:tcPr>
          <w:p w14:paraId="595EFE5C"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1856225</w:t>
            </w:r>
          </w:p>
        </w:tc>
        <w:tc>
          <w:tcPr>
            <w:tcW w:w="540" w:type="pct"/>
            <w:tcBorders>
              <w:top w:val="single" w:sz="4" w:space="0" w:color="auto"/>
              <w:left w:val="nil"/>
              <w:bottom w:val="single" w:sz="8" w:space="0" w:color="A6A6A6"/>
              <w:right w:val="single" w:sz="8" w:space="0" w:color="A6A6A6"/>
            </w:tcBorders>
            <w:shd w:val="clear" w:color="000000" w:fill="FFFFFF"/>
            <w:noWrap/>
            <w:vAlign w:val="bottom"/>
            <w:hideMark/>
          </w:tcPr>
          <w:p w14:paraId="2C50F939"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1471227</w:t>
            </w:r>
          </w:p>
        </w:tc>
      </w:tr>
      <w:tr w:rsidR="003A3C8A" w:rsidRPr="00933BAC" w14:paraId="7FBF676B" w14:textId="77777777" w:rsidTr="003E386A">
        <w:trPr>
          <w:trHeight w:val="290"/>
        </w:trPr>
        <w:tc>
          <w:tcPr>
            <w:tcW w:w="694" w:type="pct"/>
            <w:tcBorders>
              <w:top w:val="nil"/>
              <w:left w:val="single" w:sz="8" w:space="0" w:color="A6A6A6"/>
              <w:bottom w:val="single" w:sz="8" w:space="0" w:color="A6A6A6"/>
              <w:right w:val="single" w:sz="8" w:space="0" w:color="A6A6A6"/>
            </w:tcBorders>
            <w:shd w:val="clear" w:color="000000" w:fill="FFFFFF"/>
            <w:vAlign w:val="bottom"/>
            <w:hideMark/>
          </w:tcPr>
          <w:p w14:paraId="77DD1067"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lastRenderedPageBreak/>
              <w:t>Югозападен район</w:t>
            </w:r>
          </w:p>
        </w:tc>
        <w:tc>
          <w:tcPr>
            <w:tcW w:w="526" w:type="pct"/>
            <w:tcBorders>
              <w:top w:val="nil"/>
              <w:left w:val="nil"/>
              <w:bottom w:val="single" w:sz="8" w:space="0" w:color="A6A6A6"/>
              <w:right w:val="single" w:sz="8" w:space="0" w:color="A6A6A6"/>
            </w:tcBorders>
            <w:shd w:val="clear" w:color="000000" w:fill="FFFFFF"/>
            <w:noWrap/>
            <w:vAlign w:val="bottom"/>
            <w:hideMark/>
          </w:tcPr>
          <w:p w14:paraId="76CB265E"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3256851</w:t>
            </w:r>
          </w:p>
        </w:tc>
        <w:tc>
          <w:tcPr>
            <w:tcW w:w="540" w:type="pct"/>
            <w:tcBorders>
              <w:top w:val="nil"/>
              <w:left w:val="nil"/>
              <w:bottom w:val="single" w:sz="8" w:space="0" w:color="A6A6A6"/>
              <w:right w:val="single" w:sz="8" w:space="0" w:color="A6A6A6"/>
            </w:tcBorders>
            <w:shd w:val="clear" w:color="000000" w:fill="FFFFFF"/>
            <w:noWrap/>
            <w:vAlign w:val="bottom"/>
            <w:hideMark/>
          </w:tcPr>
          <w:p w14:paraId="6A8BD42A"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2053398</w:t>
            </w:r>
          </w:p>
        </w:tc>
        <w:tc>
          <w:tcPr>
            <w:tcW w:w="540" w:type="pct"/>
            <w:tcBorders>
              <w:top w:val="nil"/>
              <w:left w:val="nil"/>
              <w:bottom w:val="single" w:sz="8" w:space="0" w:color="A6A6A6"/>
              <w:right w:val="single" w:sz="8" w:space="0" w:color="A6A6A6"/>
            </w:tcBorders>
            <w:shd w:val="clear" w:color="000000" w:fill="FFFFFF"/>
            <w:noWrap/>
            <w:vAlign w:val="bottom"/>
            <w:hideMark/>
          </w:tcPr>
          <w:p w14:paraId="11573E61"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5437863</w:t>
            </w:r>
          </w:p>
        </w:tc>
        <w:tc>
          <w:tcPr>
            <w:tcW w:w="539" w:type="pct"/>
            <w:tcBorders>
              <w:top w:val="nil"/>
              <w:left w:val="nil"/>
              <w:bottom w:val="single" w:sz="8" w:space="0" w:color="A6A6A6"/>
              <w:right w:val="single" w:sz="8" w:space="0" w:color="A6A6A6"/>
            </w:tcBorders>
            <w:shd w:val="clear" w:color="000000" w:fill="FFFFFF"/>
            <w:noWrap/>
            <w:vAlign w:val="bottom"/>
            <w:hideMark/>
          </w:tcPr>
          <w:p w14:paraId="5B00D106"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6631148</w:t>
            </w:r>
          </w:p>
        </w:tc>
        <w:tc>
          <w:tcPr>
            <w:tcW w:w="540" w:type="pct"/>
            <w:tcBorders>
              <w:top w:val="nil"/>
              <w:left w:val="nil"/>
              <w:bottom w:val="single" w:sz="8" w:space="0" w:color="A6A6A6"/>
              <w:right w:val="single" w:sz="8" w:space="0" w:color="A6A6A6"/>
            </w:tcBorders>
            <w:shd w:val="clear" w:color="000000" w:fill="FFFFFF"/>
            <w:noWrap/>
            <w:vAlign w:val="bottom"/>
            <w:hideMark/>
          </w:tcPr>
          <w:p w14:paraId="495FBF7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5018371</w:t>
            </w:r>
          </w:p>
        </w:tc>
        <w:tc>
          <w:tcPr>
            <w:tcW w:w="541" w:type="pct"/>
            <w:tcBorders>
              <w:top w:val="nil"/>
              <w:left w:val="nil"/>
              <w:bottom w:val="single" w:sz="8" w:space="0" w:color="A6A6A6"/>
              <w:right w:val="single" w:sz="8" w:space="0" w:color="A6A6A6"/>
            </w:tcBorders>
            <w:shd w:val="clear" w:color="000000" w:fill="FFFFFF"/>
            <w:noWrap/>
            <w:vAlign w:val="bottom"/>
            <w:hideMark/>
          </w:tcPr>
          <w:p w14:paraId="79408AAC"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4396914</w:t>
            </w:r>
          </w:p>
        </w:tc>
        <w:tc>
          <w:tcPr>
            <w:tcW w:w="541" w:type="pct"/>
            <w:tcBorders>
              <w:top w:val="nil"/>
              <w:left w:val="nil"/>
              <w:bottom w:val="single" w:sz="8" w:space="0" w:color="A6A6A6"/>
              <w:right w:val="single" w:sz="8" w:space="0" w:color="A6A6A6"/>
            </w:tcBorders>
            <w:shd w:val="clear" w:color="000000" w:fill="FFFFFF"/>
            <w:noWrap/>
            <w:vAlign w:val="bottom"/>
            <w:hideMark/>
          </w:tcPr>
          <w:p w14:paraId="3C14D7E7"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5888066</w:t>
            </w:r>
          </w:p>
        </w:tc>
        <w:tc>
          <w:tcPr>
            <w:tcW w:w="540" w:type="pct"/>
            <w:tcBorders>
              <w:top w:val="nil"/>
              <w:left w:val="nil"/>
              <w:bottom w:val="single" w:sz="8" w:space="0" w:color="A6A6A6"/>
              <w:right w:val="single" w:sz="8" w:space="0" w:color="A6A6A6"/>
            </w:tcBorders>
            <w:shd w:val="clear" w:color="000000" w:fill="FFFFFF"/>
            <w:noWrap/>
            <w:vAlign w:val="bottom"/>
            <w:hideMark/>
          </w:tcPr>
          <w:p w14:paraId="06AB96A8"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5489027</w:t>
            </w:r>
          </w:p>
        </w:tc>
      </w:tr>
      <w:tr w:rsidR="003A3C8A" w:rsidRPr="00933BAC" w14:paraId="4EC26331" w14:textId="77777777" w:rsidTr="003E386A">
        <w:trPr>
          <w:trHeight w:val="290"/>
        </w:trPr>
        <w:tc>
          <w:tcPr>
            <w:tcW w:w="694" w:type="pct"/>
            <w:tcBorders>
              <w:top w:val="nil"/>
              <w:left w:val="single" w:sz="8" w:space="0" w:color="A6A6A6"/>
              <w:bottom w:val="single" w:sz="8" w:space="0" w:color="A6A6A6"/>
              <w:right w:val="single" w:sz="8" w:space="0" w:color="A6A6A6"/>
            </w:tcBorders>
            <w:shd w:val="clear" w:color="000000" w:fill="FFFFFF"/>
            <w:vAlign w:val="bottom"/>
            <w:hideMark/>
          </w:tcPr>
          <w:p w14:paraId="6CEF8382" w14:textId="77777777" w:rsidR="003A3C8A" w:rsidRPr="00536E7C" w:rsidRDefault="003A3C8A" w:rsidP="00D27783">
            <w:pPr>
              <w:spacing w:after="0" w:line="240" w:lineRule="auto"/>
              <w:rPr>
                <w:rFonts w:ascii="Times New Roman" w:eastAsia="Times New Roman" w:hAnsi="Times New Roman" w:cs="Times New Roman"/>
                <w:color w:val="000000"/>
                <w:sz w:val="20"/>
                <w:szCs w:val="20"/>
                <w:lang w:val="bg-BG"/>
              </w:rPr>
            </w:pPr>
            <w:r w:rsidRPr="00536E7C">
              <w:rPr>
                <w:rFonts w:ascii="Times New Roman" w:eastAsia="Times New Roman" w:hAnsi="Times New Roman" w:cs="Times New Roman"/>
                <w:color w:val="000000"/>
                <w:sz w:val="20"/>
                <w:szCs w:val="20"/>
                <w:lang w:val="bg-BG"/>
              </w:rPr>
              <w:t>Южен централен район</w:t>
            </w:r>
          </w:p>
        </w:tc>
        <w:tc>
          <w:tcPr>
            <w:tcW w:w="526" w:type="pct"/>
            <w:tcBorders>
              <w:top w:val="nil"/>
              <w:left w:val="nil"/>
              <w:bottom w:val="single" w:sz="8" w:space="0" w:color="A6A6A6"/>
              <w:right w:val="single" w:sz="8" w:space="0" w:color="A6A6A6"/>
            </w:tcBorders>
            <w:shd w:val="clear" w:color="000000" w:fill="FFFFFF"/>
            <w:noWrap/>
            <w:vAlign w:val="bottom"/>
            <w:hideMark/>
          </w:tcPr>
          <w:p w14:paraId="3B94F402"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2289745</w:t>
            </w:r>
          </w:p>
        </w:tc>
        <w:tc>
          <w:tcPr>
            <w:tcW w:w="540" w:type="pct"/>
            <w:tcBorders>
              <w:top w:val="nil"/>
              <w:left w:val="nil"/>
              <w:bottom w:val="single" w:sz="8" w:space="0" w:color="A6A6A6"/>
              <w:right w:val="single" w:sz="8" w:space="0" w:color="A6A6A6"/>
            </w:tcBorders>
            <w:shd w:val="clear" w:color="000000" w:fill="FFFFFF"/>
            <w:noWrap/>
            <w:vAlign w:val="bottom"/>
            <w:hideMark/>
          </w:tcPr>
          <w:p w14:paraId="5C61CC36"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1937049</w:t>
            </w:r>
          </w:p>
        </w:tc>
        <w:tc>
          <w:tcPr>
            <w:tcW w:w="540" w:type="pct"/>
            <w:tcBorders>
              <w:top w:val="nil"/>
              <w:left w:val="nil"/>
              <w:bottom w:val="single" w:sz="8" w:space="0" w:color="A6A6A6"/>
              <w:right w:val="single" w:sz="8" w:space="0" w:color="A6A6A6"/>
            </w:tcBorders>
            <w:shd w:val="clear" w:color="000000" w:fill="FFFFFF"/>
            <w:noWrap/>
            <w:vAlign w:val="bottom"/>
            <w:hideMark/>
          </w:tcPr>
          <w:p w14:paraId="2EE42B81"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2050565</w:t>
            </w:r>
          </w:p>
        </w:tc>
        <w:tc>
          <w:tcPr>
            <w:tcW w:w="539" w:type="pct"/>
            <w:tcBorders>
              <w:top w:val="nil"/>
              <w:left w:val="nil"/>
              <w:bottom w:val="single" w:sz="8" w:space="0" w:color="A6A6A6"/>
              <w:right w:val="single" w:sz="8" w:space="0" w:color="A6A6A6"/>
            </w:tcBorders>
            <w:shd w:val="clear" w:color="000000" w:fill="FFFFFF"/>
            <w:noWrap/>
            <w:vAlign w:val="bottom"/>
            <w:hideMark/>
          </w:tcPr>
          <w:p w14:paraId="0265BF52"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2170866</w:t>
            </w:r>
          </w:p>
        </w:tc>
        <w:tc>
          <w:tcPr>
            <w:tcW w:w="540" w:type="pct"/>
            <w:tcBorders>
              <w:top w:val="nil"/>
              <w:left w:val="nil"/>
              <w:bottom w:val="single" w:sz="8" w:space="0" w:color="A6A6A6"/>
              <w:right w:val="single" w:sz="8" w:space="0" w:color="A6A6A6"/>
            </w:tcBorders>
            <w:shd w:val="clear" w:color="000000" w:fill="FFFFFF"/>
            <w:noWrap/>
            <w:vAlign w:val="bottom"/>
            <w:hideMark/>
          </w:tcPr>
          <w:p w14:paraId="14695CE5"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2238047</w:t>
            </w:r>
          </w:p>
        </w:tc>
        <w:tc>
          <w:tcPr>
            <w:tcW w:w="541" w:type="pct"/>
            <w:tcBorders>
              <w:top w:val="nil"/>
              <w:left w:val="nil"/>
              <w:bottom w:val="single" w:sz="8" w:space="0" w:color="A6A6A6"/>
              <w:right w:val="single" w:sz="8" w:space="0" w:color="A6A6A6"/>
            </w:tcBorders>
            <w:shd w:val="clear" w:color="000000" w:fill="FFFFFF"/>
            <w:noWrap/>
            <w:vAlign w:val="bottom"/>
            <w:hideMark/>
          </w:tcPr>
          <w:p w14:paraId="291D8833"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1747278</w:t>
            </w:r>
          </w:p>
        </w:tc>
        <w:tc>
          <w:tcPr>
            <w:tcW w:w="541" w:type="pct"/>
            <w:tcBorders>
              <w:top w:val="nil"/>
              <w:left w:val="nil"/>
              <w:bottom w:val="single" w:sz="8" w:space="0" w:color="A6A6A6"/>
              <w:right w:val="single" w:sz="8" w:space="0" w:color="A6A6A6"/>
            </w:tcBorders>
            <w:shd w:val="clear" w:color="000000" w:fill="FFFFFF"/>
            <w:noWrap/>
            <w:vAlign w:val="bottom"/>
            <w:hideMark/>
          </w:tcPr>
          <w:p w14:paraId="6CFED02F"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1753739</w:t>
            </w:r>
          </w:p>
        </w:tc>
        <w:tc>
          <w:tcPr>
            <w:tcW w:w="540" w:type="pct"/>
            <w:tcBorders>
              <w:top w:val="nil"/>
              <w:left w:val="nil"/>
              <w:bottom w:val="single" w:sz="8" w:space="0" w:color="A6A6A6"/>
              <w:right w:val="single" w:sz="8" w:space="0" w:color="A6A6A6"/>
            </w:tcBorders>
            <w:shd w:val="clear" w:color="000000" w:fill="FFFFFF"/>
            <w:noWrap/>
            <w:vAlign w:val="bottom"/>
            <w:hideMark/>
          </w:tcPr>
          <w:p w14:paraId="06859C1B" w14:textId="77777777" w:rsidR="003A3C8A" w:rsidRPr="00536E7C" w:rsidRDefault="003A3C8A" w:rsidP="00D27783">
            <w:pPr>
              <w:spacing w:after="0" w:line="240" w:lineRule="auto"/>
              <w:jc w:val="right"/>
              <w:rPr>
                <w:rFonts w:ascii="Times New Roman" w:eastAsia="Times New Roman" w:hAnsi="Times New Roman" w:cs="Times New Roman"/>
                <w:b/>
                <w:bCs/>
                <w:sz w:val="20"/>
                <w:szCs w:val="20"/>
                <w:lang w:val="bg-BG"/>
              </w:rPr>
            </w:pPr>
            <w:r w:rsidRPr="00536E7C">
              <w:rPr>
                <w:rFonts w:ascii="Times New Roman" w:eastAsia="Times New Roman" w:hAnsi="Times New Roman" w:cs="Times New Roman"/>
                <w:b/>
                <w:bCs/>
                <w:sz w:val="20"/>
                <w:szCs w:val="20"/>
                <w:lang w:val="bg-BG"/>
              </w:rPr>
              <w:t>2918333</w:t>
            </w:r>
          </w:p>
        </w:tc>
      </w:tr>
    </w:tbl>
    <w:p w14:paraId="12642F29" w14:textId="77777777" w:rsidR="003E386A" w:rsidRPr="002A5B6B" w:rsidRDefault="003E386A" w:rsidP="003E386A">
      <w:pPr>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28720200" w14:textId="77777777" w:rsidR="00D27783" w:rsidRPr="00655BDE" w:rsidRDefault="00D27783" w:rsidP="00655BDE">
      <w:pPr>
        <w:spacing w:before="120" w:after="120" w:line="264" w:lineRule="auto"/>
        <w:jc w:val="both"/>
        <w:rPr>
          <w:rFonts w:ascii="Times New Roman" w:hAnsi="Times New Roman" w:cs="Times New Roman"/>
          <w:lang w:val="bg-BG"/>
        </w:rPr>
      </w:pPr>
      <w:r w:rsidRPr="00655BDE">
        <w:rPr>
          <w:rFonts w:ascii="Times New Roman" w:eastAsia="Times New Roman" w:hAnsi="Times New Roman" w:cs="Times New Roman"/>
          <w:lang w:val="bg-BG"/>
        </w:rPr>
        <w:t xml:space="preserve">Съгласно чл. 21 от Закона за управление на отпадъците, задълженията по </w:t>
      </w:r>
      <w:r w:rsidRPr="00655BDE">
        <w:rPr>
          <w:rFonts w:ascii="Times New Roman" w:hAnsi="Times New Roman" w:cs="Times New Roman"/>
          <w:lang w:val="bg-BG"/>
        </w:rPr>
        <w:t xml:space="preserve">възлагане и извършване на прединвестиционни проучвания за изграждане на нови съоръжения за третиране на битовите отпадъци най-малко три години преди изчерпване обема на депото за битови отпадъци или изтичането на експлоатационния срок на инсталацията са на общините. </w:t>
      </w:r>
      <w:bookmarkStart w:id="31" w:name="_Hlk72785329"/>
      <w:r w:rsidRPr="00655BDE">
        <w:rPr>
          <w:rFonts w:ascii="Times New Roman" w:hAnsi="Times New Roman" w:cs="Times New Roman"/>
          <w:lang w:val="bg-BG"/>
        </w:rPr>
        <w:t xml:space="preserve">Високият процент на депонирани отпадъци, бързото изчерпване на съоръженията, недостатъчният капацитет за управление и финансиране на дейностите за управление на отпадъците на ниво регионална система, водят до забавяне и ненавременни действия по изграждане на нови съоръжения. </w:t>
      </w:r>
      <w:bookmarkEnd w:id="31"/>
      <w:r w:rsidRPr="00655BDE">
        <w:rPr>
          <w:rFonts w:ascii="Times New Roman" w:hAnsi="Times New Roman" w:cs="Times New Roman"/>
          <w:lang w:val="bg-BG"/>
        </w:rPr>
        <w:t>Националният план за управление на отпадъците 2021 – 2028 г. (в проект) определя индикативен списък от 26 регионални сдружения и 128 общини, за нуждите на които е необходимо изграждането на депа за битови отпадъци, допълнителни клетки и довеждаща инфраструктура за периода 2021 – 2024 г.</w:t>
      </w:r>
      <w:r w:rsidRPr="00655BDE">
        <w:rPr>
          <w:rStyle w:val="FootnoteReference"/>
          <w:rFonts w:ascii="Times New Roman" w:hAnsi="Times New Roman" w:cs="Times New Roman"/>
          <w:lang w:val="bg-BG"/>
        </w:rPr>
        <w:footnoteReference w:id="10"/>
      </w:r>
    </w:p>
    <w:p w14:paraId="38C38621" w14:textId="77777777" w:rsidR="00D27783" w:rsidRPr="00655BDE" w:rsidRDefault="00D27783"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С финансови средства от общински бюджет, инструмента за отчисленията по чл. 60 от ЗУО и допълнително финансиране по Оперативна програма „Околна среда 2014 – 2020 г.“ и ПУДООС през периода 2019 - 2020 година се извършват приоритетно дейности по закриване и рекултивация на излезли от експлоатация общински депа за битови отпадъци. Предвидените средства в Националния план за управление на отпадъците 2021 – 2028 г. са 100 милиона лв. със срок на изпълнение 2022 г.</w:t>
      </w:r>
    </w:p>
    <w:p w14:paraId="3FFD6872" w14:textId="77777777" w:rsidR="00D27783" w:rsidRPr="00F834BF" w:rsidRDefault="00F834BF" w:rsidP="00F834BF">
      <w:pPr>
        <w:pStyle w:val="Caption"/>
        <w:rPr>
          <w:rFonts w:ascii="Times New Roman" w:hAnsi="Times New Roman" w:cs="Times New Roman"/>
          <w:b w:val="0"/>
          <w:bCs w:val="0"/>
          <w:i/>
          <w:iCs/>
          <w:color w:val="auto"/>
          <w:sz w:val="22"/>
          <w:szCs w:val="22"/>
          <w:lang w:val="bg-BG"/>
        </w:rPr>
      </w:pPr>
      <w:bookmarkStart w:id="32" w:name="_Toc72919666"/>
      <w:r w:rsidRPr="00F834BF">
        <w:rPr>
          <w:rFonts w:ascii="Times New Roman" w:hAnsi="Times New Roman" w:cs="Times New Roman"/>
          <w:b w:val="0"/>
          <w:bCs w:val="0"/>
          <w:i/>
          <w:iCs/>
          <w:color w:val="auto"/>
          <w:sz w:val="22"/>
          <w:szCs w:val="22"/>
          <w:lang w:val="bg-BG"/>
        </w:rPr>
        <w:t xml:space="preserve">Таблица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Таблица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7</w:t>
      </w:r>
      <w:r w:rsidRPr="00F834BF">
        <w:rPr>
          <w:rFonts w:ascii="Times New Roman" w:hAnsi="Times New Roman" w:cs="Times New Roman"/>
          <w:b w:val="0"/>
          <w:bCs w:val="0"/>
          <w:i/>
          <w:iCs/>
          <w:color w:val="auto"/>
          <w:sz w:val="22"/>
          <w:szCs w:val="22"/>
          <w:lang w:val="bg-BG"/>
        </w:rPr>
        <w:fldChar w:fldCharType="end"/>
      </w:r>
      <w:r w:rsidRPr="00F834BF">
        <w:rPr>
          <w:rFonts w:ascii="Times New Roman" w:hAnsi="Times New Roman" w:cs="Times New Roman"/>
          <w:b w:val="0"/>
          <w:bCs w:val="0"/>
          <w:i/>
          <w:iCs/>
          <w:color w:val="auto"/>
          <w:sz w:val="22"/>
          <w:szCs w:val="22"/>
          <w:lang w:val="bg-BG"/>
        </w:rPr>
        <w:t xml:space="preserve"> </w:t>
      </w:r>
      <w:r w:rsidR="00D27783" w:rsidRPr="00F834BF">
        <w:rPr>
          <w:rFonts w:ascii="Times New Roman" w:hAnsi="Times New Roman" w:cs="Times New Roman"/>
          <w:b w:val="0"/>
          <w:bCs w:val="0"/>
          <w:i/>
          <w:iCs/>
          <w:color w:val="auto"/>
          <w:sz w:val="22"/>
          <w:szCs w:val="22"/>
          <w:lang w:val="bg-BG"/>
        </w:rPr>
        <w:t>Инсталации по третиране на отпадъци, 2018 г.</w:t>
      </w:r>
      <w:r w:rsidR="004C5987" w:rsidRPr="00F834BF">
        <w:rPr>
          <w:rFonts w:ascii="Times New Roman" w:hAnsi="Times New Roman" w:cs="Times New Roman"/>
          <w:b w:val="0"/>
          <w:bCs w:val="0"/>
          <w:i/>
          <w:iCs/>
          <w:color w:val="auto"/>
          <w:sz w:val="22"/>
          <w:szCs w:val="22"/>
          <w:lang w:val="bg-BG"/>
        </w:rPr>
        <w:t xml:space="preserve"> (брой)</w:t>
      </w:r>
      <w:bookmarkEnd w:id="32"/>
    </w:p>
    <w:tbl>
      <w:tblPr>
        <w:tblStyle w:val="TableGrid"/>
        <w:tblW w:w="9355" w:type="dxa"/>
        <w:tblInd w:w="-5" w:type="dxa"/>
        <w:tblLook w:val="04A0" w:firstRow="1" w:lastRow="0" w:firstColumn="1" w:lastColumn="0" w:noHBand="0" w:noVBand="1"/>
      </w:tblPr>
      <w:tblGrid>
        <w:gridCol w:w="4225"/>
        <w:gridCol w:w="2430"/>
        <w:gridCol w:w="2700"/>
      </w:tblGrid>
      <w:tr w:rsidR="00D27783" w:rsidRPr="00677BDE" w14:paraId="5D08C30A" w14:textId="77777777" w:rsidTr="004C5987">
        <w:tc>
          <w:tcPr>
            <w:tcW w:w="4225" w:type="dxa"/>
            <w:tcBorders>
              <w:top w:val="single" w:sz="4" w:space="0" w:color="auto"/>
            </w:tcBorders>
            <w:shd w:val="clear" w:color="auto" w:fill="DEEAF6" w:themeFill="accent5" w:themeFillTint="33"/>
          </w:tcPr>
          <w:p w14:paraId="779CA9B0"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2018 г.</w:t>
            </w:r>
          </w:p>
        </w:tc>
        <w:tc>
          <w:tcPr>
            <w:tcW w:w="2430" w:type="dxa"/>
            <w:tcBorders>
              <w:top w:val="single" w:sz="4" w:space="0" w:color="auto"/>
            </w:tcBorders>
            <w:shd w:val="clear" w:color="auto" w:fill="DEEAF6" w:themeFill="accent5" w:themeFillTint="33"/>
          </w:tcPr>
          <w:p w14:paraId="5026C1B1"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Инсталации за оползотворяване на биоотпадъци</w:t>
            </w:r>
          </w:p>
        </w:tc>
        <w:tc>
          <w:tcPr>
            <w:tcW w:w="2700" w:type="dxa"/>
            <w:tcBorders>
              <w:top w:val="single" w:sz="4" w:space="0" w:color="auto"/>
            </w:tcBorders>
            <w:shd w:val="clear" w:color="auto" w:fill="DEEAF6" w:themeFill="accent5" w:themeFillTint="33"/>
          </w:tcPr>
          <w:p w14:paraId="79E18DC5"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Инсталациите за сепариране/ предварително третиране</w:t>
            </w:r>
          </w:p>
        </w:tc>
      </w:tr>
      <w:tr w:rsidR="00D27783" w:rsidRPr="00677BDE" w14:paraId="46294490" w14:textId="77777777" w:rsidTr="004C5987">
        <w:tc>
          <w:tcPr>
            <w:tcW w:w="4225" w:type="dxa"/>
          </w:tcPr>
          <w:p w14:paraId="342F35DE"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В експлоатация</w:t>
            </w:r>
          </w:p>
        </w:tc>
        <w:tc>
          <w:tcPr>
            <w:tcW w:w="2430" w:type="dxa"/>
          </w:tcPr>
          <w:p w14:paraId="12325A52"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22</w:t>
            </w:r>
          </w:p>
        </w:tc>
        <w:tc>
          <w:tcPr>
            <w:tcW w:w="2700" w:type="dxa"/>
          </w:tcPr>
          <w:p w14:paraId="30BFB902"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25</w:t>
            </w:r>
          </w:p>
        </w:tc>
      </w:tr>
      <w:tr w:rsidR="00D27783" w:rsidRPr="00677BDE" w14:paraId="6BAD20CB" w14:textId="77777777" w:rsidTr="004C5987">
        <w:tc>
          <w:tcPr>
            <w:tcW w:w="4225" w:type="dxa"/>
          </w:tcPr>
          <w:p w14:paraId="3838230D"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В процес на изграждане</w:t>
            </w:r>
          </w:p>
        </w:tc>
        <w:tc>
          <w:tcPr>
            <w:tcW w:w="2430" w:type="dxa"/>
          </w:tcPr>
          <w:p w14:paraId="5CA58249"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46</w:t>
            </w:r>
          </w:p>
        </w:tc>
        <w:tc>
          <w:tcPr>
            <w:tcW w:w="2700" w:type="dxa"/>
          </w:tcPr>
          <w:p w14:paraId="54841F2F"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21</w:t>
            </w:r>
          </w:p>
        </w:tc>
      </w:tr>
      <w:tr w:rsidR="00D27783" w:rsidRPr="00677BDE" w14:paraId="0E9A6872" w14:textId="77777777" w:rsidTr="004C5987">
        <w:tc>
          <w:tcPr>
            <w:tcW w:w="4225" w:type="dxa"/>
          </w:tcPr>
          <w:p w14:paraId="6BCFF9F7"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В процес на подготовка/ проектиране</w:t>
            </w:r>
          </w:p>
        </w:tc>
        <w:tc>
          <w:tcPr>
            <w:tcW w:w="2430" w:type="dxa"/>
          </w:tcPr>
          <w:p w14:paraId="24B55A10"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1</w:t>
            </w:r>
          </w:p>
        </w:tc>
        <w:tc>
          <w:tcPr>
            <w:tcW w:w="2700" w:type="dxa"/>
          </w:tcPr>
          <w:p w14:paraId="5C4CEFDA" w14:textId="77777777" w:rsidR="00D27783" w:rsidRPr="00536E7C" w:rsidRDefault="00D27783" w:rsidP="00D27783">
            <w:pPr>
              <w:spacing w:after="120"/>
              <w:jc w:val="both"/>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w:t>
            </w:r>
          </w:p>
        </w:tc>
      </w:tr>
    </w:tbl>
    <w:p w14:paraId="54A5A69E" w14:textId="77777777" w:rsidR="00D27783" w:rsidRPr="00F834BF" w:rsidRDefault="00D27783" w:rsidP="00F834BF">
      <w:pPr>
        <w:pStyle w:val="Caption"/>
        <w:rPr>
          <w:rFonts w:ascii="Times New Roman" w:hAnsi="Times New Roman" w:cs="Times New Roman"/>
          <w:b w:val="0"/>
          <w:bCs w:val="0"/>
          <w:i/>
          <w:iCs/>
          <w:color w:val="auto"/>
          <w:sz w:val="22"/>
          <w:szCs w:val="22"/>
          <w:lang w:val="bg-BG"/>
        </w:rPr>
      </w:pPr>
      <w:r w:rsidRPr="00F834BF">
        <w:rPr>
          <w:rFonts w:ascii="Times New Roman" w:hAnsi="Times New Roman" w:cs="Times New Roman"/>
          <w:b w:val="0"/>
          <w:bCs w:val="0"/>
          <w:i/>
          <w:iCs/>
          <w:color w:val="auto"/>
          <w:sz w:val="22"/>
          <w:szCs w:val="22"/>
          <w:lang w:val="bg-BG"/>
        </w:rPr>
        <w:t>Източник: НПУО 2021 - 2028</w:t>
      </w:r>
    </w:p>
    <w:p w14:paraId="71F5E6FE" w14:textId="77777777" w:rsidR="00D27783" w:rsidRPr="00655BDE" w:rsidRDefault="00D27783" w:rsidP="00655BDE">
      <w:p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След въвеждане в експлоатация на инсталациите в процес на изграждане, до 2023 г., инфраструктурата за третиране на битови отпадъци ще бъде в следния обхват:</w:t>
      </w:r>
    </w:p>
    <w:p w14:paraId="01AB9830" w14:textId="77777777" w:rsidR="00D27783" w:rsidRPr="00655BDE" w:rsidRDefault="00D27783" w:rsidP="00655BDE">
      <w:pPr>
        <w:pStyle w:val="ListParagraph"/>
        <w:numPr>
          <w:ilvl w:val="0"/>
          <w:numId w:val="2"/>
        </w:num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 41 регионални системи със съоръжения, които покриват дейностите по депониране, сепариране/ предварително третиране и оползотворяване на биоотпадъци; </w:t>
      </w:r>
    </w:p>
    <w:p w14:paraId="2EFA0AEF" w14:textId="77777777" w:rsidR="00D27783" w:rsidRPr="00655BDE" w:rsidRDefault="00D27783" w:rsidP="00655BDE">
      <w:pPr>
        <w:pStyle w:val="ListParagraph"/>
        <w:numPr>
          <w:ilvl w:val="0"/>
          <w:numId w:val="2"/>
        </w:num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5 регионални системи със съоръжения, които покриват само дейностите по депониране и оползотворяване на биоотпадъци; </w:t>
      </w:r>
    </w:p>
    <w:p w14:paraId="49822DB8" w14:textId="77777777" w:rsidR="00D27783" w:rsidRPr="00655BDE" w:rsidRDefault="00D27783" w:rsidP="00655BDE">
      <w:pPr>
        <w:pStyle w:val="ListParagraph"/>
        <w:numPr>
          <w:ilvl w:val="0"/>
          <w:numId w:val="2"/>
        </w:num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lastRenderedPageBreak/>
        <w:t xml:space="preserve">3 регионални системи със съоръжения в експлоатация, които покриват дейностите по депониране, сепариране/ предварително третиране; </w:t>
      </w:r>
    </w:p>
    <w:p w14:paraId="2220D3D9" w14:textId="77777777" w:rsidR="00D27783" w:rsidRPr="00655BDE" w:rsidRDefault="00D27783" w:rsidP="00655BDE">
      <w:pPr>
        <w:pStyle w:val="ListParagraph"/>
        <w:numPr>
          <w:ilvl w:val="0"/>
          <w:numId w:val="2"/>
        </w:num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3 регионални системи ще покриват само дейностите по депониране;</w:t>
      </w:r>
    </w:p>
    <w:p w14:paraId="606BE3CD" w14:textId="77777777" w:rsidR="00D27783" w:rsidRPr="00655BDE" w:rsidRDefault="00D27783" w:rsidP="00655BDE">
      <w:pPr>
        <w:pStyle w:val="ListParagraph"/>
        <w:numPr>
          <w:ilvl w:val="0"/>
          <w:numId w:val="2"/>
        </w:num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1 регионална система, която третира отпадъците в частна инсталация.</w:t>
      </w:r>
      <w:r w:rsidRPr="00655BDE">
        <w:rPr>
          <w:rStyle w:val="FootnoteReference"/>
          <w:rFonts w:ascii="Times New Roman" w:eastAsia="Times New Roman" w:hAnsi="Times New Roman" w:cs="Times New Roman"/>
          <w:lang w:val="bg-BG"/>
        </w:rPr>
        <w:footnoteReference w:id="11"/>
      </w:r>
    </w:p>
    <w:p w14:paraId="260F239D" w14:textId="77777777" w:rsidR="00D27783" w:rsidRPr="00655BDE" w:rsidRDefault="00D27783" w:rsidP="00655BDE">
      <w:pPr>
        <w:spacing w:before="120" w:after="120" w:line="264" w:lineRule="auto"/>
        <w:jc w:val="both"/>
        <w:rPr>
          <w:rFonts w:ascii="Times New Roman" w:eastAsia="Times New Roman" w:hAnsi="Times New Roman" w:cs="Times New Roman"/>
          <w:lang w:val="bg-BG"/>
        </w:rPr>
      </w:pPr>
      <w:bookmarkStart w:id="33" w:name="_Hlk72785342"/>
      <w:r w:rsidRPr="00655BDE">
        <w:rPr>
          <w:rFonts w:ascii="Times New Roman" w:eastAsia="Times New Roman" w:hAnsi="Times New Roman" w:cs="Times New Roman"/>
          <w:lang w:val="bg-BG"/>
        </w:rPr>
        <w:t xml:space="preserve">В РСУО с изградени сепариращи инсталации не се извършва стабилизиране на фракцията (0-50 мм), съдържаща основно инертна и биологична компонента, а директно се насочва за депониране. </w:t>
      </w:r>
      <w:bookmarkEnd w:id="33"/>
      <w:r w:rsidRPr="00655BDE">
        <w:rPr>
          <w:rFonts w:ascii="Times New Roman" w:eastAsia="Times New Roman" w:hAnsi="Times New Roman" w:cs="Times New Roman"/>
          <w:lang w:val="bg-BG"/>
        </w:rPr>
        <w:t xml:space="preserve">Окомплектоването на съоръженията за сепариране на смесени битови отпадъци с втори модул – инсталация за стабилизиране на подситова био-фракция ще подпомогне постигането на целите по чл.31 ал.1 от ЗУО, и годишно ще бъде предотвратено депонирането на около 100 000 тона отпадък. </w:t>
      </w:r>
    </w:p>
    <w:p w14:paraId="2DD60658" w14:textId="77777777" w:rsidR="00D27783" w:rsidRPr="00655BDE" w:rsidRDefault="00D27783" w:rsidP="00655BDE">
      <w:pPr>
        <w:spacing w:before="120" w:after="120" w:line="264" w:lineRule="auto"/>
        <w:rPr>
          <w:rFonts w:ascii="Times New Roman" w:hAnsi="Times New Roman" w:cs="Times New Roman"/>
          <w:b/>
          <w:bCs/>
          <w:lang w:val="bg-BG"/>
        </w:rPr>
      </w:pPr>
      <w:r w:rsidRPr="00655BDE">
        <w:rPr>
          <w:rFonts w:ascii="Times New Roman" w:hAnsi="Times New Roman" w:cs="Times New Roman"/>
          <w:b/>
          <w:bCs/>
          <w:lang w:val="bg-BG"/>
        </w:rPr>
        <w:t>Ефективност и обхват на системите за управление на отпадъците</w:t>
      </w:r>
    </w:p>
    <w:p w14:paraId="06BE1C50"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Делът на обслужваното население от системите за организирано сметосъбиране достига до 99.8% през 2018 г., като обслужваните населени места са 4 698 броя. </w:t>
      </w:r>
    </w:p>
    <w:p w14:paraId="4650E155" w14:textId="77777777" w:rsidR="00D27783" w:rsidRPr="00F834BF" w:rsidRDefault="00F834BF" w:rsidP="00F834BF">
      <w:pPr>
        <w:pStyle w:val="Caption"/>
        <w:jc w:val="both"/>
        <w:rPr>
          <w:rFonts w:ascii="Times New Roman" w:hAnsi="Times New Roman" w:cs="Times New Roman"/>
          <w:b w:val="0"/>
          <w:bCs w:val="0"/>
          <w:i/>
          <w:color w:val="auto"/>
          <w:sz w:val="22"/>
          <w:szCs w:val="22"/>
          <w:lang w:val="bg-BG"/>
        </w:rPr>
      </w:pPr>
      <w:bookmarkStart w:id="34" w:name="_Toc72919667"/>
      <w:r w:rsidRPr="00F834BF">
        <w:rPr>
          <w:rFonts w:ascii="Times New Roman" w:hAnsi="Times New Roman" w:cs="Times New Roman"/>
          <w:b w:val="0"/>
          <w:bCs w:val="0"/>
          <w:i/>
          <w:color w:val="auto"/>
          <w:sz w:val="22"/>
          <w:szCs w:val="22"/>
          <w:lang w:val="bg-BG"/>
        </w:rPr>
        <w:t xml:space="preserve">Таблица </w:t>
      </w:r>
      <w:r w:rsidRPr="00F834BF">
        <w:rPr>
          <w:rFonts w:ascii="Times New Roman" w:hAnsi="Times New Roman" w:cs="Times New Roman"/>
          <w:b w:val="0"/>
          <w:bCs w:val="0"/>
          <w:i/>
          <w:color w:val="auto"/>
          <w:sz w:val="22"/>
          <w:szCs w:val="22"/>
          <w:lang w:val="bg-BG"/>
        </w:rPr>
        <w:fldChar w:fldCharType="begin"/>
      </w:r>
      <w:r w:rsidRPr="00F834BF">
        <w:rPr>
          <w:rFonts w:ascii="Times New Roman" w:hAnsi="Times New Roman" w:cs="Times New Roman"/>
          <w:b w:val="0"/>
          <w:bCs w:val="0"/>
          <w:i/>
          <w:color w:val="auto"/>
          <w:sz w:val="22"/>
          <w:szCs w:val="22"/>
          <w:lang w:val="bg-BG"/>
        </w:rPr>
        <w:instrText xml:space="preserve"> SEQ Таблица \* ARABIC </w:instrText>
      </w:r>
      <w:r w:rsidRPr="00F834BF">
        <w:rPr>
          <w:rFonts w:ascii="Times New Roman" w:hAnsi="Times New Roman" w:cs="Times New Roman"/>
          <w:b w:val="0"/>
          <w:bCs w:val="0"/>
          <w:i/>
          <w:color w:val="auto"/>
          <w:sz w:val="22"/>
          <w:szCs w:val="22"/>
          <w:lang w:val="bg-BG"/>
        </w:rPr>
        <w:fldChar w:fldCharType="separate"/>
      </w:r>
      <w:r w:rsidR="00AF353F">
        <w:rPr>
          <w:rFonts w:ascii="Times New Roman" w:hAnsi="Times New Roman" w:cs="Times New Roman"/>
          <w:b w:val="0"/>
          <w:bCs w:val="0"/>
          <w:i/>
          <w:noProof/>
          <w:color w:val="auto"/>
          <w:sz w:val="22"/>
          <w:szCs w:val="22"/>
          <w:lang w:val="bg-BG"/>
        </w:rPr>
        <w:t>8</w:t>
      </w:r>
      <w:r w:rsidRPr="00F834BF">
        <w:rPr>
          <w:rFonts w:ascii="Times New Roman" w:hAnsi="Times New Roman" w:cs="Times New Roman"/>
          <w:b w:val="0"/>
          <w:bCs w:val="0"/>
          <w:i/>
          <w:color w:val="auto"/>
          <w:sz w:val="22"/>
          <w:szCs w:val="22"/>
          <w:lang w:val="bg-BG"/>
        </w:rPr>
        <w:fldChar w:fldCharType="end"/>
      </w:r>
      <w:r w:rsidRPr="00F834BF">
        <w:rPr>
          <w:rFonts w:ascii="Times New Roman" w:hAnsi="Times New Roman" w:cs="Times New Roman"/>
          <w:b w:val="0"/>
          <w:bCs w:val="0"/>
          <w:i/>
          <w:color w:val="auto"/>
          <w:sz w:val="22"/>
          <w:szCs w:val="22"/>
          <w:lang w:val="bg-BG"/>
        </w:rPr>
        <w:t xml:space="preserve"> </w:t>
      </w:r>
      <w:r w:rsidR="00D27783" w:rsidRPr="00F834BF">
        <w:rPr>
          <w:rFonts w:ascii="Times New Roman" w:hAnsi="Times New Roman" w:cs="Times New Roman"/>
          <w:b w:val="0"/>
          <w:bCs w:val="0"/>
          <w:i/>
          <w:color w:val="auto"/>
          <w:sz w:val="22"/>
          <w:szCs w:val="22"/>
          <w:lang w:val="bg-BG"/>
        </w:rPr>
        <w:t xml:space="preserve"> Населени места и население, обхванати от системи за организирано сметосъбиране и извозване</w:t>
      </w:r>
      <w:bookmarkEnd w:id="34"/>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9"/>
        <w:gridCol w:w="804"/>
        <w:gridCol w:w="624"/>
        <w:gridCol w:w="624"/>
        <w:gridCol w:w="623"/>
        <w:gridCol w:w="623"/>
        <w:gridCol w:w="623"/>
        <w:gridCol w:w="623"/>
        <w:gridCol w:w="623"/>
        <w:gridCol w:w="623"/>
      </w:tblGrid>
      <w:tr w:rsidR="00D27783" w:rsidRPr="00677BDE" w14:paraId="6A93A8A9" w14:textId="77777777" w:rsidTr="00D27783">
        <w:trPr>
          <w:trHeight w:val="283"/>
        </w:trPr>
        <w:tc>
          <w:tcPr>
            <w:tcW w:w="1905" w:type="pct"/>
            <w:tcBorders>
              <w:top w:val="single" w:sz="4" w:space="0" w:color="auto"/>
            </w:tcBorders>
            <w:shd w:val="clear" w:color="auto" w:fill="DEEAF6" w:themeFill="accent5" w:themeFillTint="33"/>
            <w:vAlign w:val="bottom"/>
          </w:tcPr>
          <w:p w14:paraId="27E16388" w14:textId="77777777" w:rsidR="00D27783" w:rsidRPr="00536E7C" w:rsidRDefault="00D27783" w:rsidP="00D27783">
            <w:pPr>
              <w:spacing w:after="0" w:line="240" w:lineRule="auto"/>
              <w:rPr>
                <w:rFonts w:ascii="Times New Roman" w:eastAsia="Times New Roman" w:hAnsi="Times New Roman" w:cs="Times New Roman"/>
                <w:sz w:val="20"/>
                <w:szCs w:val="20"/>
                <w:lang w:val="bg-BG"/>
              </w:rPr>
            </w:pPr>
          </w:p>
        </w:tc>
        <w:tc>
          <w:tcPr>
            <w:tcW w:w="429" w:type="pct"/>
            <w:tcBorders>
              <w:top w:val="single" w:sz="4" w:space="0" w:color="auto"/>
            </w:tcBorders>
            <w:shd w:val="clear" w:color="auto" w:fill="DEEAF6" w:themeFill="accent5" w:themeFillTint="33"/>
            <w:vAlign w:val="bottom"/>
          </w:tcPr>
          <w:p w14:paraId="0CB4103B"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p>
        </w:tc>
        <w:tc>
          <w:tcPr>
            <w:tcW w:w="333" w:type="pct"/>
            <w:tcBorders>
              <w:top w:val="single" w:sz="4" w:space="0" w:color="auto"/>
            </w:tcBorders>
            <w:shd w:val="clear" w:color="auto" w:fill="DEEAF6" w:themeFill="accent5" w:themeFillTint="33"/>
            <w:vAlign w:val="bottom"/>
          </w:tcPr>
          <w:p w14:paraId="72DF6745"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2011</w:t>
            </w:r>
          </w:p>
        </w:tc>
        <w:tc>
          <w:tcPr>
            <w:tcW w:w="333" w:type="pct"/>
            <w:tcBorders>
              <w:top w:val="single" w:sz="4" w:space="0" w:color="auto"/>
            </w:tcBorders>
            <w:shd w:val="clear" w:color="auto" w:fill="DEEAF6" w:themeFill="accent5" w:themeFillTint="33"/>
            <w:vAlign w:val="bottom"/>
          </w:tcPr>
          <w:p w14:paraId="7F89B8F9"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2012</w:t>
            </w:r>
          </w:p>
        </w:tc>
        <w:tc>
          <w:tcPr>
            <w:tcW w:w="333" w:type="pct"/>
            <w:tcBorders>
              <w:top w:val="single" w:sz="4" w:space="0" w:color="auto"/>
            </w:tcBorders>
            <w:shd w:val="clear" w:color="auto" w:fill="DEEAF6" w:themeFill="accent5" w:themeFillTint="33"/>
            <w:vAlign w:val="bottom"/>
          </w:tcPr>
          <w:p w14:paraId="618A32D9"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2013</w:t>
            </w:r>
          </w:p>
        </w:tc>
        <w:tc>
          <w:tcPr>
            <w:tcW w:w="333" w:type="pct"/>
            <w:tcBorders>
              <w:top w:val="single" w:sz="4" w:space="0" w:color="auto"/>
            </w:tcBorders>
            <w:shd w:val="clear" w:color="auto" w:fill="DEEAF6" w:themeFill="accent5" w:themeFillTint="33"/>
            <w:vAlign w:val="bottom"/>
          </w:tcPr>
          <w:p w14:paraId="0DCD9B8E"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2014</w:t>
            </w:r>
          </w:p>
        </w:tc>
        <w:tc>
          <w:tcPr>
            <w:tcW w:w="333" w:type="pct"/>
            <w:tcBorders>
              <w:top w:val="single" w:sz="4" w:space="0" w:color="auto"/>
            </w:tcBorders>
            <w:shd w:val="clear" w:color="auto" w:fill="DEEAF6" w:themeFill="accent5" w:themeFillTint="33"/>
            <w:vAlign w:val="bottom"/>
          </w:tcPr>
          <w:p w14:paraId="23D55F91"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2015</w:t>
            </w:r>
          </w:p>
        </w:tc>
        <w:tc>
          <w:tcPr>
            <w:tcW w:w="333" w:type="pct"/>
            <w:tcBorders>
              <w:top w:val="single" w:sz="4" w:space="0" w:color="auto"/>
            </w:tcBorders>
            <w:shd w:val="clear" w:color="auto" w:fill="DEEAF6" w:themeFill="accent5" w:themeFillTint="33"/>
            <w:vAlign w:val="bottom"/>
          </w:tcPr>
          <w:p w14:paraId="4BC0145E"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2016</w:t>
            </w:r>
          </w:p>
        </w:tc>
        <w:tc>
          <w:tcPr>
            <w:tcW w:w="333" w:type="pct"/>
            <w:tcBorders>
              <w:top w:val="single" w:sz="4" w:space="0" w:color="auto"/>
            </w:tcBorders>
            <w:shd w:val="clear" w:color="auto" w:fill="DEEAF6" w:themeFill="accent5" w:themeFillTint="33"/>
            <w:vAlign w:val="bottom"/>
          </w:tcPr>
          <w:p w14:paraId="22DA3A0F"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2017</w:t>
            </w:r>
          </w:p>
        </w:tc>
        <w:tc>
          <w:tcPr>
            <w:tcW w:w="333" w:type="pct"/>
            <w:tcBorders>
              <w:top w:val="single" w:sz="4" w:space="0" w:color="auto"/>
            </w:tcBorders>
            <w:shd w:val="clear" w:color="auto" w:fill="DEEAF6" w:themeFill="accent5" w:themeFillTint="33"/>
            <w:vAlign w:val="bottom"/>
          </w:tcPr>
          <w:p w14:paraId="28F2181C"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2018</w:t>
            </w:r>
          </w:p>
        </w:tc>
      </w:tr>
      <w:tr w:rsidR="00D27783" w:rsidRPr="00677BDE" w14:paraId="7EB642F6" w14:textId="77777777" w:rsidTr="00D27783">
        <w:trPr>
          <w:trHeight w:val="283"/>
        </w:trPr>
        <w:tc>
          <w:tcPr>
            <w:tcW w:w="1905" w:type="pct"/>
            <w:tcBorders>
              <w:top w:val="single" w:sz="4" w:space="0" w:color="auto"/>
            </w:tcBorders>
            <w:shd w:val="clear" w:color="auto" w:fill="auto"/>
            <w:vAlign w:val="bottom"/>
            <w:hideMark/>
          </w:tcPr>
          <w:p w14:paraId="3DBA47F7" w14:textId="77777777" w:rsidR="00D27783" w:rsidRPr="00536E7C" w:rsidRDefault="00D27783"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Населени места</w:t>
            </w:r>
          </w:p>
        </w:tc>
        <w:tc>
          <w:tcPr>
            <w:tcW w:w="429" w:type="pct"/>
            <w:tcBorders>
              <w:top w:val="single" w:sz="4" w:space="0" w:color="auto"/>
            </w:tcBorders>
            <w:shd w:val="clear" w:color="auto" w:fill="auto"/>
            <w:vAlign w:val="bottom"/>
            <w:hideMark/>
          </w:tcPr>
          <w:p w14:paraId="2E67B023"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брой</w:t>
            </w:r>
          </w:p>
        </w:tc>
        <w:tc>
          <w:tcPr>
            <w:tcW w:w="333" w:type="pct"/>
            <w:tcBorders>
              <w:top w:val="single" w:sz="4" w:space="0" w:color="auto"/>
            </w:tcBorders>
            <w:shd w:val="clear" w:color="auto" w:fill="auto"/>
            <w:vAlign w:val="bottom"/>
            <w:hideMark/>
          </w:tcPr>
          <w:p w14:paraId="5ADD0DA6"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4364</w:t>
            </w:r>
          </w:p>
        </w:tc>
        <w:tc>
          <w:tcPr>
            <w:tcW w:w="333" w:type="pct"/>
            <w:tcBorders>
              <w:top w:val="single" w:sz="4" w:space="0" w:color="auto"/>
            </w:tcBorders>
            <w:shd w:val="clear" w:color="auto" w:fill="auto"/>
            <w:vAlign w:val="bottom"/>
            <w:hideMark/>
          </w:tcPr>
          <w:p w14:paraId="6D617876"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4431</w:t>
            </w:r>
          </w:p>
        </w:tc>
        <w:tc>
          <w:tcPr>
            <w:tcW w:w="333" w:type="pct"/>
            <w:tcBorders>
              <w:top w:val="single" w:sz="4" w:space="0" w:color="auto"/>
            </w:tcBorders>
            <w:shd w:val="clear" w:color="auto" w:fill="auto"/>
            <w:vAlign w:val="bottom"/>
            <w:hideMark/>
          </w:tcPr>
          <w:p w14:paraId="4F573AEE"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4556</w:t>
            </w:r>
          </w:p>
        </w:tc>
        <w:tc>
          <w:tcPr>
            <w:tcW w:w="333" w:type="pct"/>
            <w:tcBorders>
              <w:top w:val="single" w:sz="4" w:space="0" w:color="auto"/>
            </w:tcBorders>
            <w:shd w:val="clear" w:color="auto" w:fill="auto"/>
            <w:vAlign w:val="bottom"/>
            <w:hideMark/>
          </w:tcPr>
          <w:p w14:paraId="607CA43C"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4578</w:t>
            </w:r>
          </w:p>
        </w:tc>
        <w:tc>
          <w:tcPr>
            <w:tcW w:w="333" w:type="pct"/>
            <w:tcBorders>
              <w:top w:val="single" w:sz="4" w:space="0" w:color="auto"/>
            </w:tcBorders>
            <w:shd w:val="clear" w:color="auto" w:fill="auto"/>
            <w:vAlign w:val="bottom"/>
            <w:hideMark/>
          </w:tcPr>
          <w:p w14:paraId="28B58197"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4593</w:t>
            </w:r>
          </w:p>
        </w:tc>
        <w:tc>
          <w:tcPr>
            <w:tcW w:w="333" w:type="pct"/>
            <w:tcBorders>
              <w:top w:val="single" w:sz="4" w:space="0" w:color="auto"/>
            </w:tcBorders>
            <w:shd w:val="clear" w:color="auto" w:fill="auto"/>
            <w:vAlign w:val="bottom"/>
            <w:hideMark/>
          </w:tcPr>
          <w:p w14:paraId="563957FE"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4616</w:t>
            </w:r>
          </w:p>
        </w:tc>
        <w:tc>
          <w:tcPr>
            <w:tcW w:w="333" w:type="pct"/>
            <w:tcBorders>
              <w:top w:val="single" w:sz="4" w:space="0" w:color="auto"/>
            </w:tcBorders>
            <w:shd w:val="clear" w:color="auto" w:fill="auto"/>
            <w:vAlign w:val="bottom"/>
            <w:hideMark/>
          </w:tcPr>
          <w:p w14:paraId="70F198D1"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4642</w:t>
            </w:r>
          </w:p>
        </w:tc>
        <w:tc>
          <w:tcPr>
            <w:tcW w:w="333" w:type="pct"/>
            <w:tcBorders>
              <w:top w:val="single" w:sz="4" w:space="0" w:color="auto"/>
            </w:tcBorders>
            <w:shd w:val="clear" w:color="auto" w:fill="auto"/>
            <w:vAlign w:val="bottom"/>
            <w:hideMark/>
          </w:tcPr>
          <w:p w14:paraId="7F807931"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4698</w:t>
            </w:r>
          </w:p>
        </w:tc>
      </w:tr>
      <w:tr w:rsidR="00D27783" w:rsidRPr="00677BDE" w14:paraId="0D96CC9F" w14:textId="77777777" w:rsidTr="00D27783">
        <w:trPr>
          <w:trHeight w:val="283"/>
        </w:trPr>
        <w:tc>
          <w:tcPr>
            <w:tcW w:w="1905" w:type="pct"/>
            <w:shd w:val="clear" w:color="000000" w:fill="FFFFFF"/>
            <w:vAlign w:val="bottom"/>
            <w:hideMark/>
          </w:tcPr>
          <w:p w14:paraId="3133C271" w14:textId="77777777" w:rsidR="00D27783" w:rsidRPr="00536E7C" w:rsidRDefault="00D27783" w:rsidP="00D27783">
            <w:pPr>
              <w:spacing w:after="0" w:line="240" w:lineRule="auto"/>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Дял на населението, обхванато от системи за организирано сметосъбиране</w:t>
            </w:r>
          </w:p>
        </w:tc>
        <w:tc>
          <w:tcPr>
            <w:tcW w:w="429" w:type="pct"/>
            <w:shd w:val="clear" w:color="000000" w:fill="FFFFFF"/>
            <w:vAlign w:val="bottom"/>
            <w:hideMark/>
          </w:tcPr>
          <w:p w14:paraId="29B73242"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w:t>
            </w:r>
          </w:p>
        </w:tc>
        <w:tc>
          <w:tcPr>
            <w:tcW w:w="333" w:type="pct"/>
            <w:shd w:val="clear" w:color="auto" w:fill="auto"/>
            <w:vAlign w:val="bottom"/>
            <w:hideMark/>
          </w:tcPr>
          <w:p w14:paraId="740FD335"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98.9</w:t>
            </w:r>
          </w:p>
        </w:tc>
        <w:tc>
          <w:tcPr>
            <w:tcW w:w="333" w:type="pct"/>
            <w:shd w:val="clear" w:color="auto" w:fill="auto"/>
            <w:vAlign w:val="bottom"/>
            <w:hideMark/>
          </w:tcPr>
          <w:p w14:paraId="1E26922A"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99.2</w:t>
            </w:r>
          </w:p>
        </w:tc>
        <w:tc>
          <w:tcPr>
            <w:tcW w:w="333" w:type="pct"/>
            <w:shd w:val="clear" w:color="auto" w:fill="auto"/>
            <w:vAlign w:val="bottom"/>
            <w:hideMark/>
          </w:tcPr>
          <w:p w14:paraId="48C21D1D"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99.5</w:t>
            </w:r>
          </w:p>
        </w:tc>
        <w:tc>
          <w:tcPr>
            <w:tcW w:w="333" w:type="pct"/>
            <w:shd w:val="clear" w:color="auto" w:fill="auto"/>
            <w:vAlign w:val="bottom"/>
            <w:hideMark/>
          </w:tcPr>
          <w:p w14:paraId="59E3C2CA"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99.6</w:t>
            </w:r>
          </w:p>
        </w:tc>
        <w:tc>
          <w:tcPr>
            <w:tcW w:w="333" w:type="pct"/>
            <w:shd w:val="clear" w:color="auto" w:fill="auto"/>
            <w:vAlign w:val="bottom"/>
            <w:hideMark/>
          </w:tcPr>
          <w:p w14:paraId="11B4B6BF"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99.6</w:t>
            </w:r>
          </w:p>
        </w:tc>
        <w:tc>
          <w:tcPr>
            <w:tcW w:w="333" w:type="pct"/>
            <w:shd w:val="clear" w:color="auto" w:fill="auto"/>
            <w:vAlign w:val="bottom"/>
            <w:hideMark/>
          </w:tcPr>
          <w:p w14:paraId="5CD37E6C"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99.7</w:t>
            </w:r>
          </w:p>
        </w:tc>
        <w:tc>
          <w:tcPr>
            <w:tcW w:w="333" w:type="pct"/>
            <w:shd w:val="clear" w:color="auto" w:fill="auto"/>
            <w:vAlign w:val="bottom"/>
            <w:hideMark/>
          </w:tcPr>
          <w:p w14:paraId="38A5E88D"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99.7</w:t>
            </w:r>
          </w:p>
        </w:tc>
        <w:tc>
          <w:tcPr>
            <w:tcW w:w="333" w:type="pct"/>
            <w:shd w:val="clear" w:color="auto" w:fill="auto"/>
            <w:vAlign w:val="bottom"/>
            <w:hideMark/>
          </w:tcPr>
          <w:p w14:paraId="4FD7319A" w14:textId="77777777" w:rsidR="00D27783" w:rsidRPr="00536E7C" w:rsidRDefault="00D27783" w:rsidP="00D27783">
            <w:pPr>
              <w:spacing w:after="0" w:line="240" w:lineRule="auto"/>
              <w:jc w:val="right"/>
              <w:rPr>
                <w:rFonts w:ascii="Times New Roman" w:eastAsia="Times New Roman" w:hAnsi="Times New Roman" w:cs="Times New Roman"/>
                <w:sz w:val="20"/>
                <w:szCs w:val="20"/>
                <w:lang w:val="bg-BG"/>
              </w:rPr>
            </w:pPr>
            <w:r w:rsidRPr="00536E7C">
              <w:rPr>
                <w:rFonts w:ascii="Times New Roman" w:eastAsia="Times New Roman" w:hAnsi="Times New Roman" w:cs="Times New Roman"/>
                <w:sz w:val="20"/>
                <w:szCs w:val="20"/>
                <w:lang w:val="bg-BG"/>
              </w:rPr>
              <w:t>99.8</w:t>
            </w:r>
          </w:p>
        </w:tc>
      </w:tr>
    </w:tbl>
    <w:p w14:paraId="6D34A3E9" w14:textId="77777777" w:rsidR="00D27783" w:rsidRPr="002A5B6B" w:rsidRDefault="00D27783" w:rsidP="00D27783">
      <w:pPr>
        <w:autoSpaceDE w:val="0"/>
        <w:autoSpaceDN w:val="0"/>
        <w:adjustRightInd w:val="0"/>
        <w:spacing w:after="0" w:line="240" w:lineRule="auto"/>
        <w:jc w:val="both"/>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17810BAC" w14:textId="77777777" w:rsidR="00D27783" w:rsidRPr="00655BDE" w:rsidRDefault="00D27783"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Динамичният ред на данните за периода 2011 – 2018 г. показва ясни тенденции на увеличаване на обхвата на обслужване, както и капацитет за разделно събиране на отпадъци от бита. Съдовете за разделно събиране в по-голямата си част остават собственост на организациите по оползотворяване, но са налице и пилотни модели за изграждане на общинска инфраструктура.</w:t>
      </w:r>
    </w:p>
    <w:p w14:paraId="4CA979DC"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rPr>
      </w:pPr>
      <w:bookmarkStart w:id="35" w:name="_Hlk72785353"/>
      <w:r w:rsidRPr="00655BDE">
        <w:rPr>
          <w:rFonts w:ascii="Times New Roman" w:hAnsi="Times New Roman" w:cs="Times New Roman"/>
          <w:lang w:val="bg-BG"/>
        </w:rPr>
        <w:t xml:space="preserve">През последните години България е с по-ниско ниво на рециклиране на </w:t>
      </w:r>
      <w:r w:rsidRPr="00655BDE">
        <w:rPr>
          <w:rFonts w:ascii="Times New Roman" w:hAnsi="Times New Roman" w:cs="Times New Roman"/>
          <w:b/>
          <w:bCs/>
          <w:lang w:val="bg-BG"/>
        </w:rPr>
        <w:t>битови отпадъци</w:t>
      </w:r>
      <w:r w:rsidRPr="00655BDE">
        <w:rPr>
          <w:rFonts w:ascii="Times New Roman" w:hAnsi="Times New Roman" w:cs="Times New Roman"/>
          <w:lang w:val="bg-BG"/>
        </w:rPr>
        <w:t xml:space="preserve"> от средното за страните-членки на ЕС, но се отчита тенденция на постоянен ръст на дела на рециклираните битови отпадъци</w:t>
      </w:r>
      <w:r w:rsidRPr="00655BDE">
        <w:rPr>
          <w:rFonts w:ascii="Times New Roman" w:hAnsi="Times New Roman" w:cs="Times New Roman"/>
        </w:rPr>
        <w:t xml:space="preserve">. </w:t>
      </w:r>
    </w:p>
    <w:bookmarkEnd w:id="35"/>
    <w:p w14:paraId="1CB4C57D"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От общо образуваните през 2018 г. 2 862 хил. т. битови отпадъци, 63.36% са предадени за предварително третиране, а 7.50% - предадени за рециклиране. </w:t>
      </w:r>
    </w:p>
    <w:p w14:paraId="5E091AB5" w14:textId="77777777" w:rsidR="00C04BF9" w:rsidRDefault="00C04BF9" w:rsidP="00D27783">
      <w:pPr>
        <w:rPr>
          <w:rFonts w:ascii="Times New Roman" w:hAnsi="Times New Roman" w:cs="Times New Roman"/>
          <w:i/>
          <w:iCs/>
          <w:lang w:val="bg-BG"/>
        </w:rPr>
      </w:pPr>
    </w:p>
    <w:p w14:paraId="1E528AD7" w14:textId="77777777" w:rsidR="00D27783" w:rsidRPr="00F834BF" w:rsidRDefault="00F834BF" w:rsidP="00F834BF">
      <w:pPr>
        <w:pStyle w:val="Caption"/>
        <w:keepNext/>
        <w:rPr>
          <w:rFonts w:ascii="Times New Roman" w:hAnsi="Times New Roman" w:cs="Times New Roman"/>
          <w:b w:val="0"/>
          <w:bCs w:val="0"/>
          <w:i/>
          <w:iCs/>
          <w:color w:val="auto"/>
          <w:sz w:val="22"/>
          <w:szCs w:val="22"/>
          <w:lang w:val="bg-BG"/>
        </w:rPr>
      </w:pPr>
      <w:bookmarkStart w:id="36" w:name="_Toc72919684"/>
      <w:r w:rsidRPr="00F834BF">
        <w:rPr>
          <w:rFonts w:ascii="Times New Roman" w:hAnsi="Times New Roman" w:cs="Times New Roman"/>
          <w:b w:val="0"/>
          <w:bCs w:val="0"/>
          <w:i/>
          <w:iCs/>
          <w:color w:val="auto"/>
          <w:sz w:val="22"/>
          <w:szCs w:val="22"/>
          <w:lang w:val="bg-BG"/>
        </w:rPr>
        <w:lastRenderedPageBreak/>
        <w:t xml:space="preserve">Фигура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Фигура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3</w:t>
      </w:r>
      <w:r w:rsidRPr="00F834BF">
        <w:rPr>
          <w:rFonts w:ascii="Times New Roman" w:hAnsi="Times New Roman" w:cs="Times New Roman"/>
          <w:b w:val="0"/>
          <w:bCs w:val="0"/>
          <w:i/>
          <w:iCs/>
          <w:color w:val="auto"/>
          <w:sz w:val="22"/>
          <w:szCs w:val="22"/>
          <w:lang w:val="bg-BG"/>
        </w:rPr>
        <w:fldChar w:fldCharType="end"/>
      </w:r>
      <w:r>
        <w:rPr>
          <w:rFonts w:ascii="Times New Roman" w:hAnsi="Times New Roman" w:cs="Times New Roman"/>
          <w:b w:val="0"/>
          <w:bCs w:val="0"/>
          <w:i/>
          <w:iCs/>
          <w:color w:val="auto"/>
          <w:sz w:val="22"/>
          <w:szCs w:val="22"/>
          <w:lang w:val="bg-BG"/>
        </w:rPr>
        <w:t xml:space="preserve"> </w:t>
      </w:r>
      <w:r w:rsidR="00D27783" w:rsidRPr="00F834BF">
        <w:rPr>
          <w:rFonts w:ascii="Times New Roman" w:hAnsi="Times New Roman" w:cs="Times New Roman"/>
          <w:b w:val="0"/>
          <w:bCs w:val="0"/>
          <w:i/>
          <w:iCs/>
          <w:color w:val="auto"/>
          <w:sz w:val="22"/>
          <w:szCs w:val="22"/>
          <w:lang w:val="bg-BG"/>
        </w:rPr>
        <w:t>Битови отпадъци (депониране, предварително третиране, рециклиране), 2018 г.</w:t>
      </w:r>
      <w:bookmarkEnd w:id="36"/>
    </w:p>
    <w:p w14:paraId="5FA521F6" w14:textId="77777777" w:rsidR="00D27783" w:rsidRPr="002A5B6B" w:rsidRDefault="00D27783" w:rsidP="00D27783">
      <w:pPr>
        <w:rPr>
          <w:lang w:val="bg-BG"/>
        </w:rPr>
      </w:pPr>
      <w:r w:rsidRPr="002A5B6B">
        <w:rPr>
          <w:noProof/>
          <w:lang w:val="bg-BG" w:eastAsia="bg-BG"/>
        </w:rPr>
        <w:drawing>
          <wp:inline distT="0" distB="0" distL="0" distR="0" wp14:anchorId="02C3D8E0" wp14:editId="2E63C7A4">
            <wp:extent cx="4660900" cy="1968500"/>
            <wp:effectExtent l="0" t="0" r="25400" b="12700"/>
            <wp:docPr id="9" name="Chart 9">
              <a:extLst xmlns:a="http://schemas.openxmlformats.org/drawingml/2006/main">
                <a:ext uri="{FF2B5EF4-FFF2-40B4-BE49-F238E27FC236}">
                  <a16:creationId xmlns:a16="http://schemas.microsoft.com/office/drawing/2014/main" id="{BDF3815B-773F-4AD0-A2EB-3CC3F7E195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D14BB9F" w14:textId="77777777" w:rsidR="00D27783" w:rsidRPr="00536E7C" w:rsidRDefault="00D27783" w:rsidP="00D27783">
      <w:pPr>
        <w:rPr>
          <w:rFonts w:ascii="Times New Roman" w:hAnsi="Times New Roman" w:cs="Times New Roman"/>
          <w:i/>
          <w:iCs/>
        </w:rPr>
      </w:pPr>
      <w:r w:rsidRPr="002A5B6B">
        <w:rPr>
          <w:rFonts w:ascii="Times New Roman" w:hAnsi="Times New Roman" w:cs="Times New Roman"/>
          <w:i/>
          <w:iCs/>
          <w:lang w:val="bg-BG"/>
        </w:rPr>
        <w:t>Източник: НСИ</w:t>
      </w:r>
    </w:p>
    <w:p w14:paraId="7F6EBA1E" w14:textId="77777777" w:rsidR="00D27783" w:rsidRPr="002A5B6B" w:rsidRDefault="00D27783" w:rsidP="00D27783">
      <w:pPr>
        <w:autoSpaceDE w:val="0"/>
        <w:autoSpaceDN w:val="0"/>
        <w:adjustRightInd w:val="0"/>
        <w:spacing w:after="0" w:line="276" w:lineRule="auto"/>
        <w:jc w:val="both"/>
        <w:rPr>
          <w:rFonts w:ascii="Times New Roman" w:hAnsi="Times New Roman" w:cs="Times New Roman"/>
          <w:sz w:val="24"/>
          <w:szCs w:val="24"/>
          <w:lang w:val="bg-BG"/>
        </w:rPr>
      </w:pPr>
      <w:r w:rsidRPr="002A5B6B">
        <w:rPr>
          <w:rFonts w:ascii="Times New Roman" w:hAnsi="Times New Roman" w:cs="Times New Roman"/>
          <w:sz w:val="24"/>
          <w:szCs w:val="24"/>
          <w:lang w:val="bg-BG"/>
        </w:rPr>
        <w:t>За 2018 г. поетапно е постигната националната цел за рециклиране на битовите отпадъци, заложена в законодателството.</w:t>
      </w:r>
    </w:p>
    <w:p w14:paraId="55E71EA9" w14:textId="77777777" w:rsidR="00D27783" w:rsidRPr="00536E7C" w:rsidRDefault="00F834BF" w:rsidP="00F834BF">
      <w:pPr>
        <w:pStyle w:val="Caption"/>
        <w:keepNext/>
        <w:jc w:val="both"/>
        <w:rPr>
          <w:rFonts w:ascii="Times New Roman" w:hAnsi="Times New Roman" w:cs="Times New Roman"/>
          <w:i/>
          <w:iCs/>
        </w:rPr>
      </w:pPr>
      <w:bookmarkStart w:id="37" w:name="_Toc72919685"/>
      <w:r w:rsidRPr="00F834BF">
        <w:rPr>
          <w:rFonts w:ascii="Times New Roman" w:hAnsi="Times New Roman" w:cs="Times New Roman"/>
          <w:b w:val="0"/>
          <w:bCs w:val="0"/>
          <w:i/>
          <w:iCs/>
          <w:color w:val="auto"/>
          <w:sz w:val="22"/>
          <w:szCs w:val="22"/>
          <w:lang w:val="bg-BG"/>
        </w:rPr>
        <w:t xml:space="preserve">Фигура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Фигура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4</w:t>
      </w:r>
      <w:r w:rsidRPr="00F834BF">
        <w:rPr>
          <w:rFonts w:ascii="Times New Roman" w:hAnsi="Times New Roman" w:cs="Times New Roman"/>
          <w:b w:val="0"/>
          <w:bCs w:val="0"/>
          <w:i/>
          <w:iCs/>
          <w:color w:val="auto"/>
          <w:sz w:val="22"/>
          <w:szCs w:val="22"/>
          <w:lang w:val="bg-BG"/>
        </w:rPr>
        <w:fldChar w:fldCharType="end"/>
      </w:r>
      <w:r w:rsidR="00D27783" w:rsidRPr="00F834BF">
        <w:rPr>
          <w:rFonts w:ascii="Times New Roman" w:hAnsi="Times New Roman" w:cs="Times New Roman"/>
          <w:b w:val="0"/>
          <w:bCs w:val="0"/>
          <w:i/>
          <w:iCs/>
          <w:color w:val="auto"/>
          <w:sz w:val="22"/>
          <w:szCs w:val="22"/>
          <w:lang w:val="bg-BG"/>
        </w:rPr>
        <w:t xml:space="preserve"> Дял на третираните битови отпадъци, спрямо образуваните, kt</w:t>
      </w:r>
      <w:bookmarkEnd w:id="37"/>
    </w:p>
    <w:p w14:paraId="1E902CB6" w14:textId="77777777" w:rsidR="00D27783" w:rsidRDefault="00D27783" w:rsidP="00D27783">
      <w:pPr>
        <w:spacing w:line="276" w:lineRule="auto"/>
        <w:jc w:val="both"/>
        <w:rPr>
          <w:rFonts w:ascii="Times New Roman" w:hAnsi="Times New Roman" w:cs="Times New Roman"/>
          <w:sz w:val="24"/>
          <w:szCs w:val="24"/>
          <w:lang w:val="bg-BG"/>
        </w:rPr>
      </w:pPr>
      <w:r w:rsidRPr="006904BB">
        <w:rPr>
          <w:rFonts w:ascii="Times New Roman" w:hAnsi="Times New Roman" w:cs="Times New Roman"/>
          <w:noProof/>
          <w:sz w:val="24"/>
          <w:szCs w:val="24"/>
          <w:lang w:val="bg-BG" w:eastAsia="bg-BG"/>
        </w:rPr>
        <w:drawing>
          <wp:inline distT="0" distB="0" distL="0" distR="0" wp14:anchorId="44EEB63F" wp14:editId="14D26D4D">
            <wp:extent cx="4298950" cy="2193567"/>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4742" cy="2201625"/>
                    </a:xfrm>
                    <a:prstGeom prst="rect">
                      <a:avLst/>
                    </a:prstGeom>
                    <a:noFill/>
                    <a:ln>
                      <a:noFill/>
                    </a:ln>
                  </pic:spPr>
                </pic:pic>
              </a:graphicData>
            </a:graphic>
          </wp:inline>
        </w:drawing>
      </w:r>
    </w:p>
    <w:p w14:paraId="1C100A80" w14:textId="77777777" w:rsidR="00D27783" w:rsidRDefault="00D27783" w:rsidP="00D27783">
      <w:pPr>
        <w:spacing w:line="276" w:lineRule="auto"/>
        <w:jc w:val="both"/>
        <w:rPr>
          <w:rFonts w:ascii="Times New Roman" w:hAnsi="Times New Roman" w:cs="Times New Roman"/>
          <w:i/>
          <w:iCs/>
          <w:lang w:val="bg-BG"/>
        </w:rPr>
      </w:pPr>
      <w:r w:rsidRPr="00536E7C">
        <w:rPr>
          <w:rFonts w:ascii="Times New Roman" w:hAnsi="Times New Roman" w:cs="Times New Roman"/>
          <w:i/>
          <w:iCs/>
          <w:lang w:val="bg-BG"/>
        </w:rPr>
        <w:t>Източник: ИАОС</w:t>
      </w:r>
    </w:p>
    <w:p w14:paraId="2E6F95CF" w14:textId="77777777" w:rsidR="00D27783" w:rsidRPr="00655BDE" w:rsidRDefault="00D27783" w:rsidP="003E386A">
      <w:pPr>
        <w:autoSpaceDE w:val="0"/>
        <w:autoSpaceDN w:val="0"/>
        <w:adjustRightInd w:val="0"/>
        <w:spacing w:after="120" w:line="276" w:lineRule="auto"/>
        <w:jc w:val="both"/>
        <w:rPr>
          <w:rFonts w:ascii="Times New Roman" w:hAnsi="Times New Roman" w:cs="Times New Roman"/>
          <w:lang w:val="bg-BG"/>
        </w:rPr>
      </w:pPr>
      <w:r w:rsidRPr="00655BDE">
        <w:rPr>
          <w:rFonts w:ascii="Times New Roman" w:hAnsi="Times New Roman" w:cs="Times New Roman"/>
          <w:lang w:val="bg-BG"/>
        </w:rPr>
        <w:t xml:space="preserve">По показателя компостирани битови отпадъци на жител обаче България е на едно от последните места. </w:t>
      </w:r>
      <w:r w:rsidRPr="00655BDE">
        <w:rPr>
          <w:rFonts w:ascii="Times New Roman" w:hAnsi="Times New Roman" w:cs="Times New Roman"/>
        </w:rPr>
        <w:t xml:space="preserve">В </w:t>
      </w:r>
      <w:proofErr w:type="spellStart"/>
      <w:r w:rsidRPr="00655BDE">
        <w:rPr>
          <w:rFonts w:ascii="Times New Roman" w:hAnsi="Times New Roman" w:cs="Times New Roman"/>
        </w:rPr>
        <w:t>състава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образуваните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биоразградимите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представляват</w:t>
      </w:r>
      <w:proofErr w:type="spellEnd"/>
      <w:r w:rsidRPr="00655BDE">
        <w:rPr>
          <w:rFonts w:ascii="Times New Roman" w:hAnsi="Times New Roman" w:cs="Times New Roman"/>
        </w:rPr>
        <w:t xml:space="preserve"> 36%, </w:t>
      </w:r>
      <w:proofErr w:type="spellStart"/>
      <w:r w:rsidRPr="00655BDE">
        <w:rPr>
          <w:rFonts w:ascii="Times New Roman" w:hAnsi="Times New Roman" w:cs="Times New Roman"/>
        </w:rPr>
        <w:t>биологичните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са</w:t>
      </w:r>
      <w:proofErr w:type="spellEnd"/>
      <w:r w:rsidRPr="00655BDE">
        <w:rPr>
          <w:rFonts w:ascii="Times New Roman" w:hAnsi="Times New Roman" w:cs="Times New Roman"/>
        </w:rPr>
        <w:t xml:space="preserve"> 25%, а </w:t>
      </w:r>
      <w:proofErr w:type="spellStart"/>
      <w:r w:rsidRPr="00655BDE">
        <w:rPr>
          <w:rFonts w:ascii="Times New Roman" w:hAnsi="Times New Roman" w:cs="Times New Roman"/>
        </w:rPr>
        <w:t>рециклируемите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фракции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хартия</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картон</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пластмаса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стъкло</w:t>
      </w:r>
      <w:proofErr w:type="spellEnd"/>
      <w:r w:rsidRPr="00655BDE">
        <w:rPr>
          <w:rFonts w:ascii="Times New Roman" w:hAnsi="Times New Roman" w:cs="Times New Roman"/>
        </w:rPr>
        <w:t xml:space="preserve"> и </w:t>
      </w:r>
      <w:proofErr w:type="spellStart"/>
      <w:r w:rsidRPr="00655BDE">
        <w:rPr>
          <w:rFonts w:ascii="Times New Roman" w:hAnsi="Times New Roman" w:cs="Times New Roman"/>
        </w:rPr>
        <w:t>метали</w:t>
      </w:r>
      <w:proofErr w:type="spellEnd"/>
      <w:r w:rsidRPr="00655BDE">
        <w:rPr>
          <w:rFonts w:ascii="Times New Roman" w:hAnsi="Times New Roman" w:cs="Times New Roman"/>
        </w:rPr>
        <w:t xml:space="preserve"> – 27,5%.</w:t>
      </w:r>
      <w:r w:rsidRPr="00655BDE">
        <w:rPr>
          <w:rStyle w:val="FootnoteReference"/>
          <w:rFonts w:ascii="Times New Roman" w:hAnsi="Times New Roman" w:cs="Times New Roman"/>
        </w:rPr>
        <w:footnoteReference w:id="12"/>
      </w:r>
      <w:r w:rsidRPr="00655BDE">
        <w:rPr>
          <w:rFonts w:ascii="Times New Roman" w:hAnsi="Times New Roman" w:cs="Times New Roman"/>
          <w:lang w:val="bg-BG"/>
        </w:rPr>
        <w:t xml:space="preserve"> </w:t>
      </w:r>
    </w:p>
    <w:p w14:paraId="09D300B7" w14:textId="77777777" w:rsidR="00D27783" w:rsidRPr="00655BDE" w:rsidRDefault="00D27783" w:rsidP="003E386A">
      <w:pPr>
        <w:autoSpaceDE w:val="0"/>
        <w:autoSpaceDN w:val="0"/>
        <w:adjustRightInd w:val="0"/>
        <w:spacing w:after="120" w:line="276" w:lineRule="auto"/>
        <w:jc w:val="both"/>
        <w:rPr>
          <w:rFonts w:ascii="Times New Roman" w:eastAsia="Times New Roman" w:hAnsi="Times New Roman" w:cs="Times New Roman"/>
          <w:color w:val="000000"/>
          <w:lang w:val="bg-BG"/>
        </w:rPr>
      </w:pPr>
      <w:r w:rsidRPr="00655BDE">
        <w:rPr>
          <w:rFonts w:ascii="Times New Roman" w:hAnsi="Times New Roman" w:cs="Times New Roman"/>
          <w:lang w:val="bg-BG"/>
        </w:rPr>
        <w:t xml:space="preserve">Съгласно чл. 19 от Закона за управление на отпадъците (Обн. ДВ </w:t>
      </w:r>
      <w:r w:rsidRPr="00655BDE">
        <w:rPr>
          <w:rFonts w:ascii="Times New Roman" w:hAnsi="Times New Roman" w:cs="Times New Roman"/>
          <w:color w:val="000000"/>
          <w:shd w:val="clear" w:color="auto" w:fill="FEFEFE"/>
        </w:rPr>
        <w:t>бр.53 </w:t>
      </w:r>
      <w:proofErr w:type="spellStart"/>
      <w:r w:rsidRPr="00655BDE">
        <w:rPr>
          <w:rFonts w:ascii="Times New Roman" w:hAnsi="Times New Roman" w:cs="Times New Roman"/>
          <w:color w:val="000000"/>
          <w:shd w:val="clear" w:color="auto" w:fill="FEFEFE"/>
        </w:rPr>
        <w:t>от</w:t>
      </w:r>
      <w:proofErr w:type="spellEnd"/>
      <w:r w:rsidRPr="00655BDE">
        <w:rPr>
          <w:rFonts w:ascii="Times New Roman" w:hAnsi="Times New Roman" w:cs="Times New Roman"/>
          <w:color w:val="000000"/>
          <w:shd w:val="clear" w:color="auto" w:fill="FEFEFE"/>
        </w:rPr>
        <w:t xml:space="preserve"> 13 </w:t>
      </w:r>
      <w:proofErr w:type="spellStart"/>
      <w:r w:rsidRPr="00655BDE">
        <w:rPr>
          <w:rFonts w:ascii="Times New Roman" w:hAnsi="Times New Roman" w:cs="Times New Roman"/>
          <w:color w:val="000000"/>
          <w:shd w:val="clear" w:color="auto" w:fill="FEFEFE"/>
        </w:rPr>
        <w:t>Юли</w:t>
      </w:r>
      <w:proofErr w:type="spellEnd"/>
      <w:r w:rsidRPr="00655BDE">
        <w:rPr>
          <w:rFonts w:ascii="Times New Roman" w:hAnsi="Times New Roman" w:cs="Times New Roman"/>
          <w:color w:val="000000"/>
          <w:shd w:val="clear" w:color="auto" w:fill="FEFEFE"/>
        </w:rPr>
        <w:t xml:space="preserve"> 2012г.</w:t>
      </w:r>
      <w:r w:rsidRPr="00655BDE">
        <w:rPr>
          <w:rFonts w:ascii="Times New Roman" w:hAnsi="Times New Roman" w:cs="Times New Roman"/>
          <w:color w:val="000000"/>
          <w:shd w:val="clear" w:color="auto" w:fill="FEFEFE"/>
          <w:lang w:val="bg-BG"/>
        </w:rPr>
        <w:t xml:space="preserve">, </w:t>
      </w:r>
      <w:proofErr w:type="spellStart"/>
      <w:r w:rsidRPr="00655BDE">
        <w:rPr>
          <w:rFonts w:ascii="Times New Roman" w:hAnsi="Times New Roman" w:cs="Times New Roman"/>
          <w:color w:val="000000"/>
          <w:shd w:val="clear" w:color="auto" w:fill="FEFEFE"/>
        </w:rPr>
        <w:t>изм</w:t>
      </w:r>
      <w:proofErr w:type="spellEnd"/>
      <w:r w:rsidRPr="00655BDE">
        <w:rPr>
          <w:rFonts w:ascii="Times New Roman" w:hAnsi="Times New Roman" w:cs="Times New Roman"/>
          <w:color w:val="000000"/>
          <w:shd w:val="clear" w:color="auto" w:fill="FEFEFE"/>
        </w:rPr>
        <w:t xml:space="preserve">. и </w:t>
      </w:r>
      <w:proofErr w:type="spellStart"/>
      <w:r w:rsidRPr="00655BDE">
        <w:rPr>
          <w:rFonts w:ascii="Times New Roman" w:hAnsi="Times New Roman" w:cs="Times New Roman"/>
          <w:color w:val="000000"/>
          <w:shd w:val="clear" w:color="auto" w:fill="FEFEFE"/>
        </w:rPr>
        <w:t>доп</w:t>
      </w:r>
      <w:proofErr w:type="spellEnd"/>
      <w:r w:rsidRPr="00655BDE">
        <w:rPr>
          <w:rFonts w:ascii="Times New Roman" w:hAnsi="Times New Roman" w:cs="Times New Roman"/>
          <w:color w:val="000000"/>
          <w:shd w:val="clear" w:color="auto" w:fill="FEFEFE"/>
        </w:rPr>
        <w:t>. ДВ. бр.19 </w:t>
      </w:r>
      <w:proofErr w:type="spellStart"/>
      <w:r w:rsidRPr="00655BDE">
        <w:rPr>
          <w:rFonts w:ascii="Times New Roman" w:hAnsi="Times New Roman" w:cs="Times New Roman"/>
          <w:color w:val="000000"/>
          <w:shd w:val="clear" w:color="auto" w:fill="FEFEFE"/>
        </w:rPr>
        <w:t>от</w:t>
      </w:r>
      <w:proofErr w:type="spellEnd"/>
      <w:r w:rsidRPr="00655BDE">
        <w:rPr>
          <w:rFonts w:ascii="Times New Roman" w:hAnsi="Times New Roman" w:cs="Times New Roman"/>
          <w:color w:val="000000"/>
          <w:shd w:val="clear" w:color="auto" w:fill="FEFEFE"/>
        </w:rPr>
        <w:t xml:space="preserve"> 5 </w:t>
      </w:r>
      <w:proofErr w:type="spellStart"/>
      <w:r w:rsidRPr="00655BDE">
        <w:rPr>
          <w:rFonts w:ascii="Times New Roman" w:hAnsi="Times New Roman" w:cs="Times New Roman"/>
          <w:color w:val="000000"/>
          <w:shd w:val="clear" w:color="auto" w:fill="FEFEFE"/>
        </w:rPr>
        <w:t>Март</w:t>
      </w:r>
      <w:proofErr w:type="spellEnd"/>
      <w:r w:rsidRPr="00655BDE">
        <w:rPr>
          <w:rFonts w:ascii="Times New Roman" w:hAnsi="Times New Roman" w:cs="Times New Roman"/>
          <w:color w:val="000000"/>
          <w:shd w:val="clear" w:color="auto" w:fill="FEFEFE"/>
        </w:rPr>
        <w:t xml:space="preserve"> 2021г.</w:t>
      </w:r>
      <w:r w:rsidRPr="00655BDE">
        <w:rPr>
          <w:rFonts w:ascii="Times New Roman" w:hAnsi="Times New Roman" w:cs="Times New Roman"/>
          <w:lang w:val="bg-BG"/>
        </w:rPr>
        <w:t xml:space="preserve">) организацията на системите за разделно събиране на </w:t>
      </w:r>
      <w:r w:rsidRPr="00655BDE">
        <w:rPr>
          <w:rFonts w:ascii="Times New Roman" w:hAnsi="Times New Roman" w:cs="Times New Roman"/>
          <w:b/>
          <w:bCs/>
          <w:lang w:val="bg-BG"/>
        </w:rPr>
        <w:t>биоразградими отпадъци</w:t>
      </w:r>
      <w:r w:rsidRPr="00655BDE">
        <w:rPr>
          <w:rFonts w:ascii="Times New Roman" w:hAnsi="Times New Roman" w:cs="Times New Roman"/>
          <w:lang w:val="bg-BG"/>
        </w:rPr>
        <w:t xml:space="preserve">, </w:t>
      </w:r>
      <w:r w:rsidRPr="00655BDE">
        <w:rPr>
          <w:rFonts w:ascii="Times New Roman" w:hAnsi="Times New Roman" w:cs="Times New Roman"/>
          <w:color w:val="000000"/>
          <w:shd w:val="clear" w:color="auto" w:fill="FEFEFE"/>
        </w:rPr>
        <w:t xml:space="preserve">в </w:t>
      </w:r>
      <w:proofErr w:type="spellStart"/>
      <w:r w:rsidRPr="00655BDE">
        <w:rPr>
          <w:rFonts w:ascii="Times New Roman" w:hAnsi="Times New Roman" w:cs="Times New Roman"/>
          <w:color w:val="000000"/>
          <w:shd w:val="clear" w:color="auto" w:fill="FEFEFE"/>
        </w:rPr>
        <w:t>т.ч</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определя</w:t>
      </w:r>
      <w:proofErr w:type="spellEnd"/>
      <w:r w:rsidRPr="00655BDE">
        <w:rPr>
          <w:rFonts w:ascii="Times New Roman" w:hAnsi="Times New Roman" w:cs="Times New Roman"/>
          <w:color w:val="000000"/>
          <w:shd w:val="clear" w:color="auto" w:fill="FEFEFE"/>
          <w:lang w:val="bg-BG"/>
        </w:rPr>
        <w:t>не</w:t>
      </w:r>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местата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за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разполагане</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на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необходимите</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елементи</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на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системата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за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разделно</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събиране</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на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отпадъците</w:t>
      </w:r>
      <w:proofErr w:type="spellEnd"/>
      <w:r w:rsidRPr="00655BDE">
        <w:rPr>
          <w:rFonts w:ascii="Times New Roman" w:hAnsi="Times New Roman" w:cs="Times New Roman"/>
          <w:color w:val="000000"/>
          <w:shd w:val="clear" w:color="auto" w:fill="FEFEFE"/>
        </w:rPr>
        <w:t xml:space="preserve"> и </w:t>
      </w:r>
      <w:proofErr w:type="spellStart"/>
      <w:r w:rsidRPr="00655BDE">
        <w:rPr>
          <w:rFonts w:ascii="Times New Roman" w:hAnsi="Times New Roman" w:cs="Times New Roman"/>
          <w:color w:val="000000"/>
          <w:shd w:val="clear" w:color="auto" w:fill="FEFEFE"/>
        </w:rPr>
        <w:t>предаването</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им</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за</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компостиране</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или</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анаеробно</w:t>
      </w:r>
      <w:proofErr w:type="spellEnd"/>
      <w:r w:rsidRPr="00655BDE">
        <w:rPr>
          <w:rFonts w:ascii="Times New Roman" w:hAnsi="Times New Roman" w:cs="Times New Roman"/>
          <w:color w:val="000000"/>
          <w:shd w:val="clear" w:color="auto" w:fill="FEFEFE"/>
        </w:rPr>
        <w:t xml:space="preserve"> </w:t>
      </w:r>
      <w:proofErr w:type="spellStart"/>
      <w:r w:rsidRPr="00655BDE">
        <w:rPr>
          <w:rFonts w:ascii="Times New Roman" w:hAnsi="Times New Roman" w:cs="Times New Roman"/>
          <w:color w:val="000000"/>
          <w:shd w:val="clear" w:color="auto" w:fill="FEFEFE"/>
        </w:rPr>
        <w:t>разграждане</w:t>
      </w:r>
      <w:proofErr w:type="spellEnd"/>
      <w:r w:rsidRPr="00655BDE">
        <w:rPr>
          <w:rFonts w:ascii="Times New Roman" w:hAnsi="Times New Roman" w:cs="Times New Roman"/>
          <w:color w:val="000000"/>
          <w:shd w:val="clear" w:color="auto" w:fill="FEFEFE"/>
          <w:lang w:val="bg-BG"/>
        </w:rPr>
        <w:t xml:space="preserve"> е в компетенциите на кметовете на общини. В съответствие с целите по чл. 31, ал. 1, т. 2 на същия </w:t>
      </w:r>
      <w:r w:rsidRPr="00655BDE">
        <w:rPr>
          <w:rFonts w:ascii="Times New Roman" w:hAnsi="Times New Roman" w:cs="Times New Roman"/>
          <w:color w:val="000000"/>
          <w:shd w:val="clear" w:color="auto" w:fill="FEFEFE"/>
          <w:lang w:val="bg-BG"/>
        </w:rPr>
        <w:lastRenderedPageBreak/>
        <w:t xml:space="preserve">закон, до 31 декември 2020 г. количеството на депонираните биоразградими битови отпадъци не следва да надвишава 35 на сто от общото количество на същите, образувани в България през 1995 г. </w:t>
      </w:r>
    </w:p>
    <w:p w14:paraId="7ECF3023" w14:textId="77777777" w:rsidR="00D27783" w:rsidRPr="00655BDE" w:rsidRDefault="00D27783" w:rsidP="003E386A">
      <w:pPr>
        <w:autoSpaceDE w:val="0"/>
        <w:autoSpaceDN w:val="0"/>
        <w:adjustRightInd w:val="0"/>
        <w:spacing w:after="120" w:line="276" w:lineRule="auto"/>
        <w:jc w:val="both"/>
        <w:rPr>
          <w:rFonts w:ascii="Times New Roman" w:eastAsia="Times New Roman" w:hAnsi="Times New Roman" w:cs="Times New Roman"/>
        </w:rPr>
      </w:pPr>
      <w:r w:rsidRPr="00655BDE">
        <w:rPr>
          <w:rFonts w:ascii="Times New Roman" w:eastAsia="Times New Roman" w:hAnsi="Times New Roman" w:cs="Times New Roman"/>
        </w:rPr>
        <w:t xml:space="preserve">В </w:t>
      </w:r>
      <w:proofErr w:type="spellStart"/>
      <w:r w:rsidRPr="00655BDE">
        <w:rPr>
          <w:rFonts w:ascii="Times New Roman" w:eastAsia="Times New Roman" w:hAnsi="Times New Roman" w:cs="Times New Roman"/>
        </w:rPr>
        <w:t>страната</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към</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разглеждания</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период</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са</w:t>
      </w:r>
      <w:proofErr w:type="spellEnd"/>
      <w:r w:rsidRPr="00655BDE">
        <w:rPr>
          <w:rFonts w:ascii="Times New Roman" w:eastAsia="Times New Roman" w:hAnsi="Times New Roman" w:cs="Times New Roman"/>
        </w:rPr>
        <w:t xml:space="preserve"> в </w:t>
      </w:r>
      <w:proofErr w:type="spellStart"/>
      <w:r w:rsidRPr="00655BDE">
        <w:rPr>
          <w:rFonts w:ascii="Times New Roman" w:eastAsia="Times New Roman" w:hAnsi="Times New Roman" w:cs="Times New Roman"/>
        </w:rPr>
        <w:t>експлоатация</w:t>
      </w:r>
      <w:proofErr w:type="spellEnd"/>
      <w:r w:rsidRPr="00655BDE">
        <w:rPr>
          <w:rFonts w:ascii="Times New Roman" w:eastAsia="Times New Roman" w:hAnsi="Times New Roman" w:cs="Times New Roman"/>
        </w:rPr>
        <w:t xml:space="preserve"> 22 </w:t>
      </w:r>
      <w:r w:rsidRPr="00655BDE">
        <w:rPr>
          <w:rFonts w:ascii="Times New Roman" w:eastAsia="Times New Roman" w:hAnsi="Times New Roman" w:cs="Times New Roman"/>
          <w:lang w:val="bg-BG"/>
        </w:rPr>
        <w:t>и</w:t>
      </w:r>
      <w:proofErr w:type="spellStart"/>
      <w:r w:rsidRPr="00655BDE">
        <w:rPr>
          <w:rFonts w:ascii="Times New Roman" w:eastAsia="Times New Roman" w:hAnsi="Times New Roman" w:cs="Times New Roman"/>
        </w:rPr>
        <w:t>нсталации</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за</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оползотворяване</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на</w:t>
      </w:r>
      <w:proofErr w:type="spellEnd"/>
      <w:r w:rsidRPr="00655BDE">
        <w:rPr>
          <w:rFonts w:ascii="Times New Roman" w:eastAsia="Times New Roman" w:hAnsi="Times New Roman" w:cs="Times New Roman"/>
        </w:rPr>
        <w:t xml:space="preserve"> </w:t>
      </w:r>
      <w:proofErr w:type="spellStart"/>
      <w:r w:rsidRPr="00655BDE">
        <w:rPr>
          <w:rFonts w:ascii="Times New Roman" w:eastAsia="Times New Roman" w:hAnsi="Times New Roman" w:cs="Times New Roman"/>
        </w:rPr>
        <w:t>биоотпадъци</w:t>
      </w:r>
      <w:proofErr w:type="spellEnd"/>
      <w:r w:rsidRPr="00655BDE">
        <w:rPr>
          <w:rFonts w:ascii="Times New Roman" w:eastAsia="Times New Roman" w:hAnsi="Times New Roman" w:cs="Times New Roman"/>
          <w:lang w:val="bg-BG"/>
        </w:rPr>
        <w:t>.</w:t>
      </w:r>
    </w:p>
    <w:p w14:paraId="6D76AFBD" w14:textId="77777777" w:rsidR="00D27783" w:rsidRPr="00655BDE" w:rsidRDefault="00D27783" w:rsidP="003E386A">
      <w:pPr>
        <w:autoSpaceDE w:val="0"/>
        <w:autoSpaceDN w:val="0"/>
        <w:adjustRightInd w:val="0"/>
        <w:spacing w:after="120" w:line="276" w:lineRule="auto"/>
        <w:jc w:val="both"/>
        <w:rPr>
          <w:rFonts w:ascii="Times New Roman" w:hAnsi="Times New Roman" w:cs="Times New Roman"/>
          <w:lang w:val="bg-BG"/>
        </w:rPr>
      </w:pPr>
      <w:r w:rsidRPr="00655BDE">
        <w:rPr>
          <w:rFonts w:ascii="Times New Roman" w:eastAsia="Times New Roman" w:hAnsi="Times New Roman" w:cs="Times New Roman"/>
          <w:lang w:val="bg-BG"/>
        </w:rPr>
        <w:t xml:space="preserve">В Доклада на ЕК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ранно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предупреждение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държавите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членки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които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изложени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риск</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да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постигнат</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целта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2020 г. </w:t>
      </w:r>
      <w:proofErr w:type="spellStart"/>
      <w:r w:rsidRPr="00655BDE">
        <w:rPr>
          <w:rFonts w:ascii="Times New Roman" w:hAnsi="Times New Roman" w:cs="Times New Roman"/>
        </w:rPr>
        <w:t>по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отношение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целта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подготовката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повторно</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използване</w:t>
      </w:r>
      <w:proofErr w:type="spellEnd"/>
      <w:r w:rsidRPr="00655BDE">
        <w:rPr>
          <w:rFonts w:ascii="Times New Roman" w:hAnsi="Times New Roman" w:cs="Times New Roman"/>
        </w:rPr>
        <w:t>/</w:t>
      </w:r>
      <w:proofErr w:type="spellStart"/>
      <w:r w:rsidRPr="00655BDE">
        <w:rPr>
          <w:rFonts w:ascii="Times New Roman" w:hAnsi="Times New Roman" w:cs="Times New Roman"/>
        </w:rPr>
        <w:t>рециклиране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битовите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отпадъци</w:t>
      </w:r>
      <w:proofErr w:type="spellEnd"/>
      <w:r w:rsidRPr="00655BDE">
        <w:rPr>
          <w:rFonts w:ascii="Times New Roman" w:hAnsi="Times New Roman" w:cs="Times New Roman"/>
          <w:lang w:val="bg-BG"/>
        </w:rPr>
        <w:t xml:space="preserve">, като общ приоритет се извежда въвеждането на </w:t>
      </w:r>
      <w:bookmarkStart w:id="38" w:name="_Hlk72785370"/>
      <w:r w:rsidRPr="00655BDE">
        <w:rPr>
          <w:rFonts w:ascii="Times New Roman" w:hAnsi="Times New Roman" w:cs="Times New Roman"/>
          <w:lang w:val="bg-BG"/>
        </w:rPr>
        <w:t>з</w:t>
      </w:r>
      <w:r w:rsidR="00130927" w:rsidRPr="00655BDE">
        <w:rPr>
          <w:rFonts w:ascii="Times New Roman" w:hAnsi="Times New Roman" w:cs="Times New Roman"/>
          <w:lang w:val="bg-BG"/>
        </w:rPr>
        <w:t>а</w:t>
      </w:r>
      <w:r w:rsidRPr="00655BDE">
        <w:rPr>
          <w:rFonts w:ascii="Times New Roman" w:hAnsi="Times New Roman" w:cs="Times New Roman"/>
          <w:lang w:val="bg-BG"/>
        </w:rPr>
        <w:t xml:space="preserve">дължително разделно събиране на биологични отпадъци и гарантиране, </w:t>
      </w:r>
      <w:proofErr w:type="spellStart"/>
      <w:r w:rsidRPr="00655BDE">
        <w:rPr>
          <w:rFonts w:ascii="Times New Roman" w:hAnsi="Times New Roman" w:cs="Times New Roman"/>
        </w:rPr>
        <w:t>че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планираната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или</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съществуващата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инфраструктура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третиране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съответства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на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системите</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за</w:t>
      </w:r>
      <w:proofErr w:type="spellEnd"/>
      <w:r w:rsidRPr="00655BDE">
        <w:rPr>
          <w:rFonts w:ascii="Times New Roman" w:hAnsi="Times New Roman" w:cs="Times New Roman"/>
        </w:rPr>
        <w:t xml:space="preserve"> </w:t>
      </w:r>
      <w:proofErr w:type="spellStart"/>
      <w:r w:rsidRPr="00655BDE">
        <w:rPr>
          <w:rFonts w:ascii="Times New Roman" w:hAnsi="Times New Roman" w:cs="Times New Roman"/>
        </w:rPr>
        <w:t>събиране</w:t>
      </w:r>
      <w:proofErr w:type="spellEnd"/>
      <w:r w:rsidRPr="00655BDE">
        <w:rPr>
          <w:rFonts w:ascii="Times New Roman" w:hAnsi="Times New Roman" w:cs="Times New Roman"/>
          <w:lang w:val="bg-BG"/>
        </w:rPr>
        <w:t>.</w:t>
      </w:r>
      <w:r w:rsidRPr="00655BDE">
        <w:rPr>
          <w:rStyle w:val="FootnoteReference"/>
          <w:rFonts w:ascii="Times New Roman" w:hAnsi="Times New Roman" w:cs="Times New Roman"/>
          <w:lang w:val="bg-BG"/>
        </w:rPr>
        <w:footnoteReference w:id="13"/>
      </w:r>
    </w:p>
    <w:bookmarkEnd w:id="38"/>
    <w:p w14:paraId="7D40DDC4" w14:textId="77777777" w:rsidR="00D27783" w:rsidRPr="00655BDE" w:rsidRDefault="00D27783" w:rsidP="00D27783">
      <w:pPr>
        <w:spacing w:line="276" w:lineRule="auto"/>
        <w:jc w:val="both"/>
        <w:rPr>
          <w:rFonts w:ascii="Times New Roman" w:hAnsi="Times New Roman" w:cs="Times New Roman"/>
          <w:lang w:val="bg-BG"/>
        </w:rPr>
      </w:pPr>
      <w:r w:rsidRPr="00655BDE">
        <w:rPr>
          <w:rFonts w:ascii="Times New Roman" w:hAnsi="Times New Roman" w:cs="Times New Roman"/>
          <w:lang w:val="bg-BG"/>
        </w:rPr>
        <w:t xml:space="preserve">Общо предадените за оползотворяване </w:t>
      </w:r>
      <w:r w:rsidRPr="00655BDE">
        <w:rPr>
          <w:rFonts w:ascii="Times New Roman" w:hAnsi="Times New Roman" w:cs="Times New Roman"/>
          <w:b/>
          <w:bCs/>
          <w:lang w:val="bg-BG"/>
        </w:rPr>
        <w:t>производствени и опасни отпадъци</w:t>
      </w:r>
      <w:r w:rsidRPr="00655BDE">
        <w:rPr>
          <w:rFonts w:ascii="Times New Roman" w:hAnsi="Times New Roman" w:cs="Times New Roman"/>
          <w:lang w:val="bg-BG"/>
        </w:rPr>
        <w:t xml:space="preserve"> за 2018 г. възлизат на 3 059 880 тона или 2.43% от общото количество, а за обезвреждане – 9 574 359 т. или 7.59%. С най-голям дял са минералните отпадъци – 75.08% и на отпадъците от горивни процеси – 11.98%.</w:t>
      </w:r>
    </w:p>
    <w:p w14:paraId="3C88AF00" w14:textId="77777777" w:rsidR="00D27783" w:rsidRPr="00F834BF" w:rsidRDefault="00F834BF" w:rsidP="00F834BF">
      <w:pPr>
        <w:pStyle w:val="Caption"/>
        <w:keepNext/>
        <w:rPr>
          <w:rFonts w:ascii="Times New Roman" w:hAnsi="Times New Roman" w:cs="Times New Roman"/>
          <w:b w:val="0"/>
          <w:bCs w:val="0"/>
          <w:i/>
          <w:iCs/>
          <w:color w:val="auto"/>
          <w:sz w:val="22"/>
          <w:szCs w:val="22"/>
          <w:lang w:val="bg-BG"/>
        </w:rPr>
      </w:pPr>
      <w:bookmarkStart w:id="39" w:name="_Toc72919686"/>
      <w:r w:rsidRPr="00F834BF">
        <w:rPr>
          <w:rFonts w:ascii="Times New Roman" w:hAnsi="Times New Roman" w:cs="Times New Roman"/>
          <w:b w:val="0"/>
          <w:bCs w:val="0"/>
          <w:i/>
          <w:iCs/>
          <w:color w:val="auto"/>
          <w:sz w:val="22"/>
          <w:szCs w:val="22"/>
          <w:lang w:val="bg-BG"/>
        </w:rPr>
        <w:t xml:space="preserve">Фигура </w:t>
      </w:r>
      <w:r w:rsidRPr="00F834BF">
        <w:rPr>
          <w:rFonts w:ascii="Times New Roman" w:hAnsi="Times New Roman" w:cs="Times New Roman"/>
          <w:b w:val="0"/>
          <w:bCs w:val="0"/>
          <w:i/>
          <w:iCs/>
          <w:color w:val="auto"/>
          <w:sz w:val="22"/>
          <w:szCs w:val="22"/>
          <w:lang w:val="bg-BG"/>
        </w:rPr>
        <w:fldChar w:fldCharType="begin"/>
      </w:r>
      <w:r w:rsidRPr="00F834BF">
        <w:rPr>
          <w:rFonts w:ascii="Times New Roman" w:hAnsi="Times New Roman" w:cs="Times New Roman"/>
          <w:b w:val="0"/>
          <w:bCs w:val="0"/>
          <w:i/>
          <w:iCs/>
          <w:color w:val="auto"/>
          <w:sz w:val="22"/>
          <w:szCs w:val="22"/>
          <w:lang w:val="bg-BG"/>
        </w:rPr>
        <w:instrText xml:space="preserve"> SEQ Фигура \* ARABIC </w:instrText>
      </w:r>
      <w:r w:rsidRPr="00F834BF">
        <w:rPr>
          <w:rFonts w:ascii="Times New Roman" w:hAnsi="Times New Roman" w:cs="Times New Roman"/>
          <w:b w:val="0"/>
          <w:bCs w:val="0"/>
          <w:i/>
          <w:iCs/>
          <w:color w:val="auto"/>
          <w:sz w:val="22"/>
          <w:szCs w:val="22"/>
          <w:lang w:val="bg-BG"/>
        </w:rPr>
        <w:fldChar w:fldCharType="separate"/>
      </w:r>
      <w:r w:rsidR="00AF353F">
        <w:rPr>
          <w:rFonts w:ascii="Times New Roman" w:hAnsi="Times New Roman" w:cs="Times New Roman"/>
          <w:b w:val="0"/>
          <w:bCs w:val="0"/>
          <w:i/>
          <w:iCs/>
          <w:noProof/>
          <w:color w:val="auto"/>
          <w:sz w:val="22"/>
          <w:szCs w:val="22"/>
          <w:lang w:val="bg-BG"/>
        </w:rPr>
        <w:t>5</w:t>
      </w:r>
      <w:r w:rsidRPr="00F834BF">
        <w:rPr>
          <w:rFonts w:ascii="Times New Roman" w:hAnsi="Times New Roman" w:cs="Times New Roman"/>
          <w:b w:val="0"/>
          <w:bCs w:val="0"/>
          <w:i/>
          <w:iCs/>
          <w:color w:val="auto"/>
          <w:sz w:val="22"/>
          <w:szCs w:val="22"/>
          <w:lang w:val="bg-BG"/>
        </w:rPr>
        <w:fldChar w:fldCharType="end"/>
      </w:r>
      <w:r w:rsidR="00D27783" w:rsidRPr="00F834BF">
        <w:rPr>
          <w:rFonts w:ascii="Times New Roman" w:hAnsi="Times New Roman" w:cs="Times New Roman"/>
          <w:b w:val="0"/>
          <w:bCs w:val="0"/>
          <w:i/>
          <w:iCs/>
          <w:noProof/>
          <w:color w:val="auto"/>
          <w:sz w:val="22"/>
          <w:szCs w:val="22"/>
          <w:lang w:val="bg-BG" w:eastAsia="bg-BG"/>
        </w:rPr>
        <w:drawing>
          <wp:anchor distT="0" distB="0" distL="114300" distR="114300" simplePos="0" relativeHeight="251671552" behindDoc="0" locked="0" layoutInCell="1" allowOverlap="1" wp14:anchorId="67B7D15A" wp14:editId="11E7543F">
            <wp:simplePos x="0" y="0"/>
            <wp:positionH relativeFrom="column">
              <wp:posOffset>12700</wp:posOffset>
            </wp:positionH>
            <wp:positionV relativeFrom="paragraph">
              <wp:posOffset>254635</wp:posOffset>
            </wp:positionV>
            <wp:extent cx="5810250" cy="2203450"/>
            <wp:effectExtent l="0" t="0" r="19050" b="25400"/>
            <wp:wrapNone/>
            <wp:docPr id="7" name="Chart 7">
              <a:extLst xmlns:a="http://schemas.openxmlformats.org/drawingml/2006/main">
                <a:ext uri="{FF2B5EF4-FFF2-40B4-BE49-F238E27FC236}">
                  <a16:creationId xmlns:a16="http://schemas.microsoft.com/office/drawing/2014/main" id="{4716D692-0300-41B9-80FF-93E8BEC9EE2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D27783" w:rsidRPr="00F834BF">
        <w:rPr>
          <w:rFonts w:ascii="Times New Roman" w:hAnsi="Times New Roman" w:cs="Times New Roman"/>
          <w:b w:val="0"/>
          <w:bCs w:val="0"/>
          <w:i/>
          <w:iCs/>
          <w:color w:val="auto"/>
          <w:sz w:val="22"/>
          <w:szCs w:val="22"/>
          <w:lang w:val="bg-BG"/>
        </w:rPr>
        <w:t xml:space="preserve"> Образувани производствени и опасни отпадъци (третиране), 2018 г.</w:t>
      </w:r>
      <w:bookmarkEnd w:id="39"/>
    </w:p>
    <w:p w14:paraId="62AE6425" w14:textId="77777777" w:rsidR="00D27783" w:rsidRPr="002A5B6B" w:rsidRDefault="00D27783" w:rsidP="00D27783">
      <w:pPr>
        <w:rPr>
          <w:lang w:val="bg-BG"/>
        </w:rPr>
      </w:pPr>
    </w:p>
    <w:p w14:paraId="5744D4C7" w14:textId="77777777" w:rsidR="00D27783" w:rsidRPr="002A5B6B" w:rsidRDefault="00D27783" w:rsidP="00D27783">
      <w:pPr>
        <w:rPr>
          <w:lang w:val="bg-BG"/>
        </w:rPr>
      </w:pPr>
    </w:p>
    <w:p w14:paraId="06A3C15F" w14:textId="77777777" w:rsidR="00D27783" w:rsidRPr="002A5B6B" w:rsidRDefault="00D27783" w:rsidP="00D27783">
      <w:pPr>
        <w:rPr>
          <w:lang w:val="bg-BG"/>
        </w:rPr>
      </w:pPr>
    </w:p>
    <w:p w14:paraId="533DFC47" w14:textId="77777777" w:rsidR="00D27783" w:rsidRPr="002A5B6B" w:rsidRDefault="00D27783" w:rsidP="00D27783">
      <w:pPr>
        <w:rPr>
          <w:lang w:val="bg-BG"/>
        </w:rPr>
      </w:pPr>
    </w:p>
    <w:p w14:paraId="0C04146D" w14:textId="77777777" w:rsidR="00D27783" w:rsidRPr="002A5B6B" w:rsidRDefault="00D27783" w:rsidP="00D27783">
      <w:pPr>
        <w:rPr>
          <w:lang w:val="bg-BG"/>
        </w:rPr>
      </w:pPr>
    </w:p>
    <w:p w14:paraId="13904AE7" w14:textId="77777777" w:rsidR="00D27783" w:rsidRPr="002A5B6B" w:rsidRDefault="00D27783" w:rsidP="00D27783">
      <w:pPr>
        <w:rPr>
          <w:lang w:val="bg-BG"/>
        </w:rPr>
      </w:pPr>
    </w:p>
    <w:p w14:paraId="21964754" w14:textId="77777777" w:rsidR="003E386A" w:rsidRDefault="003E386A" w:rsidP="00D27783">
      <w:pPr>
        <w:rPr>
          <w:rFonts w:ascii="Times New Roman" w:hAnsi="Times New Roman" w:cs="Times New Roman"/>
          <w:i/>
          <w:iCs/>
          <w:lang w:val="bg-BG"/>
        </w:rPr>
      </w:pPr>
    </w:p>
    <w:p w14:paraId="1D3B18F7" w14:textId="77777777" w:rsidR="003E386A" w:rsidRDefault="003E386A" w:rsidP="00D27783">
      <w:pPr>
        <w:rPr>
          <w:rFonts w:ascii="Times New Roman" w:hAnsi="Times New Roman" w:cs="Times New Roman"/>
          <w:i/>
          <w:iCs/>
          <w:lang w:val="bg-BG"/>
        </w:rPr>
      </w:pPr>
    </w:p>
    <w:p w14:paraId="7F397F16" w14:textId="77777777" w:rsidR="00D27783" w:rsidRPr="002A5B6B" w:rsidRDefault="00D27783" w:rsidP="00D27783">
      <w:pPr>
        <w:rPr>
          <w:rFonts w:ascii="Times New Roman" w:hAnsi="Times New Roman" w:cs="Times New Roman"/>
          <w:i/>
          <w:iCs/>
          <w:lang w:val="bg-BG"/>
        </w:rPr>
      </w:pPr>
      <w:r w:rsidRPr="002A5B6B">
        <w:rPr>
          <w:rFonts w:ascii="Times New Roman" w:hAnsi="Times New Roman" w:cs="Times New Roman"/>
          <w:i/>
          <w:iCs/>
          <w:lang w:val="bg-BG"/>
        </w:rPr>
        <w:t>Източник: НСИ</w:t>
      </w:r>
    </w:p>
    <w:p w14:paraId="5BCD7A82" w14:textId="77777777" w:rsidR="007551DB" w:rsidRPr="00655BDE" w:rsidRDefault="007551DB"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Средното количество образувани опасни отпадъци на година възлиза на над 133 000 000 тона. Предадените за оползотворяване представляват незначителен дял от 0.27%.</w:t>
      </w:r>
    </w:p>
    <w:p w14:paraId="74E1AF74" w14:textId="77777777" w:rsidR="00D27783" w:rsidRDefault="00D27783"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b/>
          <w:bCs/>
          <w:lang w:val="bg-BG"/>
        </w:rPr>
        <w:t>Строителните отпадъци</w:t>
      </w:r>
      <w:r w:rsidRPr="00655BDE">
        <w:rPr>
          <w:rFonts w:ascii="Times New Roman" w:eastAsia="Times New Roman" w:hAnsi="Times New Roman" w:cs="Times New Roman"/>
          <w:lang w:val="bg-BG"/>
        </w:rPr>
        <w:t xml:space="preserve"> са със сравнително малък относителен дял от образуваните производствени отпадъци.</w:t>
      </w:r>
    </w:p>
    <w:p w14:paraId="1114FA5E" w14:textId="77777777" w:rsidR="00D27783" w:rsidRPr="00F834BF" w:rsidRDefault="00F834BF" w:rsidP="00F834BF">
      <w:pPr>
        <w:pStyle w:val="Caption"/>
        <w:jc w:val="both"/>
        <w:rPr>
          <w:rFonts w:ascii="Times New Roman" w:eastAsia="Times New Roman" w:hAnsi="Times New Roman" w:cs="Times New Roman"/>
          <w:b w:val="0"/>
          <w:bCs w:val="0"/>
          <w:i/>
          <w:color w:val="auto"/>
          <w:sz w:val="22"/>
          <w:szCs w:val="22"/>
          <w:lang w:val="bg-BG"/>
        </w:rPr>
      </w:pPr>
      <w:bookmarkStart w:id="40" w:name="_Toc72919668"/>
      <w:r w:rsidRPr="00F834BF">
        <w:rPr>
          <w:rFonts w:ascii="Times New Roman" w:eastAsia="Times New Roman" w:hAnsi="Times New Roman" w:cs="Times New Roman"/>
          <w:b w:val="0"/>
          <w:bCs w:val="0"/>
          <w:i/>
          <w:color w:val="auto"/>
          <w:sz w:val="22"/>
          <w:szCs w:val="22"/>
          <w:lang w:val="bg-BG"/>
        </w:rPr>
        <w:t xml:space="preserve">Таблица </w:t>
      </w:r>
      <w:r w:rsidRPr="00F834BF">
        <w:rPr>
          <w:rFonts w:ascii="Times New Roman" w:eastAsia="Times New Roman" w:hAnsi="Times New Roman" w:cs="Times New Roman"/>
          <w:b w:val="0"/>
          <w:bCs w:val="0"/>
          <w:i/>
          <w:color w:val="auto"/>
          <w:sz w:val="22"/>
          <w:szCs w:val="22"/>
          <w:lang w:val="bg-BG"/>
        </w:rPr>
        <w:fldChar w:fldCharType="begin"/>
      </w:r>
      <w:r w:rsidRPr="00F834BF">
        <w:rPr>
          <w:rFonts w:ascii="Times New Roman" w:eastAsia="Times New Roman" w:hAnsi="Times New Roman" w:cs="Times New Roman"/>
          <w:b w:val="0"/>
          <w:bCs w:val="0"/>
          <w:i/>
          <w:color w:val="auto"/>
          <w:sz w:val="22"/>
          <w:szCs w:val="22"/>
          <w:lang w:val="bg-BG"/>
        </w:rPr>
        <w:instrText xml:space="preserve"> SEQ Таблица \* ARABIC </w:instrText>
      </w:r>
      <w:r w:rsidRPr="00F834B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9</w:t>
      </w:r>
      <w:r w:rsidRPr="00F834BF">
        <w:rPr>
          <w:rFonts w:ascii="Times New Roman" w:eastAsia="Times New Roman" w:hAnsi="Times New Roman" w:cs="Times New Roman"/>
          <w:b w:val="0"/>
          <w:bCs w:val="0"/>
          <w:i/>
          <w:color w:val="auto"/>
          <w:sz w:val="22"/>
          <w:szCs w:val="22"/>
          <w:lang w:val="bg-BG"/>
        </w:rPr>
        <w:fldChar w:fldCharType="end"/>
      </w:r>
      <w:r w:rsidR="00D27783" w:rsidRPr="00F834BF">
        <w:rPr>
          <w:rFonts w:ascii="Times New Roman" w:eastAsia="Times New Roman" w:hAnsi="Times New Roman" w:cs="Times New Roman"/>
          <w:b w:val="0"/>
          <w:bCs w:val="0"/>
          <w:i/>
          <w:color w:val="auto"/>
          <w:sz w:val="22"/>
          <w:szCs w:val="22"/>
          <w:lang w:val="bg-BG"/>
        </w:rPr>
        <w:t xml:space="preserve"> Дял на строителните отпадъци от общото количество образувани производствени отпадъци</w:t>
      </w:r>
      <w:bookmarkEnd w:id="40"/>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1234"/>
        <w:gridCol w:w="1260"/>
        <w:gridCol w:w="1260"/>
        <w:gridCol w:w="1208"/>
        <w:gridCol w:w="1312"/>
      </w:tblGrid>
      <w:tr w:rsidR="00D27783" w:rsidRPr="00453570" w14:paraId="24E3E685" w14:textId="77777777" w:rsidTr="00D27783">
        <w:trPr>
          <w:trHeight w:val="290"/>
        </w:trPr>
        <w:tc>
          <w:tcPr>
            <w:tcW w:w="3171" w:type="dxa"/>
            <w:shd w:val="clear" w:color="000000" w:fill="4669AF"/>
            <w:noWrap/>
            <w:vAlign w:val="center"/>
            <w:hideMark/>
          </w:tcPr>
          <w:p w14:paraId="6CD59A20"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proofErr w:type="spellStart"/>
            <w:r w:rsidRPr="00536E7C">
              <w:rPr>
                <w:rFonts w:ascii="Times New Roman" w:eastAsia="Times New Roman" w:hAnsi="Times New Roman" w:cs="Times New Roman"/>
                <w:b/>
                <w:bCs/>
                <w:color w:val="FFFFFF"/>
                <w:sz w:val="20"/>
                <w:szCs w:val="20"/>
              </w:rPr>
              <w:t>Вид</w:t>
            </w:r>
            <w:proofErr w:type="spellEnd"/>
            <w:r w:rsidRPr="00536E7C">
              <w:rPr>
                <w:rFonts w:ascii="Times New Roman" w:eastAsia="Times New Roman" w:hAnsi="Times New Roman" w:cs="Times New Roman"/>
                <w:b/>
                <w:bCs/>
                <w:color w:val="FFFFFF"/>
                <w:sz w:val="20"/>
                <w:szCs w:val="20"/>
              </w:rPr>
              <w:t xml:space="preserve"> </w:t>
            </w:r>
            <w:proofErr w:type="spellStart"/>
            <w:r w:rsidRPr="00536E7C">
              <w:rPr>
                <w:rFonts w:ascii="Times New Roman" w:eastAsia="Times New Roman" w:hAnsi="Times New Roman" w:cs="Times New Roman"/>
                <w:b/>
                <w:bCs/>
                <w:color w:val="FFFFFF"/>
                <w:sz w:val="20"/>
                <w:szCs w:val="20"/>
              </w:rPr>
              <w:t>дейност</w:t>
            </w:r>
            <w:proofErr w:type="spellEnd"/>
          </w:p>
        </w:tc>
        <w:tc>
          <w:tcPr>
            <w:tcW w:w="1234" w:type="dxa"/>
            <w:shd w:val="clear" w:color="000000" w:fill="4669AF"/>
            <w:noWrap/>
            <w:vAlign w:val="center"/>
            <w:hideMark/>
          </w:tcPr>
          <w:p w14:paraId="59869D62"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r w:rsidRPr="00536E7C">
              <w:rPr>
                <w:rFonts w:ascii="Times New Roman" w:eastAsia="Times New Roman" w:hAnsi="Times New Roman" w:cs="Times New Roman"/>
                <w:b/>
                <w:bCs/>
                <w:color w:val="FFFFFF"/>
                <w:sz w:val="20"/>
                <w:szCs w:val="20"/>
              </w:rPr>
              <w:t>2010</w:t>
            </w:r>
          </w:p>
        </w:tc>
        <w:tc>
          <w:tcPr>
            <w:tcW w:w="1260" w:type="dxa"/>
            <w:shd w:val="clear" w:color="000000" w:fill="4669AF"/>
            <w:noWrap/>
            <w:vAlign w:val="center"/>
            <w:hideMark/>
          </w:tcPr>
          <w:p w14:paraId="1C5097D7"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r w:rsidRPr="00536E7C">
              <w:rPr>
                <w:rFonts w:ascii="Times New Roman" w:eastAsia="Times New Roman" w:hAnsi="Times New Roman" w:cs="Times New Roman"/>
                <w:b/>
                <w:bCs/>
                <w:color w:val="FFFFFF"/>
                <w:sz w:val="20"/>
                <w:szCs w:val="20"/>
              </w:rPr>
              <w:t>2012</w:t>
            </w:r>
          </w:p>
        </w:tc>
        <w:tc>
          <w:tcPr>
            <w:tcW w:w="1260" w:type="dxa"/>
            <w:shd w:val="clear" w:color="000000" w:fill="4669AF"/>
            <w:noWrap/>
            <w:vAlign w:val="center"/>
            <w:hideMark/>
          </w:tcPr>
          <w:p w14:paraId="5ADDC169"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r w:rsidRPr="00536E7C">
              <w:rPr>
                <w:rFonts w:ascii="Times New Roman" w:eastAsia="Times New Roman" w:hAnsi="Times New Roman" w:cs="Times New Roman"/>
                <w:b/>
                <w:bCs/>
                <w:color w:val="FFFFFF"/>
                <w:sz w:val="20"/>
                <w:szCs w:val="20"/>
              </w:rPr>
              <w:t>2014</w:t>
            </w:r>
          </w:p>
        </w:tc>
        <w:tc>
          <w:tcPr>
            <w:tcW w:w="1208" w:type="dxa"/>
            <w:shd w:val="clear" w:color="000000" w:fill="4669AF"/>
            <w:noWrap/>
            <w:vAlign w:val="center"/>
            <w:hideMark/>
          </w:tcPr>
          <w:p w14:paraId="0851BCBA"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r w:rsidRPr="00536E7C">
              <w:rPr>
                <w:rFonts w:ascii="Times New Roman" w:eastAsia="Times New Roman" w:hAnsi="Times New Roman" w:cs="Times New Roman"/>
                <w:b/>
                <w:bCs/>
                <w:color w:val="FFFFFF"/>
                <w:sz w:val="20"/>
                <w:szCs w:val="20"/>
              </w:rPr>
              <w:t>2016</w:t>
            </w:r>
          </w:p>
        </w:tc>
        <w:tc>
          <w:tcPr>
            <w:tcW w:w="1312" w:type="dxa"/>
            <w:shd w:val="clear" w:color="000000" w:fill="4669AF"/>
            <w:noWrap/>
            <w:vAlign w:val="center"/>
            <w:hideMark/>
          </w:tcPr>
          <w:p w14:paraId="42C1EE68" w14:textId="77777777" w:rsidR="00D27783" w:rsidRPr="00536E7C" w:rsidRDefault="00D27783" w:rsidP="00D27783">
            <w:pPr>
              <w:spacing w:after="0" w:line="240" w:lineRule="auto"/>
              <w:rPr>
                <w:rFonts w:ascii="Times New Roman" w:eastAsia="Times New Roman" w:hAnsi="Times New Roman" w:cs="Times New Roman"/>
                <w:b/>
                <w:bCs/>
                <w:color w:val="FFFFFF"/>
                <w:sz w:val="20"/>
                <w:szCs w:val="20"/>
              </w:rPr>
            </w:pPr>
            <w:r w:rsidRPr="00536E7C">
              <w:rPr>
                <w:rFonts w:ascii="Times New Roman" w:eastAsia="Times New Roman" w:hAnsi="Times New Roman" w:cs="Times New Roman"/>
                <w:b/>
                <w:bCs/>
                <w:color w:val="FFFFFF"/>
                <w:sz w:val="20"/>
                <w:szCs w:val="20"/>
              </w:rPr>
              <w:t>2018</w:t>
            </w:r>
          </w:p>
        </w:tc>
      </w:tr>
      <w:tr w:rsidR="00D27783" w:rsidRPr="00453570" w14:paraId="6E00996A" w14:textId="77777777" w:rsidTr="00D27783">
        <w:trPr>
          <w:trHeight w:val="290"/>
        </w:trPr>
        <w:tc>
          <w:tcPr>
            <w:tcW w:w="3171" w:type="dxa"/>
            <w:shd w:val="clear" w:color="000000" w:fill="DCE6F1"/>
            <w:noWrap/>
            <w:hideMark/>
          </w:tcPr>
          <w:p w14:paraId="560F54E1"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Селско</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горско</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рибно</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стопанство</w:t>
            </w:r>
            <w:proofErr w:type="spellEnd"/>
          </w:p>
        </w:tc>
        <w:tc>
          <w:tcPr>
            <w:tcW w:w="1234" w:type="dxa"/>
            <w:shd w:val="clear" w:color="auto" w:fill="auto"/>
            <w:noWrap/>
            <w:hideMark/>
          </w:tcPr>
          <w:p w14:paraId="25383067"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618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107</w:t>
            </w:r>
          </w:p>
        </w:tc>
        <w:tc>
          <w:tcPr>
            <w:tcW w:w="1260" w:type="dxa"/>
            <w:shd w:val="clear" w:color="auto" w:fill="auto"/>
            <w:noWrap/>
            <w:hideMark/>
          </w:tcPr>
          <w:p w14:paraId="77A5B22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903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119</w:t>
            </w:r>
          </w:p>
        </w:tc>
        <w:tc>
          <w:tcPr>
            <w:tcW w:w="1260" w:type="dxa"/>
            <w:shd w:val="clear" w:color="auto" w:fill="auto"/>
            <w:noWrap/>
            <w:hideMark/>
          </w:tcPr>
          <w:p w14:paraId="2AAFD6F0"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835</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401</w:t>
            </w:r>
          </w:p>
        </w:tc>
        <w:tc>
          <w:tcPr>
            <w:tcW w:w="1208" w:type="dxa"/>
            <w:shd w:val="clear" w:color="auto" w:fill="auto"/>
            <w:noWrap/>
            <w:hideMark/>
          </w:tcPr>
          <w:p w14:paraId="36D57028"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617</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689</w:t>
            </w:r>
          </w:p>
        </w:tc>
        <w:tc>
          <w:tcPr>
            <w:tcW w:w="1312" w:type="dxa"/>
            <w:shd w:val="clear" w:color="auto" w:fill="auto"/>
            <w:noWrap/>
            <w:hideMark/>
          </w:tcPr>
          <w:p w14:paraId="353C8680"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308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760</w:t>
            </w:r>
          </w:p>
        </w:tc>
      </w:tr>
      <w:tr w:rsidR="00D27783" w:rsidRPr="00453570" w14:paraId="7367A91D" w14:textId="77777777" w:rsidTr="00D27783">
        <w:trPr>
          <w:trHeight w:val="290"/>
        </w:trPr>
        <w:tc>
          <w:tcPr>
            <w:tcW w:w="3171" w:type="dxa"/>
            <w:shd w:val="clear" w:color="000000" w:fill="DCE6F1"/>
            <w:noWrap/>
            <w:hideMark/>
          </w:tcPr>
          <w:p w14:paraId="280A6B3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lastRenderedPageBreak/>
              <w:t>Добивна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Промишленост</w:t>
            </w:r>
            <w:proofErr w:type="spellEnd"/>
          </w:p>
        </w:tc>
        <w:tc>
          <w:tcPr>
            <w:tcW w:w="1234" w:type="dxa"/>
            <w:shd w:val="clear" w:color="auto" w:fill="auto"/>
            <w:noWrap/>
            <w:hideMark/>
          </w:tcPr>
          <w:p w14:paraId="32BF486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150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214</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030</w:t>
            </w:r>
          </w:p>
        </w:tc>
        <w:tc>
          <w:tcPr>
            <w:tcW w:w="1260" w:type="dxa"/>
            <w:shd w:val="clear" w:color="auto" w:fill="auto"/>
            <w:noWrap/>
            <w:hideMark/>
          </w:tcPr>
          <w:p w14:paraId="6F48D507"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141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082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596</w:t>
            </w:r>
          </w:p>
        </w:tc>
        <w:tc>
          <w:tcPr>
            <w:tcW w:w="1260" w:type="dxa"/>
            <w:shd w:val="clear" w:color="auto" w:fill="auto"/>
            <w:noWrap/>
            <w:hideMark/>
          </w:tcPr>
          <w:p w14:paraId="5821704B"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159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280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382</w:t>
            </w:r>
          </w:p>
        </w:tc>
        <w:tc>
          <w:tcPr>
            <w:tcW w:w="1208" w:type="dxa"/>
            <w:shd w:val="clear" w:color="auto" w:fill="auto"/>
            <w:noWrap/>
            <w:hideMark/>
          </w:tcPr>
          <w:p w14:paraId="15DDC5B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716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372</w:t>
            </w:r>
          </w:p>
        </w:tc>
        <w:tc>
          <w:tcPr>
            <w:tcW w:w="1312" w:type="dxa"/>
            <w:shd w:val="clear" w:color="auto" w:fill="auto"/>
            <w:noWrap/>
            <w:hideMark/>
          </w:tcPr>
          <w:p w14:paraId="77F7AAF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106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869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152</w:t>
            </w:r>
          </w:p>
        </w:tc>
      </w:tr>
      <w:tr w:rsidR="00D27783" w:rsidRPr="00453570" w14:paraId="12B7144B" w14:textId="77777777" w:rsidTr="00D27783">
        <w:trPr>
          <w:trHeight w:val="290"/>
        </w:trPr>
        <w:tc>
          <w:tcPr>
            <w:tcW w:w="3171" w:type="dxa"/>
            <w:shd w:val="clear" w:color="000000" w:fill="DCE6F1"/>
            <w:noWrap/>
            <w:hideMark/>
          </w:tcPr>
          <w:p w14:paraId="6ACFAB74"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Преработваща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промишленост</w:t>
            </w:r>
            <w:proofErr w:type="spellEnd"/>
          </w:p>
        </w:tc>
        <w:tc>
          <w:tcPr>
            <w:tcW w:w="1234" w:type="dxa"/>
            <w:shd w:val="clear" w:color="auto" w:fill="auto"/>
            <w:noWrap/>
            <w:hideMark/>
          </w:tcPr>
          <w:p w14:paraId="3BF16CF7"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306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468</w:t>
            </w:r>
          </w:p>
        </w:tc>
        <w:tc>
          <w:tcPr>
            <w:tcW w:w="1260" w:type="dxa"/>
            <w:shd w:val="clear" w:color="auto" w:fill="auto"/>
            <w:noWrap/>
            <w:hideMark/>
          </w:tcPr>
          <w:p w14:paraId="37EE01E5"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008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673</w:t>
            </w:r>
          </w:p>
        </w:tc>
        <w:tc>
          <w:tcPr>
            <w:tcW w:w="1260" w:type="dxa"/>
            <w:shd w:val="clear" w:color="auto" w:fill="auto"/>
            <w:noWrap/>
            <w:hideMark/>
          </w:tcPr>
          <w:p w14:paraId="40CB7094"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274</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860</w:t>
            </w:r>
          </w:p>
        </w:tc>
        <w:tc>
          <w:tcPr>
            <w:tcW w:w="1208" w:type="dxa"/>
            <w:shd w:val="clear" w:color="auto" w:fill="auto"/>
            <w:noWrap/>
            <w:hideMark/>
          </w:tcPr>
          <w:p w14:paraId="57AAB50E"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469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171</w:t>
            </w:r>
          </w:p>
        </w:tc>
        <w:tc>
          <w:tcPr>
            <w:tcW w:w="1312" w:type="dxa"/>
            <w:shd w:val="clear" w:color="auto" w:fill="auto"/>
            <w:noWrap/>
            <w:hideMark/>
          </w:tcPr>
          <w:p w14:paraId="4AF0CB61"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542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668</w:t>
            </w:r>
          </w:p>
        </w:tc>
      </w:tr>
      <w:tr w:rsidR="00D27783" w:rsidRPr="00453570" w14:paraId="1F7F24F6" w14:textId="77777777" w:rsidTr="00D27783">
        <w:trPr>
          <w:trHeight w:val="290"/>
        </w:trPr>
        <w:tc>
          <w:tcPr>
            <w:tcW w:w="3171" w:type="dxa"/>
            <w:shd w:val="clear" w:color="000000" w:fill="DCE6F1"/>
            <w:noWrap/>
            <w:hideMark/>
          </w:tcPr>
          <w:p w14:paraId="149242B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Производство</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разпределение</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енергия</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горива</w:t>
            </w:r>
            <w:proofErr w:type="spellEnd"/>
          </w:p>
        </w:tc>
        <w:tc>
          <w:tcPr>
            <w:tcW w:w="1234" w:type="dxa"/>
            <w:shd w:val="clear" w:color="auto" w:fill="auto"/>
            <w:noWrap/>
            <w:hideMark/>
          </w:tcPr>
          <w:p w14:paraId="4A16F6B2"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032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225</w:t>
            </w:r>
          </w:p>
        </w:tc>
        <w:tc>
          <w:tcPr>
            <w:tcW w:w="1260" w:type="dxa"/>
            <w:shd w:val="clear" w:color="auto" w:fill="auto"/>
            <w:noWrap/>
            <w:hideMark/>
          </w:tcPr>
          <w:p w14:paraId="6E02E0AE"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532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587</w:t>
            </w:r>
          </w:p>
        </w:tc>
        <w:tc>
          <w:tcPr>
            <w:tcW w:w="1260" w:type="dxa"/>
            <w:shd w:val="clear" w:color="auto" w:fill="auto"/>
            <w:noWrap/>
            <w:hideMark/>
          </w:tcPr>
          <w:p w14:paraId="7F726121"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105</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116</w:t>
            </w:r>
          </w:p>
        </w:tc>
        <w:tc>
          <w:tcPr>
            <w:tcW w:w="1208" w:type="dxa"/>
            <w:shd w:val="clear" w:color="auto" w:fill="auto"/>
            <w:noWrap/>
            <w:hideMark/>
          </w:tcPr>
          <w:p w14:paraId="62051ACF"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522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952</w:t>
            </w:r>
          </w:p>
        </w:tc>
        <w:tc>
          <w:tcPr>
            <w:tcW w:w="1312" w:type="dxa"/>
            <w:shd w:val="clear" w:color="auto" w:fill="auto"/>
            <w:noWrap/>
            <w:hideMark/>
          </w:tcPr>
          <w:p w14:paraId="78E25FB9"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979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172</w:t>
            </w:r>
          </w:p>
        </w:tc>
      </w:tr>
      <w:tr w:rsidR="00D27783" w:rsidRPr="00453570" w14:paraId="75C54B22" w14:textId="77777777" w:rsidTr="00D27783">
        <w:trPr>
          <w:trHeight w:val="690"/>
        </w:trPr>
        <w:tc>
          <w:tcPr>
            <w:tcW w:w="3171" w:type="dxa"/>
            <w:shd w:val="clear" w:color="000000" w:fill="DCE6F1"/>
            <w:noWrap/>
            <w:hideMark/>
          </w:tcPr>
          <w:p w14:paraId="6BB9A271"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Събиране</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пречистване</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доставка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води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отпадъчни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води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дейности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по</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възстановяване</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други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услуги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по</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управление</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отпадъци</w:t>
            </w:r>
            <w:proofErr w:type="spellEnd"/>
          </w:p>
        </w:tc>
        <w:tc>
          <w:tcPr>
            <w:tcW w:w="1234" w:type="dxa"/>
            <w:shd w:val="clear" w:color="auto" w:fill="auto"/>
            <w:noWrap/>
            <w:hideMark/>
          </w:tcPr>
          <w:p w14:paraId="4B99C847"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106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682</w:t>
            </w:r>
          </w:p>
        </w:tc>
        <w:tc>
          <w:tcPr>
            <w:tcW w:w="1260" w:type="dxa"/>
            <w:shd w:val="clear" w:color="auto" w:fill="auto"/>
            <w:noWrap/>
            <w:hideMark/>
          </w:tcPr>
          <w:p w14:paraId="65A5361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107</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880</w:t>
            </w:r>
          </w:p>
        </w:tc>
        <w:tc>
          <w:tcPr>
            <w:tcW w:w="1260" w:type="dxa"/>
            <w:shd w:val="clear" w:color="auto" w:fill="auto"/>
            <w:noWrap/>
            <w:hideMark/>
          </w:tcPr>
          <w:p w14:paraId="0E19ED1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480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545</w:t>
            </w:r>
          </w:p>
        </w:tc>
        <w:tc>
          <w:tcPr>
            <w:tcW w:w="1208" w:type="dxa"/>
            <w:shd w:val="clear" w:color="auto" w:fill="auto"/>
            <w:noWrap/>
            <w:hideMark/>
          </w:tcPr>
          <w:p w14:paraId="13A8B305"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284</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342</w:t>
            </w:r>
          </w:p>
        </w:tc>
        <w:tc>
          <w:tcPr>
            <w:tcW w:w="1312" w:type="dxa"/>
            <w:shd w:val="clear" w:color="auto" w:fill="auto"/>
            <w:noWrap/>
            <w:hideMark/>
          </w:tcPr>
          <w:p w14:paraId="49E8745F"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195</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927</w:t>
            </w:r>
          </w:p>
        </w:tc>
      </w:tr>
      <w:tr w:rsidR="00D27783" w:rsidRPr="00453570" w14:paraId="23E9FB45" w14:textId="77777777" w:rsidTr="00D27783">
        <w:trPr>
          <w:trHeight w:val="228"/>
        </w:trPr>
        <w:tc>
          <w:tcPr>
            <w:tcW w:w="3171" w:type="dxa"/>
            <w:shd w:val="clear" w:color="000000" w:fill="DCE6F1"/>
            <w:noWrap/>
            <w:hideMark/>
          </w:tcPr>
          <w:p w14:paraId="2CE04366"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Събиране</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обезвреждане</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отпадъци</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рециклиране</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материали</w:t>
            </w:r>
            <w:proofErr w:type="spellEnd"/>
          </w:p>
        </w:tc>
        <w:tc>
          <w:tcPr>
            <w:tcW w:w="1234" w:type="dxa"/>
            <w:shd w:val="clear" w:color="auto" w:fill="auto"/>
            <w:noWrap/>
            <w:hideMark/>
          </w:tcPr>
          <w:p w14:paraId="3286773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486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364</w:t>
            </w:r>
          </w:p>
        </w:tc>
        <w:tc>
          <w:tcPr>
            <w:tcW w:w="1260" w:type="dxa"/>
            <w:shd w:val="clear" w:color="auto" w:fill="auto"/>
            <w:noWrap/>
            <w:hideMark/>
          </w:tcPr>
          <w:p w14:paraId="6B979C84"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022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706</w:t>
            </w:r>
          </w:p>
        </w:tc>
        <w:tc>
          <w:tcPr>
            <w:tcW w:w="1260" w:type="dxa"/>
            <w:shd w:val="clear" w:color="auto" w:fill="auto"/>
            <w:noWrap/>
            <w:hideMark/>
          </w:tcPr>
          <w:p w14:paraId="325C6E9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846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772</w:t>
            </w:r>
          </w:p>
        </w:tc>
        <w:tc>
          <w:tcPr>
            <w:tcW w:w="1208" w:type="dxa"/>
            <w:shd w:val="clear" w:color="auto" w:fill="auto"/>
            <w:noWrap/>
            <w:hideMark/>
          </w:tcPr>
          <w:p w14:paraId="1F0C3DDA"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229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892</w:t>
            </w:r>
          </w:p>
        </w:tc>
        <w:tc>
          <w:tcPr>
            <w:tcW w:w="1312" w:type="dxa"/>
            <w:shd w:val="clear" w:color="auto" w:fill="auto"/>
            <w:noWrap/>
            <w:hideMark/>
          </w:tcPr>
          <w:p w14:paraId="33AD8C3E"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525</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744</w:t>
            </w:r>
          </w:p>
        </w:tc>
      </w:tr>
      <w:tr w:rsidR="00D27783" w:rsidRPr="00453570" w14:paraId="2594F944" w14:textId="77777777" w:rsidTr="00D27783">
        <w:trPr>
          <w:trHeight w:val="290"/>
        </w:trPr>
        <w:tc>
          <w:tcPr>
            <w:tcW w:w="3171" w:type="dxa"/>
            <w:shd w:val="clear" w:color="000000" w:fill="DCE6F1"/>
            <w:noWrap/>
            <w:hideMark/>
          </w:tcPr>
          <w:p w14:paraId="62594A40"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Строителство</w:t>
            </w:r>
            <w:proofErr w:type="spellEnd"/>
          </w:p>
        </w:tc>
        <w:tc>
          <w:tcPr>
            <w:tcW w:w="1234" w:type="dxa"/>
            <w:shd w:val="clear" w:color="auto" w:fill="auto"/>
            <w:noWrap/>
            <w:hideMark/>
          </w:tcPr>
          <w:p w14:paraId="16825E55"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78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880</w:t>
            </w:r>
          </w:p>
        </w:tc>
        <w:tc>
          <w:tcPr>
            <w:tcW w:w="1260" w:type="dxa"/>
            <w:shd w:val="clear" w:color="auto" w:fill="auto"/>
            <w:noWrap/>
            <w:hideMark/>
          </w:tcPr>
          <w:p w14:paraId="226997A1"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032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651</w:t>
            </w:r>
          </w:p>
        </w:tc>
        <w:tc>
          <w:tcPr>
            <w:tcW w:w="1260" w:type="dxa"/>
            <w:shd w:val="clear" w:color="auto" w:fill="auto"/>
            <w:noWrap/>
            <w:hideMark/>
          </w:tcPr>
          <w:p w14:paraId="47EAD088"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340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467</w:t>
            </w:r>
          </w:p>
        </w:tc>
        <w:tc>
          <w:tcPr>
            <w:tcW w:w="1208" w:type="dxa"/>
            <w:shd w:val="clear" w:color="auto" w:fill="auto"/>
            <w:noWrap/>
            <w:hideMark/>
          </w:tcPr>
          <w:p w14:paraId="164ED178"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089</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131</w:t>
            </w:r>
          </w:p>
        </w:tc>
        <w:tc>
          <w:tcPr>
            <w:tcW w:w="1312" w:type="dxa"/>
            <w:shd w:val="clear" w:color="auto" w:fill="auto"/>
            <w:noWrap/>
            <w:hideMark/>
          </w:tcPr>
          <w:p w14:paraId="68C696D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193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186</w:t>
            </w:r>
          </w:p>
        </w:tc>
      </w:tr>
      <w:tr w:rsidR="00D27783" w:rsidRPr="00453570" w14:paraId="2D7D45E6" w14:textId="77777777" w:rsidTr="00D27783">
        <w:trPr>
          <w:trHeight w:val="290"/>
        </w:trPr>
        <w:tc>
          <w:tcPr>
            <w:tcW w:w="3171" w:type="dxa"/>
            <w:shd w:val="clear" w:color="000000" w:fill="DCE6F1"/>
            <w:noWrap/>
            <w:hideMark/>
          </w:tcPr>
          <w:p w14:paraId="5F2B6CA9"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Услуги</w:t>
            </w:r>
            <w:proofErr w:type="spellEnd"/>
            <w:r w:rsidRPr="00536E7C">
              <w:rPr>
                <w:rFonts w:ascii="Times New Roman" w:eastAsia="Times New Roman" w:hAnsi="Times New Roman" w:cs="Times New Roman"/>
                <w:sz w:val="20"/>
                <w:szCs w:val="20"/>
              </w:rPr>
              <w:t xml:space="preserve"> (с </w:t>
            </w:r>
            <w:proofErr w:type="spellStart"/>
            <w:r w:rsidRPr="00536E7C">
              <w:rPr>
                <w:rFonts w:ascii="Times New Roman" w:eastAsia="Times New Roman" w:hAnsi="Times New Roman" w:cs="Times New Roman"/>
                <w:sz w:val="20"/>
                <w:szCs w:val="20"/>
              </w:rPr>
              <w:t>изкл</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на</w:t>
            </w:r>
            <w:proofErr w:type="spellEnd"/>
            <w:r w:rsidRPr="00536E7C">
              <w:rPr>
                <w:rFonts w:ascii="Times New Roman" w:eastAsia="Times New Roman" w:hAnsi="Times New Roman" w:cs="Times New Roman"/>
                <w:sz w:val="20"/>
                <w:szCs w:val="20"/>
              </w:rPr>
              <w:t xml:space="preserve"> </w:t>
            </w:r>
            <w:proofErr w:type="spellStart"/>
            <w:r w:rsidRPr="00536E7C">
              <w:rPr>
                <w:rFonts w:ascii="Times New Roman" w:eastAsia="Times New Roman" w:hAnsi="Times New Roman" w:cs="Times New Roman"/>
                <w:sz w:val="20"/>
                <w:szCs w:val="20"/>
              </w:rPr>
              <w:t>търговия</w:t>
            </w:r>
            <w:proofErr w:type="spellEnd"/>
            <w:r w:rsidRPr="00536E7C">
              <w:rPr>
                <w:rFonts w:ascii="Times New Roman" w:eastAsia="Times New Roman" w:hAnsi="Times New Roman" w:cs="Times New Roman"/>
                <w:sz w:val="20"/>
                <w:szCs w:val="20"/>
              </w:rPr>
              <w:t xml:space="preserve"> с </w:t>
            </w:r>
            <w:proofErr w:type="spellStart"/>
            <w:r w:rsidRPr="00536E7C">
              <w:rPr>
                <w:rFonts w:ascii="Times New Roman" w:eastAsia="Times New Roman" w:hAnsi="Times New Roman" w:cs="Times New Roman"/>
                <w:sz w:val="20"/>
                <w:szCs w:val="20"/>
              </w:rPr>
              <w:t>отпадъци</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скрап</w:t>
            </w:r>
            <w:proofErr w:type="spellEnd"/>
            <w:r w:rsidRPr="00536E7C">
              <w:rPr>
                <w:rFonts w:ascii="Times New Roman" w:eastAsia="Times New Roman" w:hAnsi="Times New Roman" w:cs="Times New Roman"/>
                <w:sz w:val="20"/>
                <w:szCs w:val="20"/>
              </w:rPr>
              <w:t>)</w:t>
            </w:r>
          </w:p>
        </w:tc>
        <w:tc>
          <w:tcPr>
            <w:tcW w:w="1234" w:type="dxa"/>
            <w:shd w:val="clear" w:color="auto" w:fill="auto"/>
            <w:noWrap/>
            <w:hideMark/>
          </w:tcPr>
          <w:p w14:paraId="1FF469C3"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930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787</w:t>
            </w:r>
          </w:p>
        </w:tc>
        <w:tc>
          <w:tcPr>
            <w:tcW w:w="1260" w:type="dxa"/>
            <w:shd w:val="clear" w:color="auto" w:fill="auto"/>
            <w:noWrap/>
            <w:hideMark/>
          </w:tcPr>
          <w:p w14:paraId="7E8A138F"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456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849</w:t>
            </w:r>
          </w:p>
        </w:tc>
        <w:tc>
          <w:tcPr>
            <w:tcW w:w="1260" w:type="dxa"/>
            <w:shd w:val="clear" w:color="auto" w:fill="auto"/>
            <w:noWrap/>
            <w:hideMark/>
          </w:tcPr>
          <w:p w14:paraId="121D5E39"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231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576</w:t>
            </w:r>
          </w:p>
        </w:tc>
        <w:tc>
          <w:tcPr>
            <w:tcW w:w="1208" w:type="dxa"/>
            <w:shd w:val="clear" w:color="auto" w:fill="auto"/>
            <w:noWrap/>
            <w:hideMark/>
          </w:tcPr>
          <w:p w14:paraId="0BB45B32"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482</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075</w:t>
            </w:r>
          </w:p>
        </w:tc>
        <w:tc>
          <w:tcPr>
            <w:tcW w:w="1312" w:type="dxa"/>
            <w:shd w:val="clear" w:color="auto" w:fill="auto"/>
            <w:noWrap/>
            <w:hideMark/>
          </w:tcPr>
          <w:p w14:paraId="211B4044"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761</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080</w:t>
            </w:r>
          </w:p>
        </w:tc>
      </w:tr>
      <w:tr w:rsidR="00D27783" w:rsidRPr="00453570" w14:paraId="19EC4E94" w14:textId="77777777" w:rsidTr="00D27783">
        <w:trPr>
          <w:trHeight w:val="290"/>
        </w:trPr>
        <w:tc>
          <w:tcPr>
            <w:tcW w:w="3171" w:type="dxa"/>
            <w:shd w:val="clear" w:color="000000" w:fill="DCE6F1"/>
            <w:noWrap/>
            <w:hideMark/>
          </w:tcPr>
          <w:p w14:paraId="39EF5030"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proofErr w:type="spellStart"/>
            <w:r w:rsidRPr="00536E7C">
              <w:rPr>
                <w:rFonts w:ascii="Times New Roman" w:eastAsia="Times New Roman" w:hAnsi="Times New Roman" w:cs="Times New Roman"/>
                <w:sz w:val="20"/>
                <w:szCs w:val="20"/>
              </w:rPr>
              <w:t>Търговия</w:t>
            </w:r>
            <w:proofErr w:type="spellEnd"/>
            <w:r w:rsidRPr="00536E7C">
              <w:rPr>
                <w:rFonts w:ascii="Times New Roman" w:eastAsia="Times New Roman" w:hAnsi="Times New Roman" w:cs="Times New Roman"/>
                <w:sz w:val="20"/>
                <w:szCs w:val="20"/>
              </w:rPr>
              <w:t xml:space="preserve"> с </w:t>
            </w:r>
            <w:proofErr w:type="spellStart"/>
            <w:r w:rsidRPr="00536E7C">
              <w:rPr>
                <w:rFonts w:ascii="Times New Roman" w:eastAsia="Times New Roman" w:hAnsi="Times New Roman" w:cs="Times New Roman"/>
                <w:sz w:val="20"/>
                <w:szCs w:val="20"/>
              </w:rPr>
              <w:t>отпадъци</w:t>
            </w:r>
            <w:proofErr w:type="spellEnd"/>
            <w:r w:rsidRPr="00536E7C">
              <w:rPr>
                <w:rFonts w:ascii="Times New Roman" w:eastAsia="Times New Roman" w:hAnsi="Times New Roman" w:cs="Times New Roman"/>
                <w:sz w:val="20"/>
                <w:szCs w:val="20"/>
              </w:rPr>
              <w:t xml:space="preserve"> и </w:t>
            </w:r>
            <w:proofErr w:type="spellStart"/>
            <w:r w:rsidRPr="00536E7C">
              <w:rPr>
                <w:rFonts w:ascii="Times New Roman" w:eastAsia="Times New Roman" w:hAnsi="Times New Roman" w:cs="Times New Roman"/>
                <w:sz w:val="20"/>
                <w:szCs w:val="20"/>
              </w:rPr>
              <w:t>скрап</w:t>
            </w:r>
            <w:proofErr w:type="spellEnd"/>
          </w:p>
        </w:tc>
        <w:tc>
          <w:tcPr>
            <w:tcW w:w="1234" w:type="dxa"/>
            <w:shd w:val="clear" w:color="auto" w:fill="auto"/>
            <w:noWrap/>
            <w:hideMark/>
          </w:tcPr>
          <w:p w14:paraId="2CE40DCA"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93</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267</w:t>
            </w:r>
          </w:p>
        </w:tc>
        <w:tc>
          <w:tcPr>
            <w:tcW w:w="1260" w:type="dxa"/>
            <w:shd w:val="clear" w:color="auto" w:fill="auto"/>
            <w:noWrap/>
            <w:hideMark/>
          </w:tcPr>
          <w:p w14:paraId="43F1DBBE"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350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582</w:t>
            </w:r>
          </w:p>
        </w:tc>
        <w:tc>
          <w:tcPr>
            <w:tcW w:w="1260" w:type="dxa"/>
            <w:shd w:val="clear" w:color="auto" w:fill="auto"/>
            <w:noWrap/>
            <w:hideMark/>
          </w:tcPr>
          <w:p w14:paraId="3087EE4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598</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876</w:t>
            </w:r>
          </w:p>
        </w:tc>
        <w:tc>
          <w:tcPr>
            <w:tcW w:w="1208" w:type="dxa"/>
            <w:shd w:val="clear" w:color="auto" w:fill="auto"/>
            <w:noWrap/>
            <w:hideMark/>
          </w:tcPr>
          <w:p w14:paraId="69CDD77D"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256</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535</w:t>
            </w:r>
          </w:p>
        </w:tc>
        <w:tc>
          <w:tcPr>
            <w:tcW w:w="1312" w:type="dxa"/>
            <w:shd w:val="clear" w:color="auto" w:fill="auto"/>
            <w:noWrap/>
            <w:hideMark/>
          </w:tcPr>
          <w:p w14:paraId="18D0B63F" w14:textId="77777777" w:rsidR="00D27783" w:rsidRPr="00536E7C" w:rsidRDefault="00D27783" w:rsidP="00D27783">
            <w:pPr>
              <w:spacing w:after="0" w:line="240" w:lineRule="auto"/>
              <w:jc w:val="both"/>
              <w:rPr>
                <w:rFonts w:ascii="Times New Roman" w:eastAsia="Times New Roman" w:hAnsi="Times New Roman" w:cs="Times New Roman"/>
                <w:sz w:val="20"/>
                <w:szCs w:val="20"/>
              </w:rPr>
            </w:pPr>
            <w:r w:rsidRPr="00536E7C">
              <w:rPr>
                <w:rFonts w:ascii="Times New Roman" w:eastAsia="Times New Roman" w:hAnsi="Times New Roman" w:cs="Times New Roman"/>
                <w:sz w:val="20"/>
                <w:szCs w:val="20"/>
              </w:rPr>
              <w:t>230</w:t>
            </w:r>
            <w:r w:rsidRPr="00536E7C">
              <w:rPr>
                <w:rFonts w:ascii="Times New Roman" w:eastAsia="Times New Roman" w:hAnsi="Times New Roman" w:cs="Times New Roman"/>
                <w:sz w:val="20"/>
                <w:szCs w:val="20"/>
                <w:lang w:val="bg-BG"/>
              </w:rPr>
              <w:t xml:space="preserve"> </w:t>
            </w:r>
            <w:r w:rsidRPr="00536E7C">
              <w:rPr>
                <w:rFonts w:ascii="Times New Roman" w:eastAsia="Times New Roman" w:hAnsi="Times New Roman" w:cs="Times New Roman"/>
                <w:sz w:val="20"/>
                <w:szCs w:val="20"/>
              </w:rPr>
              <w:t>425</w:t>
            </w:r>
          </w:p>
        </w:tc>
      </w:tr>
      <w:tr w:rsidR="00D27783" w:rsidRPr="00453570" w14:paraId="41476C80" w14:textId="77777777" w:rsidTr="00D27783">
        <w:trPr>
          <w:trHeight w:val="290"/>
        </w:trPr>
        <w:tc>
          <w:tcPr>
            <w:tcW w:w="3171" w:type="dxa"/>
            <w:shd w:val="clear" w:color="auto" w:fill="auto"/>
            <w:noWrap/>
            <w:hideMark/>
          </w:tcPr>
          <w:p w14:paraId="198F4661"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 xml:space="preserve">% </w:t>
            </w:r>
            <w:proofErr w:type="spellStart"/>
            <w:r w:rsidRPr="00536E7C">
              <w:rPr>
                <w:rFonts w:ascii="Times New Roman" w:eastAsia="Times New Roman" w:hAnsi="Times New Roman" w:cs="Times New Roman"/>
                <w:color w:val="000000"/>
                <w:sz w:val="20"/>
                <w:szCs w:val="20"/>
              </w:rPr>
              <w:t>от</w:t>
            </w:r>
            <w:proofErr w:type="spellEnd"/>
            <w:r w:rsidRPr="00536E7C">
              <w:rPr>
                <w:rFonts w:ascii="Times New Roman" w:eastAsia="Times New Roman" w:hAnsi="Times New Roman" w:cs="Times New Roman"/>
                <w:color w:val="000000"/>
                <w:sz w:val="20"/>
                <w:szCs w:val="20"/>
              </w:rPr>
              <w:t xml:space="preserve"> </w:t>
            </w:r>
            <w:proofErr w:type="spellStart"/>
            <w:r w:rsidRPr="00536E7C">
              <w:rPr>
                <w:rFonts w:ascii="Times New Roman" w:eastAsia="Times New Roman" w:hAnsi="Times New Roman" w:cs="Times New Roman"/>
                <w:color w:val="000000"/>
                <w:sz w:val="20"/>
                <w:szCs w:val="20"/>
              </w:rPr>
              <w:t>общото</w:t>
            </w:r>
            <w:proofErr w:type="spellEnd"/>
            <w:r w:rsidRPr="00536E7C">
              <w:rPr>
                <w:rFonts w:ascii="Times New Roman" w:eastAsia="Times New Roman" w:hAnsi="Times New Roman" w:cs="Times New Roman"/>
                <w:color w:val="000000"/>
                <w:sz w:val="20"/>
                <w:szCs w:val="20"/>
              </w:rPr>
              <w:t xml:space="preserve"> </w:t>
            </w:r>
            <w:proofErr w:type="spellStart"/>
            <w:r w:rsidRPr="00536E7C">
              <w:rPr>
                <w:rFonts w:ascii="Times New Roman" w:eastAsia="Times New Roman" w:hAnsi="Times New Roman" w:cs="Times New Roman"/>
                <w:color w:val="000000"/>
                <w:sz w:val="20"/>
                <w:szCs w:val="20"/>
              </w:rPr>
              <w:t>количество</w:t>
            </w:r>
            <w:proofErr w:type="spellEnd"/>
            <w:r w:rsidRPr="00536E7C">
              <w:rPr>
                <w:rFonts w:ascii="Times New Roman" w:eastAsia="Times New Roman" w:hAnsi="Times New Roman" w:cs="Times New Roman"/>
                <w:color w:val="000000"/>
                <w:sz w:val="20"/>
                <w:szCs w:val="20"/>
              </w:rPr>
              <w:t xml:space="preserve"> </w:t>
            </w:r>
            <w:proofErr w:type="spellStart"/>
            <w:r w:rsidRPr="00536E7C">
              <w:rPr>
                <w:rFonts w:ascii="Times New Roman" w:eastAsia="Times New Roman" w:hAnsi="Times New Roman" w:cs="Times New Roman"/>
                <w:color w:val="000000"/>
                <w:sz w:val="20"/>
                <w:szCs w:val="20"/>
              </w:rPr>
              <w:t>генерирани</w:t>
            </w:r>
            <w:proofErr w:type="spellEnd"/>
            <w:r w:rsidRPr="00536E7C">
              <w:rPr>
                <w:rFonts w:ascii="Times New Roman" w:eastAsia="Times New Roman" w:hAnsi="Times New Roman" w:cs="Times New Roman"/>
                <w:color w:val="000000"/>
                <w:sz w:val="20"/>
                <w:szCs w:val="20"/>
              </w:rPr>
              <w:t xml:space="preserve"> </w:t>
            </w:r>
            <w:proofErr w:type="spellStart"/>
            <w:r w:rsidRPr="00536E7C">
              <w:rPr>
                <w:rFonts w:ascii="Times New Roman" w:eastAsia="Times New Roman" w:hAnsi="Times New Roman" w:cs="Times New Roman"/>
                <w:color w:val="000000"/>
                <w:sz w:val="20"/>
                <w:szCs w:val="20"/>
              </w:rPr>
              <w:t>отпадъци</w:t>
            </w:r>
            <w:proofErr w:type="spellEnd"/>
          </w:p>
        </w:tc>
        <w:tc>
          <w:tcPr>
            <w:tcW w:w="1234" w:type="dxa"/>
            <w:shd w:val="clear" w:color="auto" w:fill="auto"/>
            <w:noWrap/>
            <w:hideMark/>
          </w:tcPr>
          <w:p w14:paraId="288BBD13"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0.05%</w:t>
            </w:r>
          </w:p>
        </w:tc>
        <w:tc>
          <w:tcPr>
            <w:tcW w:w="1260" w:type="dxa"/>
            <w:shd w:val="clear" w:color="auto" w:fill="auto"/>
            <w:noWrap/>
            <w:hideMark/>
          </w:tcPr>
          <w:p w14:paraId="13E14078"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0.66%</w:t>
            </w:r>
          </w:p>
        </w:tc>
        <w:tc>
          <w:tcPr>
            <w:tcW w:w="1260" w:type="dxa"/>
            <w:shd w:val="clear" w:color="auto" w:fill="auto"/>
            <w:noWrap/>
            <w:hideMark/>
          </w:tcPr>
          <w:p w14:paraId="437308C5"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0.76%</w:t>
            </w:r>
          </w:p>
        </w:tc>
        <w:tc>
          <w:tcPr>
            <w:tcW w:w="1208" w:type="dxa"/>
            <w:shd w:val="clear" w:color="auto" w:fill="auto"/>
            <w:noWrap/>
            <w:hideMark/>
          </w:tcPr>
          <w:p w14:paraId="2F244ADA"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1.81%</w:t>
            </w:r>
          </w:p>
        </w:tc>
        <w:tc>
          <w:tcPr>
            <w:tcW w:w="1312" w:type="dxa"/>
            <w:shd w:val="clear" w:color="auto" w:fill="auto"/>
            <w:noWrap/>
            <w:hideMark/>
          </w:tcPr>
          <w:p w14:paraId="1E586C82" w14:textId="77777777" w:rsidR="00D27783" w:rsidRPr="00536E7C" w:rsidRDefault="00D27783" w:rsidP="00D27783">
            <w:pPr>
              <w:spacing w:after="0" w:line="240" w:lineRule="auto"/>
              <w:jc w:val="both"/>
              <w:rPr>
                <w:rFonts w:ascii="Times New Roman" w:eastAsia="Times New Roman" w:hAnsi="Times New Roman" w:cs="Times New Roman"/>
                <w:color w:val="000000"/>
                <w:sz w:val="20"/>
                <w:szCs w:val="20"/>
              </w:rPr>
            </w:pPr>
            <w:r w:rsidRPr="00536E7C">
              <w:rPr>
                <w:rFonts w:ascii="Times New Roman" w:eastAsia="Times New Roman" w:hAnsi="Times New Roman" w:cs="Times New Roman"/>
                <w:color w:val="000000"/>
                <w:sz w:val="20"/>
                <w:szCs w:val="20"/>
              </w:rPr>
              <w:t>0.15%</w:t>
            </w:r>
          </w:p>
        </w:tc>
      </w:tr>
    </w:tbl>
    <w:p w14:paraId="6C1A49F5" w14:textId="77777777" w:rsidR="00D27783" w:rsidRPr="00536E7C" w:rsidRDefault="00D27783" w:rsidP="00D27783">
      <w:pPr>
        <w:spacing w:after="120" w:line="276" w:lineRule="auto"/>
        <w:jc w:val="both"/>
        <w:rPr>
          <w:rFonts w:ascii="Times New Roman" w:eastAsia="Times New Roman" w:hAnsi="Times New Roman" w:cs="Times New Roman"/>
          <w:i/>
          <w:iCs/>
          <w:lang w:val="bg-BG"/>
        </w:rPr>
      </w:pPr>
      <w:r w:rsidRPr="00536E7C">
        <w:rPr>
          <w:rFonts w:ascii="Times New Roman" w:eastAsia="Times New Roman" w:hAnsi="Times New Roman" w:cs="Times New Roman"/>
          <w:i/>
          <w:iCs/>
          <w:lang w:val="bg-BG"/>
        </w:rPr>
        <w:t>Източник: Евростат</w:t>
      </w:r>
    </w:p>
    <w:p w14:paraId="47942594" w14:textId="77777777" w:rsidR="00D27783" w:rsidRPr="00655BDE" w:rsidRDefault="00D27783"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В последните години на анализирания период се наблюдават положителни тенденции за нарастване на относителния дял на оползотворените спрямо обезвредените строителни отпадъци.</w:t>
      </w:r>
    </w:p>
    <w:p w14:paraId="1972760F" w14:textId="77777777" w:rsidR="00D27783" w:rsidRPr="00AF353F" w:rsidRDefault="00F834BF" w:rsidP="00AF353F">
      <w:pPr>
        <w:pStyle w:val="Caption"/>
        <w:keepNext/>
        <w:jc w:val="both"/>
        <w:rPr>
          <w:rFonts w:ascii="Times New Roman" w:eastAsia="Times New Roman" w:hAnsi="Times New Roman" w:cs="Times New Roman"/>
          <w:b w:val="0"/>
          <w:bCs w:val="0"/>
          <w:i/>
          <w:color w:val="auto"/>
          <w:sz w:val="22"/>
          <w:szCs w:val="22"/>
          <w:lang w:val="bg-BG"/>
        </w:rPr>
      </w:pPr>
      <w:bookmarkStart w:id="41" w:name="_Toc72919687"/>
      <w:r w:rsidRPr="00AF353F">
        <w:rPr>
          <w:rFonts w:ascii="Times New Roman" w:eastAsia="Times New Roman" w:hAnsi="Times New Roman" w:cs="Times New Roman"/>
          <w:b w:val="0"/>
          <w:bCs w:val="0"/>
          <w:i/>
          <w:color w:val="auto"/>
          <w:sz w:val="22"/>
          <w:szCs w:val="22"/>
          <w:lang w:val="bg-BG"/>
        </w:rPr>
        <w:t xml:space="preserve">Фигура </w:t>
      </w:r>
      <w:r w:rsidRPr="00AF353F">
        <w:rPr>
          <w:rFonts w:ascii="Times New Roman" w:eastAsia="Times New Roman" w:hAnsi="Times New Roman" w:cs="Times New Roman"/>
          <w:b w:val="0"/>
          <w:bCs w:val="0"/>
          <w:i/>
          <w:color w:val="auto"/>
          <w:sz w:val="22"/>
          <w:szCs w:val="22"/>
          <w:lang w:val="bg-BG"/>
        </w:rPr>
        <w:fldChar w:fldCharType="begin"/>
      </w:r>
      <w:r w:rsidRPr="00AF353F">
        <w:rPr>
          <w:rFonts w:ascii="Times New Roman" w:eastAsia="Times New Roman" w:hAnsi="Times New Roman" w:cs="Times New Roman"/>
          <w:b w:val="0"/>
          <w:bCs w:val="0"/>
          <w:i/>
          <w:color w:val="auto"/>
          <w:sz w:val="22"/>
          <w:szCs w:val="22"/>
          <w:lang w:val="bg-BG"/>
        </w:rPr>
        <w:instrText xml:space="preserve"> SEQ Фигура \* ARABIC </w:instrText>
      </w:r>
      <w:r w:rsidRPr="00AF353F">
        <w:rPr>
          <w:rFonts w:ascii="Times New Roman" w:eastAsia="Times New Roman" w:hAnsi="Times New Roman" w:cs="Times New Roman"/>
          <w:b w:val="0"/>
          <w:bCs w:val="0"/>
          <w:i/>
          <w:color w:val="auto"/>
          <w:sz w:val="22"/>
          <w:szCs w:val="22"/>
          <w:lang w:val="bg-BG"/>
        </w:rPr>
        <w:fldChar w:fldCharType="separate"/>
      </w:r>
      <w:r w:rsidR="00AF353F">
        <w:rPr>
          <w:rFonts w:ascii="Times New Roman" w:eastAsia="Times New Roman" w:hAnsi="Times New Roman" w:cs="Times New Roman"/>
          <w:b w:val="0"/>
          <w:bCs w:val="0"/>
          <w:i/>
          <w:noProof/>
          <w:color w:val="auto"/>
          <w:sz w:val="22"/>
          <w:szCs w:val="22"/>
          <w:lang w:val="bg-BG"/>
        </w:rPr>
        <w:t>6</w:t>
      </w:r>
      <w:r w:rsidRPr="00AF353F">
        <w:rPr>
          <w:rFonts w:ascii="Times New Roman" w:eastAsia="Times New Roman" w:hAnsi="Times New Roman" w:cs="Times New Roman"/>
          <w:b w:val="0"/>
          <w:bCs w:val="0"/>
          <w:i/>
          <w:color w:val="auto"/>
          <w:sz w:val="22"/>
          <w:szCs w:val="22"/>
          <w:lang w:val="bg-BG"/>
        </w:rPr>
        <w:fldChar w:fldCharType="end"/>
      </w:r>
      <w:r w:rsidR="00D27783" w:rsidRPr="00AF353F">
        <w:rPr>
          <w:rFonts w:ascii="Times New Roman" w:eastAsia="Times New Roman" w:hAnsi="Times New Roman" w:cs="Times New Roman"/>
          <w:b w:val="0"/>
          <w:bCs w:val="0"/>
          <w:i/>
          <w:color w:val="auto"/>
          <w:sz w:val="22"/>
          <w:szCs w:val="22"/>
          <w:lang w:val="bg-BG"/>
        </w:rPr>
        <w:t xml:space="preserve"> Строителни отпадъци, предадени за оползотворяване и обезвреждане, 2008-2018 г.</w:t>
      </w:r>
      <w:bookmarkEnd w:id="41"/>
    </w:p>
    <w:p w14:paraId="5727E860" w14:textId="77777777" w:rsidR="00D27783" w:rsidRPr="002A5B6B" w:rsidRDefault="00D27783" w:rsidP="00D27783">
      <w:pPr>
        <w:jc w:val="center"/>
        <w:rPr>
          <w:lang w:val="bg-BG" w:eastAsia="bg-BG"/>
        </w:rPr>
      </w:pPr>
      <w:r w:rsidRPr="002A5B6B">
        <w:rPr>
          <w:noProof/>
          <w:lang w:val="bg-BG" w:eastAsia="bg-BG"/>
        </w:rPr>
        <w:drawing>
          <wp:inline distT="0" distB="0" distL="0" distR="0" wp14:anchorId="7297B399" wp14:editId="40D1F60F">
            <wp:extent cx="5358765" cy="2733040"/>
            <wp:effectExtent l="0" t="0" r="13335" b="10160"/>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10A9D4B" w14:textId="77777777" w:rsidR="00D27783" w:rsidRPr="002A5B6B" w:rsidRDefault="00D27783" w:rsidP="00D27783">
      <w:pPr>
        <w:rPr>
          <w:rFonts w:ascii="Times New Roman" w:hAnsi="Times New Roman" w:cs="Times New Roman"/>
          <w:i/>
          <w:lang w:val="bg-BG"/>
        </w:rPr>
      </w:pPr>
      <w:r w:rsidRPr="002A5B6B">
        <w:rPr>
          <w:rFonts w:ascii="Times New Roman" w:hAnsi="Times New Roman" w:cs="Times New Roman"/>
          <w:i/>
          <w:lang w:val="bg-BG"/>
        </w:rPr>
        <w:t>Източник: НСИ</w:t>
      </w:r>
    </w:p>
    <w:p w14:paraId="7F4107BB" w14:textId="77777777" w:rsidR="00D27783" w:rsidRPr="00655BDE" w:rsidRDefault="00D27783" w:rsidP="00D27783">
      <w:pPr>
        <w:spacing w:after="120" w:line="276"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В аспекта на европейските сравнения, България е с многократно по-ниски стойности на показателя СО/жител/г. от средното за ЕС-27. </w:t>
      </w:r>
    </w:p>
    <w:p w14:paraId="7CD287B1" w14:textId="77777777" w:rsidR="00D27783" w:rsidRPr="00AF353F" w:rsidRDefault="00AF353F" w:rsidP="00AF353F">
      <w:pPr>
        <w:pStyle w:val="Caption"/>
        <w:rPr>
          <w:rFonts w:ascii="Times New Roman" w:eastAsia="Times New Roman" w:hAnsi="Times New Roman" w:cs="Times New Roman"/>
          <w:b w:val="0"/>
          <w:bCs w:val="0"/>
          <w:i/>
          <w:color w:val="auto"/>
          <w:sz w:val="22"/>
          <w:szCs w:val="22"/>
          <w:lang w:val="bg-BG"/>
        </w:rPr>
      </w:pPr>
      <w:bookmarkStart w:id="42" w:name="_Toc49766890"/>
      <w:bookmarkStart w:id="43" w:name="_Toc72919669"/>
      <w:r w:rsidRPr="00AF353F">
        <w:rPr>
          <w:rFonts w:ascii="Times New Roman" w:eastAsia="Times New Roman" w:hAnsi="Times New Roman" w:cs="Times New Roman"/>
          <w:b w:val="0"/>
          <w:bCs w:val="0"/>
          <w:i/>
          <w:color w:val="auto"/>
          <w:sz w:val="22"/>
          <w:szCs w:val="22"/>
          <w:lang w:val="bg-BG"/>
        </w:rPr>
        <w:t xml:space="preserve">Таблица </w:t>
      </w:r>
      <w:r w:rsidRPr="00AF353F">
        <w:rPr>
          <w:rFonts w:ascii="Times New Roman" w:eastAsia="Times New Roman" w:hAnsi="Times New Roman" w:cs="Times New Roman"/>
          <w:b w:val="0"/>
          <w:bCs w:val="0"/>
          <w:i/>
          <w:color w:val="auto"/>
          <w:sz w:val="22"/>
          <w:szCs w:val="22"/>
          <w:lang w:val="bg-BG"/>
        </w:rPr>
        <w:fldChar w:fldCharType="begin"/>
      </w:r>
      <w:r w:rsidRPr="00AF353F">
        <w:rPr>
          <w:rFonts w:ascii="Times New Roman" w:eastAsia="Times New Roman" w:hAnsi="Times New Roman" w:cs="Times New Roman"/>
          <w:b w:val="0"/>
          <w:bCs w:val="0"/>
          <w:i/>
          <w:color w:val="auto"/>
          <w:sz w:val="22"/>
          <w:szCs w:val="22"/>
          <w:lang w:val="bg-BG"/>
        </w:rPr>
        <w:instrText xml:space="preserve"> SEQ Таблица \* ARABIC </w:instrText>
      </w:r>
      <w:r w:rsidRPr="00AF353F">
        <w:rPr>
          <w:rFonts w:ascii="Times New Roman" w:eastAsia="Times New Roman" w:hAnsi="Times New Roman" w:cs="Times New Roman"/>
          <w:b w:val="0"/>
          <w:bCs w:val="0"/>
          <w:i/>
          <w:color w:val="auto"/>
          <w:sz w:val="22"/>
          <w:szCs w:val="22"/>
          <w:lang w:val="bg-BG"/>
        </w:rPr>
        <w:fldChar w:fldCharType="separate"/>
      </w:r>
      <w:r>
        <w:rPr>
          <w:rFonts w:ascii="Times New Roman" w:eastAsia="Times New Roman" w:hAnsi="Times New Roman" w:cs="Times New Roman"/>
          <w:b w:val="0"/>
          <w:bCs w:val="0"/>
          <w:i/>
          <w:noProof/>
          <w:color w:val="auto"/>
          <w:sz w:val="22"/>
          <w:szCs w:val="22"/>
          <w:lang w:val="bg-BG"/>
        </w:rPr>
        <w:t>10</w:t>
      </w:r>
      <w:r w:rsidRPr="00AF353F">
        <w:rPr>
          <w:rFonts w:ascii="Times New Roman" w:eastAsia="Times New Roman" w:hAnsi="Times New Roman" w:cs="Times New Roman"/>
          <w:b w:val="0"/>
          <w:bCs w:val="0"/>
          <w:i/>
          <w:color w:val="auto"/>
          <w:sz w:val="22"/>
          <w:szCs w:val="22"/>
          <w:lang w:val="bg-BG"/>
        </w:rPr>
        <w:fldChar w:fldCharType="end"/>
      </w:r>
      <w:r w:rsidRPr="00AF353F">
        <w:rPr>
          <w:rFonts w:ascii="Times New Roman" w:eastAsia="Times New Roman" w:hAnsi="Times New Roman" w:cs="Times New Roman"/>
          <w:b w:val="0"/>
          <w:bCs w:val="0"/>
          <w:i/>
          <w:color w:val="auto"/>
          <w:sz w:val="22"/>
          <w:szCs w:val="22"/>
          <w:lang w:val="bg-BG"/>
        </w:rPr>
        <w:t xml:space="preserve"> </w:t>
      </w:r>
      <w:r w:rsidR="00D27783" w:rsidRPr="00AF353F">
        <w:rPr>
          <w:rFonts w:ascii="Times New Roman" w:eastAsia="Times New Roman" w:hAnsi="Times New Roman" w:cs="Times New Roman"/>
          <w:b w:val="0"/>
          <w:bCs w:val="0"/>
          <w:i/>
          <w:color w:val="auto"/>
          <w:sz w:val="22"/>
          <w:szCs w:val="22"/>
          <w:lang w:val="bg-BG"/>
        </w:rPr>
        <w:t>Строителни отпадъци - кг/ж/г</w:t>
      </w:r>
      <w:bookmarkEnd w:id="42"/>
      <w:bookmarkEnd w:id="43"/>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94"/>
        <w:gridCol w:w="1197"/>
        <w:gridCol w:w="937"/>
        <w:gridCol w:w="937"/>
        <w:gridCol w:w="937"/>
        <w:gridCol w:w="937"/>
      </w:tblGrid>
      <w:tr w:rsidR="00D27783" w:rsidRPr="006904BB" w14:paraId="104988D9" w14:textId="77777777" w:rsidTr="00D27783">
        <w:tc>
          <w:tcPr>
            <w:tcW w:w="1894" w:type="dxa"/>
            <w:shd w:val="clear" w:color="auto" w:fill="DEEAF6" w:themeFill="accent5" w:themeFillTint="33"/>
          </w:tcPr>
          <w:p w14:paraId="33AC8DC2" w14:textId="77777777" w:rsidR="00D27783" w:rsidRPr="00536E7C" w:rsidRDefault="00D27783" w:rsidP="00D27783">
            <w:pPr>
              <w:spacing w:after="0"/>
              <w:rPr>
                <w:rFonts w:ascii="Times New Roman" w:hAnsi="Times New Roman" w:cs="Times New Roman"/>
                <w:b/>
                <w:sz w:val="20"/>
                <w:szCs w:val="20"/>
                <w:lang w:val="bg-BG"/>
              </w:rPr>
            </w:pPr>
          </w:p>
        </w:tc>
        <w:tc>
          <w:tcPr>
            <w:tcW w:w="1197" w:type="dxa"/>
            <w:shd w:val="clear" w:color="auto" w:fill="DEEAF6" w:themeFill="accent5" w:themeFillTint="33"/>
          </w:tcPr>
          <w:p w14:paraId="7DC71A13" w14:textId="77777777" w:rsidR="00D27783" w:rsidRPr="00536E7C" w:rsidRDefault="00D27783" w:rsidP="00D27783">
            <w:pPr>
              <w:spacing w:after="0"/>
              <w:jc w:val="center"/>
              <w:rPr>
                <w:rFonts w:ascii="Times New Roman" w:hAnsi="Times New Roman" w:cs="Times New Roman"/>
                <w:b/>
                <w:sz w:val="20"/>
                <w:szCs w:val="20"/>
                <w:lang w:val="bg-BG"/>
              </w:rPr>
            </w:pPr>
            <w:r w:rsidRPr="00536E7C">
              <w:rPr>
                <w:rFonts w:ascii="Times New Roman" w:hAnsi="Times New Roman" w:cs="Times New Roman"/>
                <w:b/>
                <w:sz w:val="20"/>
                <w:szCs w:val="20"/>
                <w:lang w:val="bg-BG"/>
              </w:rPr>
              <w:t xml:space="preserve">2010 </w:t>
            </w:r>
          </w:p>
        </w:tc>
        <w:tc>
          <w:tcPr>
            <w:tcW w:w="937" w:type="dxa"/>
            <w:shd w:val="clear" w:color="auto" w:fill="DEEAF6" w:themeFill="accent5" w:themeFillTint="33"/>
          </w:tcPr>
          <w:p w14:paraId="5A40397F" w14:textId="77777777" w:rsidR="00D27783" w:rsidRPr="006904BB" w:rsidRDefault="00D27783" w:rsidP="00D27783">
            <w:pPr>
              <w:spacing w:after="0"/>
              <w:jc w:val="center"/>
              <w:rPr>
                <w:rFonts w:ascii="Times New Roman" w:hAnsi="Times New Roman" w:cs="Times New Roman"/>
                <w:b/>
                <w:sz w:val="20"/>
                <w:szCs w:val="20"/>
                <w:lang w:val="bg-BG"/>
              </w:rPr>
            </w:pPr>
          </w:p>
        </w:tc>
        <w:tc>
          <w:tcPr>
            <w:tcW w:w="937" w:type="dxa"/>
            <w:shd w:val="clear" w:color="auto" w:fill="DEEAF6" w:themeFill="accent5" w:themeFillTint="33"/>
          </w:tcPr>
          <w:p w14:paraId="6CEA9ADF" w14:textId="77777777" w:rsidR="00D27783" w:rsidRPr="00536E7C" w:rsidRDefault="00D27783" w:rsidP="00D27783">
            <w:pPr>
              <w:spacing w:after="0"/>
              <w:jc w:val="center"/>
              <w:rPr>
                <w:rFonts w:ascii="Times New Roman" w:hAnsi="Times New Roman" w:cs="Times New Roman"/>
                <w:b/>
                <w:sz w:val="20"/>
                <w:szCs w:val="20"/>
                <w:lang w:val="bg-BG"/>
              </w:rPr>
            </w:pPr>
            <w:r w:rsidRPr="00536E7C">
              <w:rPr>
                <w:rFonts w:ascii="Times New Roman" w:hAnsi="Times New Roman" w:cs="Times New Roman"/>
                <w:b/>
                <w:sz w:val="20"/>
                <w:szCs w:val="20"/>
                <w:lang w:val="bg-BG"/>
              </w:rPr>
              <w:t>2012</w:t>
            </w:r>
          </w:p>
        </w:tc>
        <w:tc>
          <w:tcPr>
            <w:tcW w:w="937" w:type="dxa"/>
            <w:shd w:val="clear" w:color="auto" w:fill="DEEAF6" w:themeFill="accent5" w:themeFillTint="33"/>
          </w:tcPr>
          <w:p w14:paraId="7F443FC4" w14:textId="77777777" w:rsidR="00D27783" w:rsidRPr="00536E7C" w:rsidRDefault="00D27783" w:rsidP="00D27783">
            <w:pPr>
              <w:spacing w:after="0"/>
              <w:jc w:val="center"/>
              <w:rPr>
                <w:rFonts w:ascii="Times New Roman" w:hAnsi="Times New Roman" w:cs="Times New Roman"/>
                <w:b/>
                <w:sz w:val="20"/>
                <w:szCs w:val="20"/>
                <w:lang w:val="bg-BG"/>
              </w:rPr>
            </w:pPr>
            <w:r w:rsidRPr="00536E7C">
              <w:rPr>
                <w:rFonts w:ascii="Times New Roman" w:hAnsi="Times New Roman" w:cs="Times New Roman"/>
                <w:b/>
                <w:sz w:val="20"/>
                <w:szCs w:val="20"/>
                <w:lang w:val="bg-BG"/>
              </w:rPr>
              <w:t>2014</w:t>
            </w:r>
          </w:p>
        </w:tc>
        <w:tc>
          <w:tcPr>
            <w:tcW w:w="937" w:type="dxa"/>
            <w:shd w:val="clear" w:color="auto" w:fill="DEEAF6" w:themeFill="accent5" w:themeFillTint="33"/>
          </w:tcPr>
          <w:p w14:paraId="784F2BA0" w14:textId="77777777" w:rsidR="00D27783" w:rsidRPr="00536E7C" w:rsidRDefault="00D27783" w:rsidP="00D27783">
            <w:pPr>
              <w:spacing w:after="0"/>
              <w:jc w:val="center"/>
              <w:rPr>
                <w:rFonts w:ascii="Times New Roman" w:hAnsi="Times New Roman" w:cs="Times New Roman"/>
                <w:b/>
                <w:sz w:val="20"/>
                <w:szCs w:val="20"/>
                <w:lang w:val="bg-BG"/>
              </w:rPr>
            </w:pPr>
            <w:r w:rsidRPr="00536E7C">
              <w:rPr>
                <w:rFonts w:ascii="Times New Roman" w:hAnsi="Times New Roman" w:cs="Times New Roman"/>
                <w:b/>
                <w:sz w:val="20"/>
                <w:szCs w:val="20"/>
                <w:lang w:val="bg-BG"/>
              </w:rPr>
              <w:t>2016</w:t>
            </w:r>
          </w:p>
        </w:tc>
      </w:tr>
      <w:tr w:rsidR="00D27783" w:rsidRPr="006904BB" w14:paraId="0B28811C" w14:textId="77777777" w:rsidTr="00D27783">
        <w:tc>
          <w:tcPr>
            <w:tcW w:w="1894" w:type="dxa"/>
          </w:tcPr>
          <w:p w14:paraId="701399B6" w14:textId="77777777" w:rsidR="00D27783" w:rsidRPr="00536E7C" w:rsidRDefault="00D27783" w:rsidP="00D27783">
            <w:pPr>
              <w:spacing w:after="0"/>
              <w:rPr>
                <w:rFonts w:ascii="Times New Roman" w:hAnsi="Times New Roman" w:cs="Times New Roman"/>
                <w:sz w:val="20"/>
                <w:szCs w:val="20"/>
                <w:lang w:val="bg-BG"/>
              </w:rPr>
            </w:pPr>
            <w:r w:rsidRPr="00536E7C">
              <w:rPr>
                <w:rFonts w:ascii="Times New Roman" w:hAnsi="Times New Roman" w:cs="Times New Roman"/>
                <w:sz w:val="20"/>
                <w:szCs w:val="20"/>
                <w:lang w:val="bg-BG"/>
              </w:rPr>
              <w:t>Средно за ЕС- 27</w:t>
            </w:r>
          </w:p>
        </w:tc>
        <w:tc>
          <w:tcPr>
            <w:tcW w:w="1197" w:type="dxa"/>
          </w:tcPr>
          <w:p w14:paraId="3AFCD3C1"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1682</w:t>
            </w:r>
          </w:p>
        </w:tc>
        <w:tc>
          <w:tcPr>
            <w:tcW w:w="937" w:type="dxa"/>
          </w:tcPr>
          <w:p w14:paraId="105457AD" w14:textId="77777777" w:rsidR="00D27783" w:rsidRPr="006904BB" w:rsidRDefault="00D27783" w:rsidP="00D27783">
            <w:pPr>
              <w:spacing w:after="0"/>
              <w:jc w:val="right"/>
              <w:rPr>
                <w:rFonts w:ascii="Times New Roman" w:hAnsi="Times New Roman" w:cs="Times New Roman"/>
                <w:sz w:val="20"/>
                <w:szCs w:val="20"/>
                <w:lang w:val="bg-BG"/>
              </w:rPr>
            </w:pPr>
          </w:p>
        </w:tc>
        <w:tc>
          <w:tcPr>
            <w:tcW w:w="937" w:type="dxa"/>
          </w:tcPr>
          <w:p w14:paraId="0EB4430B"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1621</w:t>
            </w:r>
          </w:p>
        </w:tc>
        <w:tc>
          <w:tcPr>
            <w:tcW w:w="937" w:type="dxa"/>
          </w:tcPr>
          <w:p w14:paraId="347CC381"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1634</w:t>
            </w:r>
          </w:p>
        </w:tc>
        <w:tc>
          <w:tcPr>
            <w:tcW w:w="937" w:type="dxa"/>
          </w:tcPr>
          <w:p w14:paraId="316502C8"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1730</w:t>
            </w:r>
          </w:p>
        </w:tc>
      </w:tr>
      <w:tr w:rsidR="00D27783" w:rsidRPr="006904BB" w14:paraId="4CD03883" w14:textId="77777777" w:rsidTr="00D27783">
        <w:tc>
          <w:tcPr>
            <w:tcW w:w="1894" w:type="dxa"/>
          </w:tcPr>
          <w:p w14:paraId="2BEDC978" w14:textId="77777777" w:rsidR="00D27783" w:rsidRPr="00536E7C" w:rsidRDefault="00D27783" w:rsidP="00D27783">
            <w:pPr>
              <w:spacing w:after="0"/>
              <w:rPr>
                <w:rFonts w:ascii="Times New Roman" w:hAnsi="Times New Roman" w:cs="Times New Roman"/>
                <w:sz w:val="20"/>
                <w:szCs w:val="20"/>
                <w:lang w:val="bg-BG"/>
              </w:rPr>
            </w:pPr>
            <w:r w:rsidRPr="00536E7C">
              <w:rPr>
                <w:rFonts w:ascii="Times New Roman" w:hAnsi="Times New Roman" w:cs="Times New Roman"/>
                <w:sz w:val="20"/>
                <w:szCs w:val="20"/>
                <w:lang w:val="bg-BG"/>
              </w:rPr>
              <w:lastRenderedPageBreak/>
              <w:t>България</w:t>
            </w:r>
          </w:p>
        </w:tc>
        <w:tc>
          <w:tcPr>
            <w:tcW w:w="1197" w:type="dxa"/>
          </w:tcPr>
          <w:p w14:paraId="5C56C035"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11</w:t>
            </w:r>
          </w:p>
        </w:tc>
        <w:tc>
          <w:tcPr>
            <w:tcW w:w="937" w:type="dxa"/>
          </w:tcPr>
          <w:p w14:paraId="07189344" w14:textId="77777777" w:rsidR="00D27783" w:rsidRPr="006904BB" w:rsidRDefault="00D27783" w:rsidP="00D27783">
            <w:pPr>
              <w:spacing w:after="0"/>
              <w:jc w:val="right"/>
              <w:rPr>
                <w:rFonts w:ascii="Times New Roman" w:hAnsi="Times New Roman" w:cs="Times New Roman"/>
                <w:sz w:val="20"/>
                <w:szCs w:val="20"/>
                <w:lang w:val="bg-BG"/>
              </w:rPr>
            </w:pPr>
          </w:p>
        </w:tc>
        <w:tc>
          <w:tcPr>
            <w:tcW w:w="937" w:type="dxa"/>
          </w:tcPr>
          <w:p w14:paraId="54D63B4B"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141</w:t>
            </w:r>
          </w:p>
        </w:tc>
        <w:tc>
          <w:tcPr>
            <w:tcW w:w="937" w:type="dxa"/>
          </w:tcPr>
          <w:p w14:paraId="39AD90CD"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186</w:t>
            </w:r>
          </w:p>
        </w:tc>
        <w:tc>
          <w:tcPr>
            <w:tcW w:w="937" w:type="dxa"/>
          </w:tcPr>
          <w:p w14:paraId="5298D92B" w14:textId="77777777" w:rsidR="00D27783" w:rsidRPr="00536E7C" w:rsidRDefault="00D27783" w:rsidP="00D27783">
            <w:pPr>
              <w:spacing w:after="0"/>
              <w:jc w:val="right"/>
              <w:rPr>
                <w:rFonts w:ascii="Times New Roman" w:hAnsi="Times New Roman" w:cs="Times New Roman"/>
                <w:sz w:val="20"/>
                <w:szCs w:val="20"/>
                <w:lang w:val="bg-BG"/>
              </w:rPr>
            </w:pPr>
            <w:r w:rsidRPr="00536E7C">
              <w:rPr>
                <w:rFonts w:ascii="Times New Roman" w:hAnsi="Times New Roman" w:cs="Times New Roman"/>
                <w:sz w:val="20"/>
                <w:szCs w:val="20"/>
                <w:lang w:val="bg-BG"/>
              </w:rPr>
              <w:t>293</w:t>
            </w:r>
          </w:p>
        </w:tc>
      </w:tr>
    </w:tbl>
    <w:p w14:paraId="6B14D706" w14:textId="77777777" w:rsidR="00D27783" w:rsidRPr="002A5B6B" w:rsidRDefault="00D27783" w:rsidP="00D27783">
      <w:pPr>
        <w:rPr>
          <w:rFonts w:ascii="Times New Roman" w:hAnsi="Times New Roman" w:cs="Times New Roman"/>
          <w:i/>
          <w:lang w:val="bg-BG"/>
        </w:rPr>
      </w:pPr>
      <w:r w:rsidRPr="002A5B6B">
        <w:rPr>
          <w:rFonts w:ascii="Times New Roman" w:hAnsi="Times New Roman" w:cs="Times New Roman"/>
          <w:i/>
          <w:lang w:val="bg-BG"/>
        </w:rPr>
        <w:t>Източник: Евростат</w:t>
      </w:r>
    </w:p>
    <w:p w14:paraId="1989EE6E" w14:textId="77777777" w:rsidR="00D27783" w:rsidRPr="00655BDE" w:rsidRDefault="00D27783" w:rsidP="00D27783">
      <w:pPr>
        <w:spacing w:line="276" w:lineRule="auto"/>
        <w:jc w:val="both"/>
        <w:rPr>
          <w:rFonts w:ascii="Times New Roman" w:hAnsi="Times New Roman" w:cs="Times New Roman"/>
          <w:lang w:val="bg-BG"/>
        </w:rPr>
      </w:pPr>
      <w:r w:rsidRPr="00655BDE">
        <w:rPr>
          <w:rFonts w:ascii="Times New Roman" w:hAnsi="Times New Roman" w:cs="Times New Roman"/>
          <w:lang w:val="bg-BG"/>
        </w:rPr>
        <w:t xml:space="preserve">През 2018 г. страната постига целите за оползотворяване и материално рециклиране на </w:t>
      </w:r>
      <w:r w:rsidRPr="00655BDE">
        <w:rPr>
          <w:rFonts w:ascii="Times New Roman" w:hAnsi="Times New Roman" w:cs="Times New Roman"/>
          <w:b/>
          <w:bCs/>
          <w:lang w:val="bg-BG"/>
        </w:rPr>
        <w:t xml:space="preserve">отпадъци от опаковки. </w:t>
      </w:r>
      <w:r w:rsidRPr="00655BDE">
        <w:rPr>
          <w:rFonts w:ascii="Times New Roman" w:hAnsi="Times New Roman" w:cs="Times New Roman"/>
          <w:lang w:val="bg-BG"/>
        </w:rPr>
        <w:t>Общата постигната цел на рециклиране е 60.40% или 300 419 тона отпадъци от опаковки.</w:t>
      </w:r>
      <w:r w:rsidRPr="00655BDE">
        <w:rPr>
          <w:rStyle w:val="FootnoteReference"/>
          <w:rFonts w:ascii="Times New Roman" w:hAnsi="Times New Roman" w:cs="Times New Roman"/>
          <w:lang w:val="bg-BG"/>
        </w:rPr>
        <w:footnoteReference w:id="14"/>
      </w:r>
    </w:p>
    <w:p w14:paraId="5B8C9F24" w14:textId="77777777" w:rsidR="00D27783" w:rsidRPr="00AF353F" w:rsidRDefault="00AF353F" w:rsidP="00AF353F">
      <w:pPr>
        <w:pStyle w:val="Caption"/>
        <w:rPr>
          <w:rFonts w:ascii="Times New Roman" w:eastAsia="Times New Roman" w:hAnsi="Times New Roman" w:cs="Times New Roman"/>
          <w:b w:val="0"/>
          <w:bCs w:val="0"/>
          <w:i/>
          <w:color w:val="auto"/>
          <w:sz w:val="22"/>
          <w:szCs w:val="22"/>
          <w:lang w:val="bg-BG"/>
        </w:rPr>
      </w:pPr>
      <w:bookmarkStart w:id="44" w:name="_Toc72919670"/>
      <w:r w:rsidRPr="00AF353F">
        <w:rPr>
          <w:rFonts w:ascii="Times New Roman" w:eastAsia="Times New Roman" w:hAnsi="Times New Roman" w:cs="Times New Roman"/>
          <w:b w:val="0"/>
          <w:bCs w:val="0"/>
          <w:i/>
          <w:color w:val="auto"/>
          <w:sz w:val="22"/>
          <w:szCs w:val="22"/>
          <w:lang w:val="bg-BG"/>
        </w:rPr>
        <w:t xml:space="preserve">Таблица </w:t>
      </w:r>
      <w:r w:rsidRPr="00AF353F">
        <w:rPr>
          <w:rFonts w:ascii="Times New Roman" w:eastAsia="Times New Roman" w:hAnsi="Times New Roman" w:cs="Times New Roman"/>
          <w:b w:val="0"/>
          <w:bCs w:val="0"/>
          <w:i/>
          <w:color w:val="auto"/>
          <w:sz w:val="22"/>
          <w:szCs w:val="22"/>
          <w:lang w:val="bg-BG"/>
        </w:rPr>
        <w:fldChar w:fldCharType="begin"/>
      </w:r>
      <w:r w:rsidRPr="00AF353F">
        <w:rPr>
          <w:rFonts w:ascii="Times New Roman" w:eastAsia="Times New Roman" w:hAnsi="Times New Roman" w:cs="Times New Roman"/>
          <w:b w:val="0"/>
          <w:bCs w:val="0"/>
          <w:i/>
          <w:color w:val="auto"/>
          <w:sz w:val="22"/>
          <w:szCs w:val="22"/>
          <w:lang w:val="bg-BG"/>
        </w:rPr>
        <w:instrText xml:space="preserve"> SEQ Таблица \* ARABIC </w:instrText>
      </w:r>
      <w:r w:rsidRPr="00AF353F">
        <w:rPr>
          <w:rFonts w:ascii="Times New Roman" w:eastAsia="Times New Roman" w:hAnsi="Times New Roman" w:cs="Times New Roman"/>
          <w:b w:val="0"/>
          <w:bCs w:val="0"/>
          <w:i/>
          <w:color w:val="auto"/>
          <w:sz w:val="22"/>
          <w:szCs w:val="22"/>
          <w:lang w:val="bg-BG"/>
        </w:rPr>
        <w:fldChar w:fldCharType="separate"/>
      </w:r>
      <w:r>
        <w:rPr>
          <w:rFonts w:ascii="Times New Roman" w:eastAsia="Times New Roman" w:hAnsi="Times New Roman" w:cs="Times New Roman"/>
          <w:b w:val="0"/>
          <w:bCs w:val="0"/>
          <w:i/>
          <w:noProof/>
          <w:color w:val="auto"/>
          <w:sz w:val="22"/>
          <w:szCs w:val="22"/>
          <w:lang w:val="bg-BG"/>
        </w:rPr>
        <w:t>11</w:t>
      </w:r>
      <w:r w:rsidRPr="00AF353F">
        <w:rPr>
          <w:rFonts w:ascii="Times New Roman" w:eastAsia="Times New Roman" w:hAnsi="Times New Roman" w:cs="Times New Roman"/>
          <w:b w:val="0"/>
          <w:bCs w:val="0"/>
          <w:i/>
          <w:color w:val="auto"/>
          <w:sz w:val="22"/>
          <w:szCs w:val="22"/>
          <w:lang w:val="bg-BG"/>
        </w:rPr>
        <w:fldChar w:fldCharType="end"/>
      </w:r>
      <w:r w:rsidRPr="00AF353F">
        <w:rPr>
          <w:rFonts w:ascii="Times New Roman" w:eastAsia="Times New Roman" w:hAnsi="Times New Roman" w:cs="Times New Roman"/>
          <w:b w:val="0"/>
          <w:bCs w:val="0"/>
          <w:i/>
          <w:color w:val="auto"/>
          <w:sz w:val="22"/>
          <w:szCs w:val="22"/>
          <w:lang w:val="bg-BG"/>
        </w:rPr>
        <w:t xml:space="preserve"> </w:t>
      </w:r>
      <w:r w:rsidR="00D27783" w:rsidRPr="00AF353F">
        <w:rPr>
          <w:rFonts w:ascii="Times New Roman" w:eastAsia="Times New Roman" w:hAnsi="Times New Roman" w:cs="Times New Roman"/>
          <w:b w:val="0"/>
          <w:bCs w:val="0"/>
          <w:i/>
          <w:color w:val="auto"/>
          <w:sz w:val="22"/>
          <w:szCs w:val="22"/>
          <w:lang w:val="bg-BG"/>
        </w:rPr>
        <w:t>Постигната степен на оползотворяване, вкл. рециклиране, 2018 г.</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2070"/>
      </w:tblGrid>
      <w:tr w:rsidR="00D27783" w:rsidRPr="006904BB" w14:paraId="2DF0C424" w14:textId="77777777" w:rsidTr="00181DFA">
        <w:tc>
          <w:tcPr>
            <w:tcW w:w="1795" w:type="dxa"/>
            <w:shd w:val="clear" w:color="auto" w:fill="DEEAF6" w:themeFill="accent5" w:themeFillTint="33"/>
          </w:tcPr>
          <w:p w14:paraId="3CC21639" w14:textId="77777777" w:rsidR="00D27783" w:rsidRPr="00536E7C" w:rsidRDefault="00D27783" w:rsidP="00181DFA">
            <w:pPr>
              <w:spacing w:after="0" w:line="240" w:lineRule="auto"/>
              <w:rPr>
                <w:rFonts w:ascii="Times New Roman" w:hAnsi="Times New Roman" w:cs="Times New Roman"/>
                <w:sz w:val="20"/>
                <w:szCs w:val="20"/>
                <w:lang w:val="bg-BG"/>
              </w:rPr>
            </w:pPr>
            <w:r w:rsidRPr="00536E7C">
              <w:rPr>
                <w:rFonts w:ascii="Times New Roman" w:hAnsi="Times New Roman" w:cs="Times New Roman"/>
                <w:sz w:val="20"/>
                <w:szCs w:val="20"/>
                <w:lang w:val="bg-BG"/>
              </w:rPr>
              <w:t>Материали</w:t>
            </w:r>
          </w:p>
        </w:tc>
        <w:tc>
          <w:tcPr>
            <w:tcW w:w="2070" w:type="dxa"/>
            <w:shd w:val="clear" w:color="auto" w:fill="DEEAF6" w:themeFill="accent5" w:themeFillTint="33"/>
          </w:tcPr>
          <w:p w14:paraId="7CDB62FE" w14:textId="77777777" w:rsidR="00D27783" w:rsidRPr="00536E7C" w:rsidRDefault="00D27783" w:rsidP="00181DFA">
            <w:pPr>
              <w:spacing w:after="0" w:line="240" w:lineRule="auto"/>
              <w:rPr>
                <w:rFonts w:ascii="Times New Roman" w:hAnsi="Times New Roman" w:cs="Times New Roman"/>
                <w:sz w:val="20"/>
                <w:szCs w:val="20"/>
                <w:lang w:val="bg-BG"/>
              </w:rPr>
            </w:pPr>
            <w:r w:rsidRPr="00536E7C">
              <w:rPr>
                <w:rFonts w:ascii="Times New Roman" w:hAnsi="Times New Roman" w:cs="Times New Roman"/>
                <w:sz w:val="20"/>
                <w:szCs w:val="20"/>
                <w:lang w:val="bg-BG"/>
              </w:rPr>
              <w:t>Цели за 2018 г.</w:t>
            </w:r>
          </w:p>
        </w:tc>
        <w:tc>
          <w:tcPr>
            <w:tcW w:w="2070" w:type="dxa"/>
            <w:shd w:val="clear" w:color="auto" w:fill="DEEAF6" w:themeFill="accent5" w:themeFillTint="33"/>
          </w:tcPr>
          <w:p w14:paraId="0771A5C2" w14:textId="77777777" w:rsidR="00D27783" w:rsidRPr="00536E7C" w:rsidRDefault="00D27783" w:rsidP="00181DFA">
            <w:pPr>
              <w:spacing w:after="0" w:line="240" w:lineRule="auto"/>
              <w:rPr>
                <w:rFonts w:ascii="Times New Roman" w:hAnsi="Times New Roman" w:cs="Times New Roman"/>
                <w:sz w:val="20"/>
                <w:szCs w:val="20"/>
                <w:lang w:val="bg-BG"/>
              </w:rPr>
            </w:pPr>
            <w:r w:rsidRPr="00536E7C">
              <w:rPr>
                <w:rFonts w:ascii="Times New Roman" w:hAnsi="Times New Roman" w:cs="Times New Roman"/>
                <w:sz w:val="20"/>
                <w:szCs w:val="20"/>
                <w:lang w:val="bg-BG"/>
              </w:rPr>
              <w:t>Степен на оползотворяване, вкл. рециклиране %</w:t>
            </w:r>
          </w:p>
        </w:tc>
      </w:tr>
    </w:tbl>
    <w:tbl>
      <w:tblPr>
        <w:tblStyle w:val="TableGrid"/>
        <w:tblW w:w="0" w:type="auto"/>
        <w:tblLook w:val="04A0" w:firstRow="1" w:lastRow="0" w:firstColumn="1" w:lastColumn="0" w:noHBand="0" w:noVBand="1"/>
      </w:tblPr>
      <w:tblGrid>
        <w:gridCol w:w="1795"/>
        <w:gridCol w:w="2070"/>
        <w:gridCol w:w="2070"/>
      </w:tblGrid>
      <w:tr w:rsidR="00D27783" w:rsidRPr="006904BB" w14:paraId="4289E8D8" w14:textId="77777777" w:rsidTr="00D27783">
        <w:tc>
          <w:tcPr>
            <w:tcW w:w="1795" w:type="dxa"/>
          </w:tcPr>
          <w:p w14:paraId="08A1698E"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Пластмаса</w:t>
            </w:r>
          </w:p>
        </w:tc>
        <w:tc>
          <w:tcPr>
            <w:tcW w:w="2070" w:type="dxa"/>
          </w:tcPr>
          <w:p w14:paraId="335B2336"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22.5%</w:t>
            </w:r>
          </w:p>
        </w:tc>
        <w:tc>
          <w:tcPr>
            <w:tcW w:w="2070" w:type="dxa"/>
          </w:tcPr>
          <w:p w14:paraId="4A62920D"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59%</w:t>
            </w:r>
          </w:p>
        </w:tc>
      </w:tr>
      <w:tr w:rsidR="00D27783" w:rsidRPr="006904BB" w14:paraId="537DB04B" w14:textId="77777777" w:rsidTr="00D27783">
        <w:tc>
          <w:tcPr>
            <w:tcW w:w="1795" w:type="dxa"/>
          </w:tcPr>
          <w:p w14:paraId="3FB6846E"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Хартия/ картон</w:t>
            </w:r>
          </w:p>
        </w:tc>
        <w:tc>
          <w:tcPr>
            <w:tcW w:w="2070" w:type="dxa"/>
          </w:tcPr>
          <w:p w14:paraId="58034142"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60%</w:t>
            </w:r>
          </w:p>
        </w:tc>
        <w:tc>
          <w:tcPr>
            <w:tcW w:w="2070" w:type="dxa"/>
          </w:tcPr>
          <w:p w14:paraId="0FEB5DE4"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63%</w:t>
            </w:r>
          </w:p>
        </w:tc>
      </w:tr>
      <w:tr w:rsidR="00D27783" w:rsidRPr="006904BB" w14:paraId="545F3BA8" w14:textId="77777777" w:rsidTr="00D27783">
        <w:tc>
          <w:tcPr>
            <w:tcW w:w="1795" w:type="dxa"/>
          </w:tcPr>
          <w:p w14:paraId="17E11D7E"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Метал</w:t>
            </w:r>
          </w:p>
        </w:tc>
        <w:tc>
          <w:tcPr>
            <w:tcW w:w="2070" w:type="dxa"/>
          </w:tcPr>
          <w:p w14:paraId="323521FF"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50%</w:t>
            </w:r>
          </w:p>
        </w:tc>
        <w:tc>
          <w:tcPr>
            <w:tcW w:w="2070" w:type="dxa"/>
          </w:tcPr>
          <w:p w14:paraId="3B660875"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81%</w:t>
            </w:r>
          </w:p>
        </w:tc>
      </w:tr>
      <w:tr w:rsidR="00D27783" w:rsidRPr="006904BB" w14:paraId="7CE48437" w14:textId="77777777" w:rsidTr="00D27783">
        <w:tc>
          <w:tcPr>
            <w:tcW w:w="1795" w:type="dxa"/>
          </w:tcPr>
          <w:p w14:paraId="64807CFD"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Дърво</w:t>
            </w:r>
          </w:p>
        </w:tc>
        <w:tc>
          <w:tcPr>
            <w:tcW w:w="2070" w:type="dxa"/>
          </w:tcPr>
          <w:p w14:paraId="3047D166"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15%</w:t>
            </w:r>
          </w:p>
        </w:tc>
        <w:tc>
          <w:tcPr>
            <w:tcW w:w="2070" w:type="dxa"/>
          </w:tcPr>
          <w:p w14:paraId="4E390793"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21%</w:t>
            </w:r>
          </w:p>
        </w:tc>
      </w:tr>
      <w:tr w:rsidR="00D27783" w:rsidRPr="006904BB" w14:paraId="1AB7A92D" w14:textId="77777777" w:rsidTr="00D27783">
        <w:tc>
          <w:tcPr>
            <w:tcW w:w="1795" w:type="dxa"/>
          </w:tcPr>
          <w:p w14:paraId="65B12ECF"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Стъкло</w:t>
            </w:r>
          </w:p>
        </w:tc>
        <w:tc>
          <w:tcPr>
            <w:tcW w:w="2070" w:type="dxa"/>
          </w:tcPr>
          <w:p w14:paraId="595DACB7"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60%</w:t>
            </w:r>
          </w:p>
        </w:tc>
        <w:tc>
          <w:tcPr>
            <w:tcW w:w="2070" w:type="dxa"/>
          </w:tcPr>
          <w:p w14:paraId="79B7C96F"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78%</w:t>
            </w:r>
          </w:p>
        </w:tc>
      </w:tr>
      <w:tr w:rsidR="00D27783" w:rsidRPr="006904BB" w14:paraId="462A373C" w14:textId="77777777" w:rsidTr="00D27783">
        <w:tc>
          <w:tcPr>
            <w:tcW w:w="1795" w:type="dxa"/>
          </w:tcPr>
          <w:p w14:paraId="12E1F4F3"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Други</w:t>
            </w:r>
          </w:p>
        </w:tc>
        <w:tc>
          <w:tcPr>
            <w:tcW w:w="2070" w:type="dxa"/>
          </w:tcPr>
          <w:p w14:paraId="017EBA57" w14:textId="77777777" w:rsidR="00D27783" w:rsidRPr="00536E7C" w:rsidRDefault="00D27783" w:rsidP="00D27783">
            <w:pPr>
              <w:rPr>
                <w:rFonts w:ascii="Times New Roman" w:hAnsi="Times New Roman" w:cs="Times New Roman"/>
                <w:sz w:val="20"/>
                <w:szCs w:val="20"/>
                <w:lang w:val="bg-BG"/>
              </w:rPr>
            </w:pPr>
          </w:p>
        </w:tc>
        <w:tc>
          <w:tcPr>
            <w:tcW w:w="2070" w:type="dxa"/>
          </w:tcPr>
          <w:p w14:paraId="75BF4796" w14:textId="77777777" w:rsidR="00D27783" w:rsidRPr="00536E7C" w:rsidRDefault="00D27783" w:rsidP="00D27783">
            <w:pPr>
              <w:rPr>
                <w:rFonts w:ascii="Times New Roman" w:hAnsi="Times New Roman" w:cs="Times New Roman"/>
                <w:sz w:val="20"/>
                <w:szCs w:val="20"/>
                <w:lang w:val="bg-BG"/>
              </w:rPr>
            </w:pPr>
            <w:r w:rsidRPr="00536E7C">
              <w:rPr>
                <w:rFonts w:ascii="Times New Roman" w:hAnsi="Times New Roman" w:cs="Times New Roman"/>
                <w:sz w:val="20"/>
                <w:szCs w:val="20"/>
                <w:lang w:val="bg-BG"/>
              </w:rPr>
              <w:t>30%</w:t>
            </w:r>
          </w:p>
        </w:tc>
      </w:tr>
      <w:tr w:rsidR="00D27783" w:rsidRPr="006904BB" w14:paraId="26C7B41B" w14:textId="77777777" w:rsidTr="00D27783">
        <w:tc>
          <w:tcPr>
            <w:tcW w:w="1795" w:type="dxa"/>
          </w:tcPr>
          <w:p w14:paraId="5C95D3D5" w14:textId="77777777" w:rsidR="00D27783" w:rsidRPr="00536E7C" w:rsidRDefault="00D27783" w:rsidP="00D27783">
            <w:pPr>
              <w:rPr>
                <w:rFonts w:ascii="Times New Roman" w:hAnsi="Times New Roman" w:cs="Times New Roman"/>
                <w:sz w:val="20"/>
                <w:szCs w:val="20"/>
                <w:lang w:val="bg-BG"/>
              </w:rPr>
            </w:pPr>
          </w:p>
        </w:tc>
        <w:tc>
          <w:tcPr>
            <w:tcW w:w="2070" w:type="dxa"/>
          </w:tcPr>
          <w:p w14:paraId="7AEC86D0" w14:textId="77777777" w:rsidR="00D27783" w:rsidRPr="00536E7C" w:rsidRDefault="00D27783" w:rsidP="00D27783">
            <w:pPr>
              <w:rPr>
                <w:rFonts w:ascii="Times New Roman" w:hAnsi="Times New Roman" w:cs="Times New Roman"/>
                <w:sz w:val="20"/>
                <w:szCs w:val="20"/>
                <w:lang w:val="bg-BG"/>
              </w:rPr>
            </w:pPr>
          </w:p>
        </w:tc>
        <w:tc>
          <w:tcPr>
            <w:tcW w:w="2070" w:type="dxa"/>
          </w:tcPr>
          <w:p w14:paraId="5EFCE41A" w14:textId="77777777" w:rsidR="00D27783" w:rsidRPr="00536E7C" w:rsidRDefault="00D27783" w:rsidP="00D27783">
            <w:pPr>
              <w:rPr>
                <w:rFonts w:ascii="Times New Roman" w:hAnsi="Times New Roman" w:cs="Times New Roman"/>
                <w:sz w:val="20"/>
                <w:szCs w:val="20"/>
                <w:lang w:val="bg-BG"/>
              </w:rPr>
            </w:pPr>
          </w:p>
        </w:tc>
      </w:tr>
    </w:tbl>
    <w:p w14:paraId="5655308C" w14:textId="77777777" w:rsidR="00D27783" w:rsidRPr="002A5B6B" w:rsidRDefault="00D27783" w:rsidP="00D27783">
      <w:pPr>
        <w:rPr>
          <w:rFonts w:ascii="Times New Roman" w:hAnsi="Times New Roman" w:cs="Times New Roman"/>
          <w:i/>
          <w:iCs/>
          <w:lang w:val="bg-BG"/>
        </w:rPr>
      </w:pPr>
      <w:r w:rsidRPr="002A5B6B">
        <w:rPr>
          <w:rFonts w:ascii="Times New Roman" w:hAnsi="Times New Roman" w:cs="Times New Roman"/>
          <w:i/>
          <w:iCs/>
          <w:lang w:val="bg-BG"/>
        </w:rPr>
        <w:t>Източник: ИАОС</w:t>
      </w:r>
    </w:p>
    <w:p w14:paraId="1D34424E"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color w:val="000000"/>
          <w:lang w:val="bg-BG"/>
        </w:rPr>
      </w:pPr>
      <w:r w:rsidRPr="00655BDE">
        <w:rPr>
          <w:rFonts w:ascii="Times New Roman" w:hAnsi="Times New Roman" w:cs="Times New Roman"/>
          <w:lang w:val="bg-BG"/>
        </w:rPr>
        <w:t>Най-голям е делът на рециклираните отпадъци от метални опаковки, следван от стъклените, хартиените и пластмасовите опаковки.</w:t>
      </w:r>
    </w:p>
    <w:p w14:paraId="78E05CD6"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color w:val="000000"/>
          <w:lang w:val="bg-BG"/>
        </w:rPr>
      </w:pPr>
      <w:r w:rsidRPr="00655BDE">
        <w:rPr>
          <w:rFonts w:ascii="Times New Roman" w:hAnsi="Times New Roman" w:cs="Times New Roman"/>
          <w:color w:val="000000"/>
          <w:lang w:val="bg-BG"/>
        </w:rPr>
        <w:t>Специфичен показател, измерващ ефективността на работа на системата за управление на отпадъците от опаковки е количеството рециклиран отпадък на жител за година</w:t>
      </w:r>
      <w:r w:rsidRPr="00655BDE">
        <w:rPr>
          <w:rFonts w:ascii="Times New Roman" w:hAnsi="Times New Roman" w:cs="Times New Roman"/>
          <w:color w:val="FF0000"/>
          <w:lang w:val="bg-BG"/>
        </w:rPr>
        <w:t xml:space="preserve">. </w:t>
      </w:r>
      <w:r w:rsidRPr="00655BDE">
        <w:rPr>
          <w:rFonts w:ascii="Times New Roman" w:hAnsi="Times New Roman" w:cs="Times New Roman"/>
          <w:color w:val="000000"/>
          <w:lang w:val="bg-BG"/>
        </w:rPr>
        <w:t>За 2018г. този показател е 43 кг./жител, като с всяка изминала година се увеличава процента на рециклираните опаковки.</w:t>
      </w:r>
    </w:p>
    <w:p w14:paraId="525667EA"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Информацията на национално ниво за материали и компоненти от </w:t>
      </w:r>
      <w:r w:rsidRPr="00655BDE">
        <w:rPr>
          <w:rFonts w:ascii="Times New Roman" w:hAnsi="Times New Roman" w:cs="Times New Roman"/>
          <w:b/>
          <w:bCs/>
          <w:lang w:val="bg-BG"/>
        </w:rPr>
        <w:t>предварително третираните ИУМПС</w:t>
      </w:r>
      <w:r w:rsidRPr="00655BDE">
        <w:rPr>
          <w:rFonts w:ascii="Times New Roman" w:hAnsi="Times New Roman" w:cs="Times New Roman"/>
          <w:lang w:val="bg-BG"/>
        </w:rPr>
        <w:t xml:space="preserve"> за 2018 г. показва постигане на националните цели по повторна употреба и рециклиране и повторна употреба и оползотворяване при следното процентно съотношение: временно съхранени са 2,5% от получените материали и компоненти, 2% са обезвредени като основния метод за обезвреждане е депонирането и оползотворени са 95,5%. От оползотворените материали и компоненти 92% са рециклирани, 2,5% са повторно употребени и 1% са оползотворени чрез други</w:t>
      </w:r>
      <w:r w:rsidRPr="00655BDE">
        <w:rPr>
          <w:lang w:val="bg-BG"/>
        </w:rPr>
        <w:t xml:space="preserve"> </w:t>
      </w:r>
      <w:r w:rsidRPr="00655BDE">
        <w:rPr>
          <w:rFonts w:ascii="Times New Roman" w:hAnsi="Times New Roman" w:cs="Times New Roman"/>
          <w:lang w:val="bg-BG"/>
        </w:rPr>
        <w:t>методи за оползотворяване. Част от временно съхранените компоненти са предназначени за повторна употреба.</w:t>
      </w:r>
      <w:r w:rsidRPr="00655BDE">
        <w:rPr>
          <w:rStyle w:val="FootnoteReference"/>
          <w:rFonts w:ascii="Times New Roman" w:hAnsi="Times New Roman" w:cs="Times New Roman"/>
          <w:lang w:val="bg-BG"/>
        </w:rPr>
        <w:footnoteReference w:id="15"/>
      </w:r>
    </w:p>
    <w:p w14:paraId="57DD64AE"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Общото количество на пуснатите на пазара </w:t>
      </w:r>
      <w:r w:rsidRPr="00655BDE">
        <w:rPr>
          <w:rFonts w:ascii="Times New Roman" w:hAnsi="Times New Roman" w:cs="Times New Roman"/>
          <w:b/>
          <w:bCs/>
          <w:lang w:val="bg-BG"/>
        </w:rPr>
        <w:t>гуми</w:t>
      </w:r>
      <w:r w:rsidRPr="00655BDE">
        <w:rPr>
          <w:rFonts w:ascii="Times New Roman" w:hAnsi="Times New Roman" w:cs="Times New Roman"/>
          <w:lang w:val="bg-BG"/>
        </w:rPr>
        <w:t xml:space="preserve"> през 2018 г. е 41 756 тона, количеството на излезлите от употреба е 28 216 тона, а количеството на оползотворените е 33 994 тона. По отношение на методите на третиране, с най-голям дял е преработката за суровини (73%), следвано от изгаряне с оползотворяване на енергия (15%), друго оползотворяване (9%) и регенериране (2%). Изпълнените цели по рециклиране са 60.74% от пуснатите на пазара гуми, при заложена нормативно цел за 2018 г. не по-малко от 40% и по оползотворяване – 65.37% при заложена цел 65%.</w:t>
      </w:r>
      <w:r w:rsidRPr="00655BDE">
        <w:rPr>
          <w:rStyle w:val="FootnoteReference"/>
          <w:rFonts w:ascii="Times New Roman" w:hAnsi="Times New Roman" w:cs="Times New Roman"/>
          <w:lang w:val="bg-BG"/>
        </w:rPr>
        <w:footnoteReference w:id="16"/>
      </w:r>
    </w:p>
    <w:p w14:paraId="636C5DE5"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lastRenderedPageBreak/>
        <w:t xml:space="preserve">Страната изпълнява и целите по разделно събиране на излязло от употреба </w:t>
      </w:r>
      <w:r w:rsidRPr="00655BDE">
        <w:rPr>
          <w:rFonts w:ascii="Times New Roman" w:hAnsi="Times New Roman" w:cs="Times New Roman"/>
          <w:b/>
          <w:bCs/>
          <w:lang w:val="bg-BG"/>
        </w:rPr>
        <w:t>електрическо и електронно оборудване</w:t>
      </w:r>
      <w:r w:rsidRPr="00655BDE">
        <w:rPr>
          <w:rFonts w:ascii="Times New Roman" w:hAnsi="Times New Roman" w:cs="Times New Roman"/>
          <w:lang w:val="bg-BG"/>
        </w:rPr>
        <w:t>, като през 2018 г. разделно събраното количество отпадъци е 52 616 тона или над заложената цел от 55% от средното тегло на пуснатото на пазара ЕЕО през предходните три години. Изпълняват се и целите по оползотворяване/ повторна употреба и рециклиране на ИУЕЕО.</w:t>
      </w:r>
      <w:r w:rsidRPr="00655BDE">
        <w:rPr>
          <w:rStyle w:val="FootnoteReference"/>
          <w:rFonts w:ascii="Times New Roman" w:hAnsi="Times New Roman" w:cs="Times New Roman"/>
          <w:lang w:val="bg-BG"/>
        </w:rPr>
        <w:footnoteReference w:id="17"/>
      </w:r>
    </w:p>
    <w:p w14:paraId="4F5B0F9A"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Постигнатата национална цел по оползотворяване на </w:t>
      </w:r>
      <w:r w:rsidRPr="00655BDE">
        <w:rPr>
          <w:rFonts w:ascii="Times New Roman" w:hAnsi="Times New Roman" w:cs="Times New Roman"/>
          <w:b/>
          <w:bCs/>
          <w:lang w:val="bg-BG"/>
        </w:rPr>
        <w:t>отработени масла</w:t>
      </w:r>
      <w:r w:rsidRPr="00655BDE">
        <w:rPr>
          <w:rFonts w:ascii="Times New Roman" w:hAnsi="Times New Roman" w:cs="Times New Roman"/>
          <w:lang w:val="bg-BG"/>
        </w:rPr>
        <w:t xml:space="preserve"> е 42.76% от пуснатите на пазара, при нормативно определена цел за 2018 г. 40%. Оползотворени са 15162,93т. отработени масла, от които 13506,75т. чрез регенериране и 1656,18т. по други методи. В резултат на регенерирането са получени продукти - смазки, гудронен битум, тежко гориво, консервационни смазки, базови масла и др., като 12434,849 т от тях са реализирани на пазара, а 1525,327 т са складова наличност. През 2018г. са обезвредени 261,67 т ОМ с код на операция по обезвреждане D 09 (физико-химично третиране) съгласно Приложение №1 от допълнителните разпоредби на ЗУО.</w:t>
      </w:r>
      <w:r w:rsidRPr="00655BDE">
        <w:rPr>
          <w:rStyle w:val="FootnoteReference"/>
          <w:rFonts w:ascii="Times New Roman" w:hAnsi="Times New Roman" w:cs="Times New Roman"/>
          <w:lang w:val="bg-BG"/>
        </w:rPr>
        <w:footnoteReference w:id="18"/>
      </w:r>
    </w:p>
    <w:p w14:paraId="737278FC"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Съгласно заложените цели и свързаните с тях мерки в Националния стратегически план за управление на </w:t>
      </w:r>
      <w:r w:rsidRPr="00655BDE">
        <w:rPr>
          <w:rFonts w:ascii="Times New Roman" w:hAnsi="Times New Roman" w:cs="Times New Roman"/>
          <w:b/>
          <w:bCs/>
          <w:lang w:val="bg-BG"/>
        </w:rPr>
        <w:t>утайки</w:t>
      </w:r>
      <w:r w:rsidRPr="00655BDE">
        <w:rPr>
          <w:rFonts w:ascii="Times New Roman" w:hAnsi="Times New Roman" w:cs="Times New Roman"/>
          <w:lang w:val="bg-BG"/>
        </w:rPr>
        <w:t>, за периода 2014- 2020 г. България трябва да осигури изпълнение на следните национални цели:</w:t>
      </w:r>
    </w:p>
    <w:p w14:paraId="099846EC"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Рециклиране и материално оползотворяване на следните количества образувани утайки от ГПСОВ до 2020г: </w:t>
      </w:r>
    </w:p>
    <w:p w14:paraId="31E58A73"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55% до края на 2016 г. </w:t>
      </w:r>
    </w:p>
    <w:p w14:paraId="4DFD38E4"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60% до края на 2018 г.</w:t>
      </w:r>
    </w:p>
    <w:p w14:paraId="067C57E0"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65% до края на 2020 г. </w:t>
      </w:r>
    </w:p>
    <w:p w14:paraId="6B43E611"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Енергийно оползотворяване на следните количества образувани утайки от ГПСОВ до 2020г.: </w:t>
      </w:r>
    </w:p>
    <w:p w14:paraId="26DE1523"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10% до края на 2016 г.</w:t>
      </w:r>
    </w:p>
    <w:p w14:paraId="30DD960A"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 xml:space="preserve">20% до края на 2018 г. </w:t>
      </w:r>
    </w:p>
    <w:p w14:paraId="3FD1CB8F"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35% до края на 2020 г.</w:t>
      </w:r>
    </w:p>
    <w:p w14:paraId="6E7B0330"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Общото количество на докладваните образувани неопасни утайки в страната за 2018г. е 53 082,62 тона/сухо в-во, от които:</w:t>
      </w:r>
    </w:p>
    <w:p w14:paraId="00364B44"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56.13% са употребени в земеделието;</w:t>
      </w:r>
    </w:p>
    <w:p w14:paraId="3DF228E0"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20.27% са временно съхранени;</w:t>
      </w:r>
    </w:p>
    <w:p w14:paraId="0E16E38F"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11.13% са използвани за рекултивация на нарушени терени;</w:t>
      </w:r>
    </w:p>
    <w:p w14:paraId="1F24A012"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7.05% са депонирани;</w:t>
      </w:r>
    </w:p>
    <w:p w14:paraId="5B1D9214" w14:textId="77777777" w:rsidR="00D27783" w:rsidRPr="00655BDE" w:rsidRDefault="00D27783" w:rsidP="00655BDE">
      <w:pPr>
        <w:pStyle w:val="ListParagraph"/>
        <w:numPr>
          <w:ilvl w:val="0"/>
          <w:numId w:val="2"/>
        </w:numPr>
        <w:autoSpaceDE w:val="0"/>
        <w:autoSpaceDN w:val="0"/>
        <w:adjustRightInd w:val="0"/>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5.40% са предадени за производство на тор и биогаз.</w:t>
      </w:r>
      <w:r w:rsidRPr="00655BDE">
        <w:rPr>
          <w:rStyle w:val="FootnoteReference"/>
          <w:rFonts w:ascii="Times New Roman" w:hAnsi="Times New Roman" w:cs="Times New Roman"/>
          <w:lang w:val="bg-BG"/>
        </w:rPr>
        <w:footnoteReference w:id="19"/>
      </w:r>
    </w:p>
    <w:p w14:paraId="1879E44E" w14:textId="77777777" w:rsidR="00D27783" w:rsidRPr="00655BDE" w:rsidRDefault="00D27783" w:rsidP="00655BDE">
      <w:p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Посочените количества неопасни утайки са образувани от 45 ВиК оператори и 13 локални пречиствателни станции за отпадъчни води.</w:t>
      </w:r>
    </w:p>
    <w:p w14:paraId="1738526A" w14:textId="77777777" w:rsidR="00D27783" w:rsidRPr="00655BDE" w:rsidRDefault="00D27783" w:rsidP="00655BDE">
      <w:pPr>
        <w:spacing w:before="120" w:after="120" w:line="264" w:lineRule="auto"/>
        <w:jc w:val="both"/>
        <w:rPr>
          <w:rFonts w:ascii="Times New Roman" w:eastAsia="Times New Roman" w:hAnsi="Times New Roman" w:cs="Times New Roman"/>
          <w:lang w:val="bg-BG"/>
        </w:rPr>
      </w:pPr>
      <w:r w:rsidRPr="00655BDE">
        <w:rPr>
          <w:rFonts w:ascii="Times New Roman" w:eastAsia="Times New Roman" w:hAnsi="Times New Roman" w:cs="Times New Roman"/>
          <w:lang w:val="bg-BG"/>
        </w:rPr>
        <w:t xml:space="preserve">Опасни утайки по смисъла на Наредба №2/2014 г. за класификация на отпадъците се генерират от три ГПСОВ. Алтернатива за тяхното обезвреждане е изгарянето в подходящи съоръжения или </w:t>
      </w:r>
      <w:r w:rsidRPr="00655BDE">
        <w:rPr>
          <w:rFonts w:ascii="Times New Roman" w:eastAsia="Times New Roman" w:hAnsi="Times New Roman" w:cs="Times New Roman"/>
          <w:lang w:val="bg-BG"/>
        </w:rPr>
        <w:lastRenderedPageBreak/>
        <w:t>депониране на съоръжения за опасни отпадъци и/или на регионални депа за битови отпадъци, на които има изградена клетка за депониране на опасни отпадъци.</w:t>
      </w:r>
    </w:p>
    <w:p w14:paraId="66BE6A52" w14:textId="77777777" w:rsidR="00D27783" w:rsidRPr="00655BDE" w:rsidRDefault="00D27783" w:rsidP="00655BDE">
      <w:pPr>
        <w:autoSpaceDE w:val="0"/>
        <w:autoSpaceDN w:val="0"/>
        <w:adjustRightInd w:val="0"/>
        <w:spacing w:before="120" w:after="120" w:line="264" w:lineRule="auto"/>
        <w:jc w:val="both"/>
        <w:rPr>
          <w:rFonts w:ascii="Times New Roman" w:hAnsi="Times New Roman" w:cs="Times New Roman"/>
          <w:lang w:val="bg-BG"/>
        </w:rPr>
      </w:pPr>
      <w:bookmarkStart w:id="45" w:name="_Hlk72785395"/>
      <w:r w:rsidRPr="00655BDE">
        <w:rPr>
          <w:rFonts w:ascii="Times New Roman" w:hAnsi="Times New Roman" w:cs="Times New Roman"/>
          <w:lang w:val="bg-BG"/>
        </w:rPr>
        <w:t>Не са докладвани процеси на съвместно изгаряне в съществуващи инсталации или използване на утайките като вторично гориво. 73% от утайките за 2018г. са материално оползотворени и изпълняват поставените цели в Националния стратегически план, но все още не се изпълняват поставените цели по отношение на тяхното енергийно оползотворяване.</w:t>
      </w:r>
    </w:p>
    <w:bookmarkEnd w:id="45"/>
    <w:p w14:paraId="3201C65F" w14:textId="77777777" w:rsidR="00D27783" w:rsidRPr="00655BDE" w:rsidRDefault="00D27783" w:rsidP="00655BDE">
      <w:pPr>
        <w:spacing w:before="120" w:after="120" w:line="264" w:lineRule="auto"/>
        <w:rPr>
          <w:rFonts w:ascii="Times New Roman" w:hAnsi="Times New Roman" w:cs="Times New Roman"/>
          <w:b/>
          <w:bCs/>
          <w:lang w:val="bg-BG"/>
        </w:rPr>
      </w:pPr>
      <w:r w:rsidRPr="00655BDE">
        <w:rPr>
          <w:rFonts w:ascii="Times New Roman" w:eastAsia="Times New Roman" w:hAnsi="Times New Roman" w:cs="Times New Roman"/>
          <w:b/>
          <w:bCs/>
          <w:lang w:val="bg-BG"/>
        </w:rPr>
        <w:t>Влияние на сектор отпадъци върху компонентите на околната среда</w:t>
      </w:r>
    </w:p>
    <w:p w14:paraId="09240AA6" w14:textId="77777777" w:rsidR="00D27783" w:rsidRPr="00655BDE" w:rsidRDefault="00D27783" w:rsidP="00655BDE">
      <w:pPr>
        <w:spacing w:before="120" w:after="120" w:line="264" w:lineRule="auto"/>
        <w:rPr>
          <w:rFonts w:ascii="Times New Roman" w:hAnsi="Times New Roman" w:cs="Times New Roman"/>
          <w:b/>
          <w:bCs/>
          <w:lang w:val="bg-BG"/>
        </w:rPr>
      </w:pPr>
      <w:r w:rsidRPr="00655BDE">
        <w:rPr>
          <w:rFonts w:ascii="Times New Roman" w:hAnsi="Times New Roman" w:cs="Times New Roman"/>
          <w:b/>
          <w:bCs/>
          <w:lang w:val="bg-BG"/>
        </w:rPr>
        <w:t>Влияние на сектор отпадъци върху качеството на атмосферния въздух</w:t>
      </w:r>
    </w:p>
    <w:p w14:paraId="46B93781" w14:textId="77777777" w:rsidR="00D27783" w:rsidRPr="00655BDE" w:rsidRDefault="00D27783" w:rsidP="00655BDE">
      <w:pPr>
        <w:autoSpaceDE w:val="0"/>
        <w:autoSpaceDN w:val="0"/>
        <w:adjustRightInd w:val="0"/>
        <w:spacing w:before="120" w:after="120" w:line="264" w:lineRule="auto"/>
        <w:jc w:val="both"/>
        <w:rPr>
          <w:rFonts w:ascii="Times New Roman" w:eastAsia="Times New Roman,Bold" w:hAnsi="Times New Roman" w:cs="Times New Roman"/>
          <w:lang w:val="bg-BG"/>
        </w:rPr>
      </w:pPr>
      <w:r w:rsidRPr="00655BDE">
        <w:rPr>
          <w:rFonts w:ascii="Times New Roman" w:hAnsi="Times New Roman" w:cs="Times New Roman"/>
          <w:lang w:val="bg-BG"/>
        </w:rPr>
        <w:t xml:space="preserve">Оценката на основните замърсители на атмосферния въздух по групи източници на национално ниво демонстрира приноса на процесите по третиране и депониране на отпадъци по отношение качеството на атмосферния въздух. </w:t>
      </w:r>
      <w:r w:rsidRPr="00655BDE">
        <w:rPr>
          <w:rFonts w:ascii="Times New Roman" w:eastAsia="Times New Roman,Bold" w:hAnsi="Times New Roman" w:cs="Times New Roman"/>
          <w:lang w:val="bg-BG"/>
        </w:rPr>
        <w:t>До 2011 г. третирането и депонирането на отпадъци, наред със селското стопанство, се определя като един от основните източници на амоняк, като емитира между 18% и 20% от общото количество емисии</w:t>
      </w:r>
      <w:r w:rsidRPr="00655BDE">
        <w:rPr>
          <w:rStyle w:val="FootnoteReference"/>
          <w:rFonts w:ascii="Times New Roman" w:eastAsia="Times New Roman,Bold" w:hAnsi="Times New Roman" w:cs="Times New Roman"/>
          <w:lang w:val="bg-BG"/>
        </w:rPr>
        <w:footnoteReference w:id="20"/>
      </w:r>
      <w:r w:rsidRPr="00655BDE">
        <w:rPr>
          <w:rFonts w:ascii="Times New Roman" w:eastAsia="Times New Roman,Bold" w:hAnsi="Times New Roman" w:cs="Times New Roman"/>
          <w:lang w:val="bg-BG"/>
        </w:rPr>
        <w:t>.</w:t>
      </w:r>
    </w:p>
    <w:p w14:paraId="4A93285A" w14:textId="77777777" w:rsidR="00D27783" w:rsidRPr="00655BDE" w:rsidRDefault="00D27783" w:rsidP="00655BDE">
      <w:p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Към настоящия момент, нито един от замърсителите отпадъците не се определят като основен източник. Най-голямо е въздействието при образуване на емисии в атмосферния въздух на:</w:t>
      </w:r>
    </w:p>
    <w:p w14:paraId="0A7FF265" w14:textId="77777777" w:rsidR="00D27783" w:rsidRPr="00655BDE" w:rsidRDefault="00D27783" w:rsidP="00655BDE">
      <w:pPr>
        <w:pStyle w:val="ListParagraph"/>
        <w:numPr>
          <w:ilvl w:val="0"/>
          <w:numId w:val="2"/>
        </w:num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неметанови летливи органични съединения (NMVOC) – 1.82 тона/годишно за 2018г.</w:t>
      </w:r>
    </w:p>
    <w:p w14:paraId="6982BD2B" w14:textId="77777777" w:rsidR="00D27783" w:rsidRPr="00655BDE" w:rsidRDefault="00D27783" w:rsidP="00655BDE">
      <w:pPr>
        <w:pStyle w:val="ListParagraph"/>
        <w:numPr>
          <w:ilvl w:val="0"/>
          <w:numId w:val="2"/>
        </w:numPr>
        <w:spacing w:before="120" w:after="120" w:line="264" w:lineRule="auto"/>
        <w:jc w:val="both"/>
        <w:rPr>
          <w:rFonts w:ascii="Times New Roman" w:hAnsi="Times New Roman" w:cs="Times New Roman"/>
          <w:lang w:val="bg-BG"/>
        </w:rPr>
      </w:pPr>
      <w:r w:rsidRPr="00655BDE">
        <w:rPr>
          <w:rFonts w:ascii="Times New Roman" w:hAnsi="Times New Roman" w:cs="Times New Roman"/>
          <w:lang w:val="bg-BG"/>
        </w:rPr>
        <w:t>диоксини и фурани (DIOX) – 5.23 г/годишно за 2108 г.</w:t>
      </w:r>
    </w:p>
    <w:p w14:paraId="57A00877" w14:textId="77777777" w:rsidR="00D27783" w:rsidRPr="00AF353F" w:rsidRDefault="00AF353F" w:rsidP="00AF353F">
      <w:pPr>
        <w:pStyle w:val="Caption"/>
        <w:rPr>
          <w:rFonts w:ascii="Times New Roman" w:hAnsi="Times New Roman" w:cs="Times New Roman"/>
          <w:b w:val="0"/>
          <w:bCs w:val="0"/>
          <w:i/>
          <w:color w:val="auto"/>
          <w:sz w:val="22"/>
          <w:szCs w:val="22"/>
          <w:lang w:val="bg-BG"/>
        </w:rPr>
      </w:pPr>
      <w:bookmarkStart w:id="46" w:name="_Toc72919671"/>
      <w:r w:rsidRPr="00AF353F">
        <w:rPr>
          <w:rFonts w:ascii="Times New Roman" w:hAnsi="Times New Roman" w:cs="Times New Roman"/>
          <w:b w:val="0"/>
          <w:bCs w:val="0"/>
          <w:i/>
          <w:color w:val="auto"/>
          <w:sz w:val="22"/>
          <w:szCs w:val="22"/>
          <w:lang w:val="bg-BG"/>
        </w:rPr>
        <w:t xml:space="preserve">Таблица </w:t>
      </w:r>
      <w:r w:rsidRPr="00AF353F">
        <w:rPr>
          <w:rFonts w:ascii="Times New Roman" w:hAnsi="Times New Roman" w:cs="Times New Roman"/>
          <w:b w:val="0"/>
          <w:bCs w:val="0"/>
          <w:i/>
          <w:color w:val="auto"/>
          <w:sz w:val="22"/>
          <w:szCs w:val="22"/>
          <w:lang w:val="bg-BG"/>
        </w:rPr>
        <w:fldChar w:fldCharType="begin"/>
      </w:r>
      <w:r w:rsidRPr="00AF353F">
        <w:rPr>
          <w:rFonts w:ascii="Times New Roman" w:hAnsi="Times New Roman" w:cs="Times New Roman"/>
          <w:b w:val="0"/>
          <w:bCs w:val="0"/>
          <w:i/>
          <w:color w:val="auto"/>
          <w:sz w:val="22"/>
          <w:szCs w:val="22"/>
          <w:lang w:val="bg-BG"/>
        </w:rPr>
        <w:instrText xml:space="preserve"> SEQ Таблица \* ARABIC </w:instrText>
      </w:r>
      <w:r w:rsidRPr="00AF353F">
        <w:rPr>
          <w:rFonts w:ascii="Times New Roman" w:hAnsi="Times New Roman" w:cs="Times New Roman"/>
          <w:b w:val="0"/>
          <w:bCs w:val="0"/>
          <w:i/>
          <w:color w:val="auto"/>
          <w:sz w:val="22"/>
          <w:szCs w:val="22"/>
          <w:lang w:val="bg-BG"/>
        </w:rPr>
        <w:fldChar w:fldCharType="separate"/>
      </w:r>
      <w:r>
        <w:rPr>
          <w:rFonts w:ascii="Times New Roman" w:hAnsi="Times New Roman" w:cs="Times New Roman"/>
          <w:b w:val="0"/>
          <w:bCs w:val="0"/>
          <w:i/>
          <w:noProof/>
          <w:color w:val="auto"/>
          <w:sz w:val="22"/>
          <w:szCs w:val="22"/>
          <w:lang w:val="bg-BG"/>
        </w:rPr>
        <w:t>12</w:t>
      </w:r>
      <w:r w:rsidRPr="00AF353F">
        <w:rPr>
          <w:rFonts w:ascii="Times New Roman" w:hAnsi="Times New Roman" w:cs="Times New Roman"/>
          <w:b w:val="0"/>
          <w:bCs w:val="0"/>
          <w:i/>
          <w:color w:val="auto"/>
          <w:sz w:val="22"/>
          <w:szCs w:val="22"/>
          <w:lang w:val="bg-BG"/>
        </w:rPr>
        <w:fldChar w:fldCharType="end"/>
      </w:r>
      <w:r w:rsidRPr="00AF353F">
        <w:rPr>
          <w:rFonts w:ascii="Times New Roman" w:hAnsi="Times New Roman" w:cs="Times New Roman"/>
          <w:b w:val="0"/>
          <w:bCs w:val="0"/>
          <w:i/>
          <w:color w:val="auto"/>
          <w:sz w:val="22"/>
          <w:szCs w:val="22"/>
          <w:lang w:val="bg-BG"/>
        </w:rPr>
        <w:t xml:space="preserve"> </w:t>
      </w:r>
      <w:r w:rsidR="00D27783" w:rsidRPr="00AF353F">
        <w:rPr>
          <w:rFonts w:ascii="Times New Roman" w:hAnsi="Times New Roman" w:cs="Times New Roman"/>
          <w:b w:val="0"/>
          <w:bCs w:val="0"/>
          <w:i/>
          <w:color w:val="auto"/>
          <w:sz w:val="22"/>
          <w:szCs w:val="22"/>
          <w:lang w:val="bg-BG"/>
        </w:rPr>
        <w:t>Емисии на вредни вещества в атмосферния въздух за 2018 в резултат от дейностите по третиране и депониране на отпадъци</w:t>
      </w:r>
      <w:bookmarkEnd w:id="46"/>
    </w:p>
    <w:tbl>
      <w:tblPr>
        <w:tblW w:w="9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1"/>
        <w:gridCol w:w="739"/>
        <w:gridCol w:w="900"/>
        <w:gridCol w:w="720"/>
        <w:gridCol w:w="720"/>
        <w:gridCol w:w="630"/>
        <w:gridCol w:w="630"/>
        <w:gridCol w:w="630"/>
        <w:gridCol w:w="630"/>
        <w:gridCol w:w="810"/>
        <w:gridCol w:w="630"/>
        <w:gridCol w:w="720"/>
        <w:gridCol w:w="715"/>
      </w:tblGrid>
      <w:tr w:rsidR="00181DFA" w:rsidRPr="003E2182" w14:paraId="76F870AA" w14:textId="77777777" w:rsidTr="00181DFA">
        <w:tc>
          <w:tcPr>
            <w:tcW w:w="1151" w:type="dxa"/>
            <w:shd w:val="clear" w:color="auto" w:fill="DEEAF6" w:themeFill="accent5" w:themeFillTint="33"/>
          </w:tcPr>
          <w:p w14:paraId="3171A203"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bookmarkStart w:id="47" w:name="_Hlk72757458"/>
            <w:r w:rsidRPr="00536E7C">
              <w:rPr>
                <w:rFonts w:ascii="Times New Roman" w:eastAsia="Times New Roman,Bold" w:hAnsi="Times New Roman" w:cs="Times New Roman"/>
                <w:b/>
                <w:bCs/>
                <w:sz w:val="18"/>
                <w:szCs w:val="18"/>
                <w:lang w:val="bg-BG"/>
              </w:rPr>
              <w:t>Третиране</w:t>
            </w:r>
          </w:p>
          <w:p w14:paraId="6F610C54"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и депониране</w:t>
            </w:r>
          </w:p>
          <w:p w14:paraId="7922D80A"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на отпадъци</w:t>
            </w:r>
          </w:p>
        </w:tc>
        <w:tc>
          <w:tcPr>
            <w:tcW w:w="739" w:type="dxa"/>
            <w:shd w:val="clear" w:color="auto" w:fill="DEEAF6" w:themeFill="accent5" w:themeFillTint="33"/>
          </w:tcPr>
          <w:p w14:paraId="48C6FCA1"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SОx *</w:t>
            </w:r>
          </w:p>
          <w:p w14:paraId="14D69637"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074D7AC6"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c>
          <w:tcPr>
            <w:tcW w:w="900" w:type="dxa"/>
            <w:shd w:val="clear" w:color="auto" w:fill="DEEAF6" w:themeFill="accent5" w:themeFillTint="33"/>
          </w:tcPr>
          <w:p w14:paraId="426BB9A6"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NOx**</w:t>
            </w:r>
          </w:p>
          <w:p w14:paraId="39BDE63A"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45361F81"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c>
          <w:tcPr>
            <w:tcW w:w="720" w:type="dxa"/>
            <w:shd w:val="clear" w:color="auto" w:fill="DEEAF6" w:themeFill="accent5" w:themeFillTint="33"/>
          </w:tcPr>
          <w:p w14:paraId="486368EF"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NMVOC</w:t>
            </w:r>
          </w:p>
          <w:p w14:paraId="28BD8732"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09F851FF"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c>
          <w:tcPr>
            <w:tcW w:w="720" w:type="dxa"/>
            <w:shd w:val="clear" w:color="auto" w:fill="DEEAF6" w:themeFill="accent5" w:themeFillTint="33"/>
          </w:tcPr>
          <w:p w14:paraId="166E6C65"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NH3</w:t>
            </w:r>
          </w:p>
          <w:p w14:paraId="2541207B"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4E87D497"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c>
          <w:tcPr>
            <w:tcW w:w="630" w:type="dxa"/>
            <w:shd w:val="clear" w:color="auto" w:fill="DEEAF6" w:themeFill="accent5" w:themeFillTint="33"/>
          </w:tcPr>
          <w:p w14:paraId="4BF390C0"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CO</w:t>
            </w:r>
          </w:p>
          <w:p w14:paraId="5A05052B"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(x1000</w:t>
            </w:r>
          </w:p>
          <w:p w14:paraId="0DA42049"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c>
          <w:tcPr>
            <w:tcW w:w="630" w:type="dxa"/>
            <w:shd w:val="clear" w:color="auto" w:fill="DEEAF6" w:themeFill="accent5" w:themeFillTint="33"/>
          </w:tcPr>
          <w:p w14:paraId="6C7745F1"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Hg t/y</w:t>
            </w:r>
          </w:p>
        </w:tc>
        <w:tc>
          <w:tcPr>
            <w:tcW w:w="630" w:type="dxa"/>
            <w:shd w:val="clear" w:color="auto" w:fill="DEEAF6" w:themeFill="accent5" w:themeFillTint="33"/>
          </w:tcPr>
          <w:p w14:paraId="36C31BF2"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Cd t/y</w:t>
            </w:r>
          </w:p>
        </w:tc>
        <w:tc>
          <w:tcPr>
            <w:tcW w:w="630" w:type="dxa"/>
            <w:shd w:val="clear" w:color="auto" w:fill="DEEAF6" w:themeFill="accent5" w:themeFillTint="33"/>
          </w:tcPr>
          <w:p w14:paraId="7613F43E"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Pb t/y</w:t>
            </w:r>
          </w:p>
        </w:tc>
        <w:tc>
          <w:tcPr>
            <w:tcW w:w="810" w:type="dxa"/>
            <w:shd w:val="clear" w:color="auto" w:fill="DEEAF6" w:themeFill="accent5" w:themeFillTint="33"/>
          </w:tcPr>
          <w:p w14:paraId="768DECD9"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РАН t/y</w:t>
            </w:r>
          </w:p>
        </w:tc>
        <w:tc>
          <w:tcPr>
            <w:tcW w:w="630" w:type="dxa"/>
            <w:shd w:val="clear" w:color="auto" w:fill="DEEAF6" w:themeFill="accent5" w:themeFillTint="33"/>
          </w:tcPr>
          <w:p w14:paraId="3DC44AA0"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DIOX</w:t>
            </w:r>
          </w:p>
          <w:p w14:paraId="2E6FB777"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g/y</w:t>
            </w:r>
          </w:p>
        </w:tc>
        <w:tc>
          <w:tcPr>
            <w:tcW w:w="720" w:type="dxa"/>
            <w:shd w:val="clear" w:color="auto" w:fill="DEEAF6" w:themeFill="accent5" w:themeFillTint="33"/>
          </w:tcPr>
          <w:p w14:paraId="0EDE13D2"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ФПЧ10</w:t>
            </w:r>
          </w:p>
          <w:p w14:paraId="78AB0C9E"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5510057B"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p w14:paraId="62AF11BA"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p>
        </w:tc>
        <w:tc>
          <w:tcPr>
            <w:tcW w:w="715" w:type="dxa"/>
            <w:shd w:val="clear" w:color="auto" w:fill="DEEAF6" w:themeFill="accent5" w:themeFillTint="33"/>
          </w:tcPr>
          <w:p w14:paraId="714808CC"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ФПЧ2,5</w:t>
            </w:r>
          </w:p>
          <w:p w14:paraId="73868074"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(x 1000</w:t>
            </w:r>
          </w:p>
          <w:p w14:paraId="09FAD635"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t/y)</w:t>
            </w:r>
          </w:p>
        </w:tc>
      </w:tr>
      <w:tr w:rsidR="00181DFA" w:rsidRPr="003E2182" w14:paraId="29478F7A" w14:textId="77777777" w:rsidTr="00181DFA">
        <w:tc>
          <w:tcPr>
            <w:tcW w:w="1151" w:type="dxa"/>
          </w:tcPr>
          <w:p w14:paraId="3407198D"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2018</w:t>
            </w:r>
          </w:p>
        </w:tc>
        <w:tc>
          <w:tcPr>
            <w:tcW w:w="739" w:type="dxa"/>
          </w:tcPr>
          <w:p w14:paraId="0F6C105D"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0.002</w:t>
            </w:r>
          </w:p>
        </w:tc>
        <w:tc>
          <w:tcPr>
            <w:tcW w:w="900" w:type="dxa"/>
          </w:tcPr>
          <w:p w14:paraId="3FBC86F8"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0.013</w:t>
            </w:r>
          </w:p>
        </w:tc>
        <w:tc>
          <w:tcPr>
            <w:tcW w:w="720" w:type="dxa"/>
          </w:tcPr>
          <w:p w14:paraId="3E92A100"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1.82</w:t>
            </w:r>
          </w:p>
        </w:tc>
        <w:tc>
          <w:tcPr>
            <w:tcW w:w="720" w:type="dxa"/>
          </w:tcPr>
          <w:p w14:paraId="1A374CBA"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1.46</w:t>
            </w:r>
          </w:p>
        </w:tc>
        <w:tc>
          <w:tcPr>
            <w:tcW w:w="630" w:type="dxa"/>
          </w:tcPr>
          <w:p w14:paraId="5687393C"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0.14</w:t>
            </w:r>
          </w:p>
        </w:tc>
        <w:tc>
          <w:tcPr>
            <w:tcW w:w="630" w:type="dxa"/>
          </w:tcPr>
          <w:p w14:paraId="1CAB9F72"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0.052</w:t>
            </w:r>
          </w:p>
        </w:tc>
        <w:tc>
          <w:tcPr>
            <w:tcW w:w="630" w:type="dxa"/>
          </w:tcPr>
          <w:p w14:paraId="7F109A6C"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0.004</w:t>
            </w:r>
          </w:p>
        </w:tc>
        <w:tc>
          <w:tcPr>
            <w:tcW w:w="630" w:type="dxa"/>
          </w:tcPr>
          <w:p w14:paraId="3B012269"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0.029</w:t>
            </w:r>
          </w:p>
        </w:tc>
        <w:tc>
          <w:tcPr>
            <w:tcW w:w="810" w:type="dxa"/>
          </w:tcPr>
          <w:p w14:paraId="3591F5AE"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0.0001</w:t>
            </w:r>
          </w:p>
        </w:tc>
        <w:tc>
          <w:tcPr>
            <w:tcW w:w="630" w:type="dxa"/>
          </w:tcPr>
          <w:p w14:paraId="3B8ADE64"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5.23</w:t>
            </w:r>
          </w:p>
        </w:tc>
        <w:tc>
          <w:tcPr>
            <w:tcW w:w="720" w:type="dxa"/>
          </w:tcPr>
          <w:p w14:paraId="5982756C"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0.36</w:t>
            </w:r>
          </w:p>
        </w:tc>
        <w:tc>
          <w:tcPr>
            <w:tcW w:w="715" w:type="dxa"/>
          </w:tcPr>
          <w:p w14:paraId="7CDF9AEE"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0.36</w:t>
            </w:r>
          </w:p>
        </w:tc>
      </w:tr>
      <w:tr w:rsidR="00181DFA" w:rsidRPr="003E2182" w14:paraId="63B5B4BD" w14:textId="77777777" w:rsidTr="00181DFA">
        <w:tc>
          <w:tcPr>
            <w:tcW w:w="1151" w:type="dxa"/>
          </w:tcPr>
          <w:p w14:paraId="39580E44"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2015</w:t>
            </w:r>
          </w:p>
        </w:tc>
        <w:tc>
          <w:tcPr>
            <w:tcW w:w="739" w:type="dxa"/>
          </w:tcPr>
          <w:p w14:paraId="02282378"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w:t>
            </w:r>
          </w:p>
        </w:tc>
        <w:tc>
          <w:tcPr>
            <w:tcW w:w="900" w:type="dxa"/>
          </w:tcPr>
          <w:p w14:paraId="58E5611F"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0.01</w:t>
            </w:r>
          </w:p>
        </w:tc>
        <w:tc>
          <w:tcPr>
            <w:tcW w:w="720" w:type="dxa"/>
          </w:tcPr>
          <w:p w14:paraId="72CBDABF"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0.13</w:t>
            </w:r>
          </w:p>
        </w:tc>
        <w:tc>
          <w:tcPr>
            <w:tcW w:w="720" w:type="dxa"/>
          </w:tcPr>
          <w:p w14:paraId="1193C53B"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0.21</w:t>
            </w:r>
          </w:p>
        </w:tc>
        <w:tc>
          <w:tcPr>
            <w:tcW w:w="630" w:type="dxa"/>
          </w:tcPr>
          <w:p w14:paraId="6D021503"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0.18</w:t>
            </w:r>
          </w:p>
        </w:tc>
        <w:tc>
          <w:tcPr>
            <w:tcW w:w="630" w:type="dxa"/>
          </w:tcPr>
          <w:p w14:paraId="03ED1738"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0.041</w:t>
            </w:r>
          </w:p>
        </w:tc>
        <w:tc>
          <w:tcPr>
            <w:tcW w:w="630" w:type="dxa"/>
          </w:tcPr>
          <w:p w14:paraId="39A06E06"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0.003</w:t>
            </w:r>
          </w:p>
        </w:tc>
        <w:tc>
          <w:tcPr>
            <w:tcW w:w="630" w:type="dxa"/>
          </w:tcPr>
          <w:p w14:paraId="5AA9BC3D"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0.034</w:t>
            </w:r>
          </w:p>
        </w:tc>
        <w:tc>
          <w:tcPr>
            <w:tcW w:w="810" w:type="dxa"/>
          </w:tcPr>
          <w:p w14:paraId="3CA744C1"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0.0001</w:t>
            </w:r>
          </w:p>
        </w:tc>
        <w:tc>
          <w:tcPr>
            <w:tcW w:w="630" w:type="dxa"/>
          </w:tcPr>
          <w:p w14:paraId="78057CB9"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2.03</w:t>
            </w:r>
          </w:p>
        </w:tc>
        <w:tc>
          <w:tcPr>
            <w:tcW w:w="720" w:type="dxa"/>
          </w:tcPr>
          <w:p w14:paraId="058EB288"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w:t>
            </w:r>
          </w:p>
        </w:tc>
        <w:tc>
          <w:tcPr>
            <w:tcW w:w="715" w:type="dxa"/>
          </w:tcPr>
          <w:p w14:paraId="4E63BF7B"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w:t>
            </w:r>
          </w:p>
        </w:tc>
      </w:tr>
      <w:tr w:rsidR="00181DFA" w:rsidRPr="003E2182" w14:paraId="5912F5EC" w14:textId="77777777" w:rsidTr="00181DFA">
        <w:tc>
          <w:tcPr>
            <w:tcW w:w="1151" w:type="dxa"/>
          </w:tcPr>
          <w:p w14:paraId="4CE39572" w14:textId="77777777" w:rsidR="00181DFA" w:rsidRPr="00536E7C"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536E7C">
              <w:rPr>
                <w:rFonts w:ascii="Times New Roman" w:eastAsia="Times New Roman,Bold" w:hAnsi="Times New Roman" w:cs="Times New Roman"/>
                <w:b/>
                <w:bCs/>
                <w:sz w:val="18"/>
                <w:szCs w:val="18"/>
                <w:lang w:val="bg-BG"/>
              </w:rPr>
              <w:t>2011</w:t>
            </w:r>
          </w:p>
        </w:tc>
        <w:tc>
          <w:tcPr>
            <w:tcW w:w="739" w:type="dxa"/>
          </w:tcPr>
          <w:p w14:paraId="51E907A3"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0.01</w:t>
            </w:r>
          </w:p>
        </w:tc>
        <w:tc>
          <w:tcPr>
            <w:tcW w:w="900" w:type="dxa"/>
          </w:tcPr>
          <w:p w14:paraId="73D6CE28"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0.12</w:t>
            </w:r>
          </w:p>
        </w:tc>
        <w:tc>
          <w:tcPr>
            <w:tcW w:w="720" w:type="dxa"/>
          </w:tcPr>
          <w:p w14:paraId="12AFBB7C"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1.10</w:t>
            </w:r>
          </w:p>
        </w:tc>
        <w:tc>
          <w:tcPr>
            <w:tcW w:w="720" w:type="dxa"/>
          </w:tcPr>
          <w:p w14:paraId="7AB84DB3"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8.51</w:t>
            </w:r>
          </w:p>
        </w:tc>
        <w:tc>
          <w:tcPr>
            <w:tcW w:w="630" w:type="dxa"/>
          </w:tcPr>
          <w:p w14:paraId="0B89BB13"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0.01</w:t>
            </w:r>
          </w:p>
        </w:tc>
        <w:tc>
          <w:tcPr>
            <w:tcW w:w="630" w:type="dxa"/>
          </w:tcPr>
          <w:p w14:paraId="3DDA82DF"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0.02</w:t>
            </w:r>
          </w:p>
        </w:tc>
        <w:tc>
          <w:tcPr>
            <w:tcW w:w="630" w:type="dxa"/>
          </w:tcPr>
          <w:p w14:paraId="02DB7CFB"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0.014</w:t>
            </w:r>
          </w:p>
        </w:tc>
        <w:tc>
          <w:tcPr>
            <w:tcW w:w="630" w:type="dxa"/>
          </w:tcPr>
          <w:p w14:paraId="3956661A"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0.19</w:t>
            </w:r>
          </w:p>
        </w:tc>
        <w:tc>
          <w:tcPr>
            <w:tcW w:w="810" w:type="dxa"/>
          </w:tcPr>
          <w:p w14:paraId="4297C0C6"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0.003</w:t>
            </w:r>
          </w:p>
        </w:tc>
        <w:tc>
          <w:tcPr>
            <w:tcW w:w="630" w:type="dxa"/>
          </w:tcPr>
          <w:p w14:paraId="52CB47CA"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51.04</w:t>
            </w:r>
          </w:p>
        </w:tc>
        <w:tc>
          <w:tcPr>
            <w:tcW w:w="720" w:type="dxa"/>
          </w:tcPr>
          <w:p w14:paraId="5B8E04BF"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r w:rsidRPr="00181DFA">
              <w:rPr>
                <w:rFonts w:ascii="Times New Roman" w:eastAsia="Times New Roman,Bold" w:hAnsi="Times New Roman" w:cs="Times New Roman"/>
                <w:b/>
                <w:bCs/>
                <w:sz w:val="18"/>
                <w:szCs w:val="18"/>
                <w:lang w:val="bg-BG"/>
              </w:rPr>
              <w:t>0.001</w:t>
            </w:r>
          </w:p>
        </w:tc>
        <w:tc>
          <w:tcPr>
            <w:tcW w:w="715" w:type="dxa"/>
          </w:tcPr>
          <w:p w14:paraId="7258F098" w14:textId="77777777" w:rsidR="00181DFA" w:rsidRPr="00181DFA" w:rsidRDefault="00181DFA" w:rsidP="00181DFA">
            <w:pPr>
              <w:autoSpaceDE w:val="0"/>
              <w:autoSpaceDN w:val="0"/>
              <w:adjustRightInd w:val="0"/>
              <w:spacing w:after="0" w:line="240" w:lineRule="auto"/>
              <w:rPr>
                <w:rFonts w:ascii="Times New Roman" w:eastAsia="Times New Roman,Bold" w:hAnsi="Times New Roman" w:cs="Times New Roman"/>
                <w:b/>
                <w:bCs/>
                <w:sz w:val="18"/>
                <w:szCs w:val="18"/>
                <w:lang w:val="bg-BG"/>
              </w:rPr>
            </w:pPr>
          </w:p>
        </w:tc>
      </w:tr>
    </w:tbl>
    <w:bookmarkEnd w:id="47"/>
    <w:p w14:paraId="47713E91" w14:textId="77777777" w:rsidR="00D27783" w:rsidRPr="00536E7C" w:rsidRDefault="00D27783" w:rsidP="00D27783">
      <w:pPr>
        <w:autoSpaceDE w:val="0"/>
        <w:autoSpaceDN w:val="0"/>
        <w:adjustRightInd w:val="0"/>
        <w:spacing w:after="0" w:line="240" w:lineRule="auto"/>
        <w:rPr>
          <w:rFonts w:ascii="Times New Roman" w:hAnsi="Times New Roman" w:cs="Times New Roman"/>
          <w:sz w:val="20"/>
          <w:szCs w:val="20"/>
          <w:lang w:val="bg-BG"/>
        </w:rPr>
      </w:pPr>
      <w:r w:rsidRPr="00536E7C">
        <w:rPr>
          <w:rFonts w:ascii="Times New Roman" w:hAnsi="Times New Roman" w:cs="Times New Roman"/>
          <w:sz w:val="20"/>
          <w:szCs w:val="20"/>
          <w:lang w:val="bg-BG"/>
        </w:rPr>
        <w:t>* изчислени като серен диоксид</w:t>
      </w:r>
    </w:p>
    <w:p w14:paraId="5E7A26BA" w14:textId="77777777" w:rsidR="00D27783" w:rsidRPr="00536E7C" w:rsidRDefault="00D27783" w:rsidP="00D27783">
      <w:pPr>
        <w:autoSpaceDE w:val="0"/>
        <w:autoSpaceDN w:val="0"/>
        <w:adjustRightInd w:val="0"/>
        <w:spacing w:after="0" w:line="240" w:lineRule="auto"/>
        <w:rPr>
          <w:rFonts w:ascii="Times New Roman" w:hAnsi="Times New Roman" w:cs="Times New Roman"/>
          <w:sz w:val="20"/>
          <w:szCs w:val="20"/>
          <w:lang w:val="bg-BG"/>
        </w:rPr>
      </w:pPr>
      <w:r w:rsidRPr="00536E7C">
        <w:rPr>
          <w:rFonts w:ascii="Times New Roman" w:hAnsi="Times New Roman" w:cs="Times New Roman"/>
          <w:sz w:val="20"/>
          <w:szCs w:val="20"/>
          <w:lang w:val="bg-BG"/>
        </w:rPr>
        <w:t>** изчислени като азотен диоксид</w:t>
      </w:r>
    </w:p>
    <w:p w14:paraId="0F2C968C" w14:textId="77777777" w:rsidR="00D27783" w:rsidRPr="002A5B6B" w:rsidRDefault="00D27783" w:rsidP="00D27783">
      <w:pPr>
        <w:autoSpaceDE w:val="0"/>
        <w:autoSpaceDN w:val="0"/>
        <w:adjustRightInd w:val="0"/>
        <w:spacing w:after="0" w:line="240" w:lineRule="auto"/>
        <w:rPr>
          <w:rFonts w:ascii="Times New Roman" w:eastAsia="Times New Roman,Bold" w:hAnsi="Times New Roman" w:cs="Times New Roman"/>
          <w:i/>
          <w:iCs/>
          <w:lang w:val="bg-BG"/>
        </w:rPr>
      </w:pPr>
      <w:r w:rsidRPr="002A5B6B">
        <w:rPr>
          <w:rFonts w:ascii="Times New Roman" w:eastAsia="Times New Roman,Bold" w:hAnsi="Times New Roman" w:cs="Times New Roman"/>
          <w:i/>
          <w:iCs/>
          <w:lang w:val="bg-BG"/>
        </w:rPr>
        <w:t>Източник: Национален доклад за състоянието и опазването на околната среда</w:t>
      </w:r>
    </w:p>
    <w:p w14:paraId="3C983EB1" w14:textId="77777777" w:rsidR="00D27783" w:rsidRDefault="00D27783" w:rsidP="00D27783">
      <w:pPr>
        <w:autoSpaceDE w:val="0"/>
        <w:autoSpaceDN w:val="0"/>
        <w:adjustRightInd w:val="0"/>
        <w:spacing w:after="0" w:line="240" w:lineRule="auto"/>
        <w:rPr>
          <w:rFonts w:eastAsia="Times New Roman,Bold" w:cstheme="minorHAnsi"/>
          <w:lang w:val="en-GB"/>
        </w:rPr>
      </w:pPr>
    </w:p>
    <w:p w14:paraId="37A9F13B" w14:textId="77777777" w:rsidR="00C04BF9" w:rsidRDefault="00C04BF9" w:rsidP="00D27783">
      <w:pPr>
        <w:autoSpaceDE w:val="0"/>
        <w:autoSpaceDN w:val="0"/>
        <w:adjustRightInd w:val="0"/>
        <w:spacing w:after="0" w:line="240" w:lineRule="auto"/>
        <w:rPr>
          <w:rFonts w:eastAsia="Times New Roman,Bold" w:cstheme="minorHAnsi"/>
          <w:lang w:val="en-GB"/>
        </w:rPr>
      </w:pPr>
    </w:p>
    <w:p w14:paraId="0D98319D" w14:textId="77777777" w:rsidR="00C04BF9" w:rsidRDefault="00C04BF9" w:rsidP="00D27783">
      <w:pPr>
        <w:autoSpaceDE w:val="0"/>
        <w:autoSpaceDN w:val="0"/>
        <w:adjustRightInd w:val="0"/>
        <w:spacing w:after="0" w:line="240" w:lineRule="auto"/>
        <w:rPr>
          <w:rFonts w:eastAsia="Times New Roman,Bold" w:cstheme="minorHAnsi"/>
          <w:lang w:val="en-GB"/>
        </w:rPr>
      </w:pPr>
    </w:p>
    <w:p w14:paraId="22B40AF6" w14:textId="77777777" w:rsidR="00C04BF9" w:rsidRDefault="00C04BF9" w:rsidP="00D27783">
      <w:pPr>
        <w:autoSpaceDE w:val="0"/>
        <w:autoSpaceDN w:val="0"/>
        <w:adjustRightInd w:val="0"/>
        <w:spacing w:after="0" w:line="240" w:lineRule="auto"/>
        <w:rPr>
          <w:rFonts w:eastAsia="Times New Roman,Bold" w:cstheme="minorHAnsi"/>
          <w:lang w:val="en-GB"/>
        </w:rPr>
      </w:pPr>
    </w:p>
    <w:p w14:paraId="7015384F" w14:textId="77777777" w:rsidR="00C04BF9" w:rsidRDefault="00C04BF9" w:rsidP="00D27783">
      <w:pPr>
        <w:autoSpaceDE w:val="0"/>
        <w:autoSpaceDN w:val="0"/>
        <w:adjustRightInd w:val="0"/>
        <w:spacing w:after="0" w:line="240" w:lineRule="auto"/>
        <w:rPr>
          <w:rFonts w:eastAsia="Times New Roman,Bold" w:cstheme="minorHAnsi"/>
          <w:lang w:val="en-GB"/>
        </w:rPr>
      </w:pPr>
    </w:p>
    <w:p w14:paraId="791E30B2" w14:textId="77777777" w:rsidR="00C04BF9" w:rsidRDefault="00C04BF9" w:rsidP="00D27783">
      <w:pPr>
        <w:autoSpaceDE w:val="0"/>
        <w:autoSpaceDN w:val="0"/>
        <w:adjustRightInd w:val="0"/>
        <w:spacing w:after="0" w:line="240" w:lineRule="auto"/>
        <w:rPr>
          <w:rFonts w:eastAsia="Times New Roman,Bold" w:cstheme="minorHAnsi"/>
          <w:lang w:val="en-GB"/>
        </w:rPr>
      </w:pPr>
    </w:p>
    <w:p w14:paraId="163F2290" w14:textId="77777777" w:rsidR="00C04BF9" w:rsidRDefault="00C04BF9" w:rsidP="00D27783">
      <w:pPr>
        <w:autoSpaceDE w:val="0"/>
        <w:autoSpaceDN w:val="0"/>
        <w:adjustRightInd w:val="0"/>
        <w:spacing w:after="0" w:line="240" w:lineRule="auto"/>
        <w:rPr>
          <w:rFonts w:eastAsia="Times New Roman,Bold" w:cstheme="minorHAnsi"/>
          <w:lang w:val="en-GB"/>
        </w:rPr>
      </w:pPr>
    </w:p>
    <w:p w14:paraId="0F1DB892" w14:textId="77777777" w:rsidR="00D27783" w:rsidRPr="00AF353F" w:rsidRDefault="00AF353F" w:rsidP="00AF353F">
      <w:pPr>
        <w:pStyle w:val="Caption"/>
        <w:rPr>
          <w:rFonts w:ascii="Times New Roman" w:hAnsi="Times New Roman" w:cs="Times New Roman"/>
          <w:b w:val="0"/>
          <w:bCs w:val="0"/>
          <w:i/>
          <w:color w:val="auto"/>
          <w:sz w:val="22"/>
          <w:szCs w:val="22"/>
          <w:lang w:val="bg-BG"/>
        </w:rPr>
      </w:pPr>
      <w:bookmarkStart w:id="48" w:name="_Toc72919688"/>
      <w:r w:rsidRPr="00AF353F">
        <w:rPr>
          <w:rFonts w:ascii="Times New Roman" w:hAnsi="Times New Roman" w:cs="Times New Roman"/>
          <w:b w:val="0"/>
          <w:bCs w:val="0"/>
          <w:i/>
          <w:color w:val="auto"/>
          <w:sz w:val="22"/>
          <w:szCs w:val="22"/>
          <w:lang w:val="bg-BG"/>
        </w:rPr>
        <w:t xml:space="preserve">Фигура </w:t>
      </w:r>
      <w:r w:rsidRPr="00AF353F">
        <w:rPr>
          <w:rFonts w:ascii="Times New Roman" w:hAnsi="Times New Roman" w:cs="Times New Roman"/>
          <w:b w:val="0"/>
          <w:bCs w:val="0"/>
          <w:i/>
          <w:color w:val="auto"/>
          <w:sz w:val="22"/>
          <w:szCs w:val="22"/>
          <w:lang w:val="bg-BG"/>
        </w:rPr>
        <w:fldChar w:fldCharType="begin"/>
      </w:r>
      <w:r w:rsidRPr="00AF353F">
        <w:rPr>
          <w:rFonts w:ascii="Times New Roman" w:hAnsi="Times New Roman" w:cs="Times New Roman"/>
          <w:b w:val="0"/>
          <w:bCs w:val="0"/>
          <w:i/>
          <w:color w:val="auto"/>
          <w:sz w:val="22"/>
          <w:szCs w:val="22"/>
          <w:lang w:val="bg-BG"/>
        </w:rPr>
        <w:instrText xml:space="preserve"> SEQ Фигура \* ARABIC </w:instrText>
      </w:r>
      <w:r w:rsidRPr="00AF353F">
        <w:rPr>
          <w:rFonts w:ascii="Times New Roman" w:hAnsi="Times New Roman" w:cs="Times New Roman"/>
          <w:b w:val="0"/>
          <w:bCs w:val="0"/>
          <w:i/>
          <w:color w:val="auto"/>
          <w:sz w:val="22"/>
          <w:szCs w:val="22"/>
          <w:lang w:val="bg-BG"/>
        </w:rPr>
        <w:fldChar w:fldCharType="separate"/>
      </w:r>
      <w:r>
        <w:rPr>
          <w:rFonts w:ascii="Times New Roman" w:hAnsi="Times New Roman" w:cs="Times New Roman"/>
          <w:b w:val="0"/>
          <w:bCs w:val="0"/>
          <w:i/>
          <w:noProof/>
          <w:color w:val="auto"/>
          <w:sz w:val="22"/>
          <w:szCs w:val="22"/>
          <w:lang w:val="bg-BG"/>
        </w:rPr>
        <w:t>7</w:t>
      </w:r>
      <w:r w:rsidRPr="00AF353F">
        <w:rPr>
          <w:rFonts w:ascii="Times New Roman" w:hAnsi="Times New Roman" w:cs="Times New Roman"/>
          <w:b w:val="0"/>
          <w:bCs w:val="0"/>
          <w:i/>
          <w:color w:val="auto"/>
          <w:sz w:val="22"/>
          <w:szCs w:val="22"/>
          <w:lang w:val="bg-BG"/>
        </w:rPr>
        <w:fldChar w:fldCharType="end"/>
      </w:r>
      <w:r w:rsidRPr="00AF353F">
        <w:rPr>
          <w:rFonts w:ascii="Times New Roman" w:hAnsi="Times New Roman" w:cs="Times New Roman"/>
          <w:b w:val="0"/>
          <w:bCs w:val="0"/>
          <w:i/>
          <w:color w:val="auto"/>
          <w:sz w:val="22"/>
          <w:szCs w:val="22"/>
          <w:lang w:val="bg-BG"/>
        </w:rPr>
        <w:t xml:space="preserve"> </w:t>
      </w:r>
      <w:r w:rsidR="00D27783" w:rsidRPr="00AF353F">
        <w:rPr>
          <w:rFonts w:ascii="Times New Roman" w:hAnsi="Times New Roman" w:cs="Times New Roman"/>
          <w:b w:val="0"/>
          <w:bCs w:val="0"/>
          <w:i/>
          <w:color w:val="auto"/>
          <w:sz w:val="22"/>
          <w:szCs w:val="22"/>
          <w:lang w:val="bg-BG"/>
        </w:rPr>
        <w:t>Емисии NVMOC по източници, 2018 г.</w:t>
      </w:r>
      <w:bookmarkEnd w:id="48"/>
    </w:p>
    <w:p w14:paraId="023E6CBE" w14:textId="77777777" w:rsidR="00D27783" w:rsidRPr="002A5B6B" w:rsidRDefault="00D27783" w:rsidP="00D27783">
      <w:pPr>
        <w:autoSpaceDE w:val="0"/>
        <w:autoSpaceDN w:val="0"/>
        <w:adjustRightInd w:val="0"/>
        <w:spacing w:after="0" w:line="240" w:lineRule="auto"/>
        <w:rPr>
          <w:rFonts w:ascii="Times New Roman,Bold" w:eastAsia="Times New Roman,Bold" w:cs="Times New Roman,Bold"/>
          <w:b/>
          <w:bCs/>
          <w:sz w:val="18"/>
          <w:szCs w:val="18"/>
          <w:lang w:val="bg-BG"/>
        </w:rPr>
      </w:pPr>
      <w:r>
        <w:rPr>
          <w:rFonts w:ascii="Times New Roman,Bold" w:eastAsia="Times New Roman,Bold" w:cs="Times New Roman,Bold"/>
          <w:b/>
          <w:bCs/>
          <w:noProof/>
          <w:sz w:val="18"/>
          <w:szCs w:val="18"/>
          <w:lang w:val="bg-BG" w:eastAsia="bg-BG"/>
        </w:rPr>
        <w:lastRenderedPageBreak/>
        <w:drawing>
          <wp:inline distT="0" distB="0" distL="0" distR="0" wp14:anchorId="51D9727E" wp14:editId="1E0A2BD5">
            <wp:extent cx="4203700" cy="2099698"/>
            <wp:effectExtent l="0" t="0" r="635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47573" cy="2121612"/>
                    </a:xfrm>
                    <a:prstGeom prst="rect">
                      <a:avLst/>
                    </a:prstGeom>
                    <a:noFill/>
                  </pic:spPr>
                </pic:pic>
              </a:graphicData>
            </a:graphic>
          </wp:inline>
        </w:drawing>
      </w:r>
    </w:p>
    <w:p w14:paraId="2FDE753D" w14:textId="77777777" w:rsidR="00D27783" w:rsidRPr="002A5B6B" w:rsidRDefault="00D27783" w:rsidP="00D27783">
      <w:pPr>
        <w:autoSpaceDE w:val="0"/>
        <w:autoSpaceDN w:val="0"/>
        <w:adjustRightInd w:val="0"/>
        <w:spacing w:after="0" w:line="240" w:lineRule="auto"/>
        <w:rPr>
          <w:rFonts w:ascii="Times New Roman" w:eastAsia="Times New Roman,Bold" w:hAnsi="Times New Roman" w:cs="Times New Roman"/>
          <w:i/>
          <w:iCs/>
          <w:lang w:val="bg-BG"/>
        </w:rPr>
      </w:pPr>
      <w:r w:rsidRPr="002A5B6B">
        <w:rPr>
          <w:rFonts w:ascii="Times New Roman" w:eastAsia="Times New Roman,Bold" w:hAnsi="Times New Roman" w:cs="Times New Roman"/>
          <w:i/>
          <w:iCs/>
          <w:lang w:val="bg-BG"/>
        </w:rPr>
        <w:t>Източник: Национален доклад за състоянието и опазването на околната среда</w:t>
      </w:r>
    </w:p>
    <w:p w14:paraId="04447231" w14:textId="77777777" w:rsidR="00D27783" w:rsidRDefault="00D27783" w:rsidP="00D27783">
      <w:pPr>
        <w:pStyle w:val="ListParagraph"/>
        <w:rPr>
          <w:lang w:val="bg-BG"/>
        </w:rPr>
      </w:pPr>
    </w:p>
    <w:p w14:paraId="50DD81CA" w14:textId="77777777" w:rsidR="00D27783" w:rsidRPr="00AF353F" w:rsidRDefault="00AF353F" w:rsidP="00AF353F">
      <w:pPr>
        <w:pStyle w:val="Caption"/>
        <w:rPr>
          <w:rFonts w:ascii="Times New Roman" w:hAnsi="Times New Roman" w:cs="Times New Roman"/>
          <w:b w:val="0"/>
          <w:bCs w:val="0"/>
          <w:i/>
          <w:color w:val="auto"/>
          <w:sz w:val="22"/>
          <w:szCs w:val="22"/>
          <w:lang w:val="bg-BG"/>
        </w:rPr>
      </w:pPr>
      <w:bookmarkStart w:id="49" w:name="_Toc72919689"/>
      <w:r w:rsidRPr="00AF353F">
        <w:rPr>
          <w:rFonts w:ascii="Times New Roman" w:hAnsi="Times New Roman" w:cs="Times New Roman"/>
          <w:b w:val="0"/>
          <w:bCs w:val="0"/>
          <w:i/>
          <w:color w:val="auto"/>
          <w:sz w:val="22"/>
          <w:szCs w:val="22"/>
          <w:lang w:val="bg-BG"/>
        </w:rPr>
        <w:t xml:space="preserve">Фигура </w:t>
      </w:r>
      <w:r w:rsidRPr="00AF353F">
        <w:rPr>
          <w:rFonts w:ascii="Times New Roman" w:hAnsi="Times New Roman" w:cs="Times New Roman"/>
          <w:b w:val="0"/>
          <w:bCs w:val="0"/>
          <w:i/>
          <w:color w:val="auto"/>
          <w:sz w:val="22"/>
          <w:szCs w:val="22"/>
          <w:lang w:val="bg-BG"/>
        </w:rPr>
        <w:fldChar w:fldCharType="begin"/>
      </w:r>
      <w:r w:rsidRPr="00AF353F">
        <w:rPr>
          <w:rFonts w:ascii="Times New Roman" w:hAnsi="Times New Roman" w:cs="Times New Roman"/>
          <w:b w:val="0"/>
          <w:bCs w:val="0"/>
          <w:i/>
          <w:color w:val="auto"/>
          <w:sz w:val="22"/>
          <w:szCs w:val="22"/>
          <w:lang w:val="bg-BG"/>
        </w:rPr>
        <w:instrText xml:space="preserve"> SEQ Фигура \* ARABIC </w:instrText>
      </w:r>
      <w:r w:rsidRPr="00AF353F">
        <w:rPr>
          <w:rFonts w:ascii="Times New Roman" w:hAnsi="Times New Roman" w:cs="Times New Roman"/>
          <w:b w:val="0"/>
          <w:bCs w:val="0"/>
          <w:i/>
          <w:color w:val="auto"/>
          <w:sz w:val="22"/>
          <w:szCs w:val="22"/>
          <w:lang w:val="bg-BG"/>
        </w:rPr>
        <w:fldChar w:fldCharType="separate"/>
      </w:r>
      <w:r>
        <w:rPr>
          <w:rFonts w:ascii="Times New Roman" w:hAnsi="Times New Roman" w:cs="Times New Roman"/>
          <w:b w:val="0"/>
          <w:bCs w:val="0"/>
          <w:i/>
          <w:noProof/>
          <w:color w:val="auto"/>
          <w:sz w:val="22"/>
          <w:szCs w:val="22"/>
          <w:lang w:val="bg-BG"/>
        </w:rPr>
        <w:t>8</w:t>
      </w:r>
      <w:r w:rsidRPr="00AF353F">
        <w:rPr>
          <w:rFonts w:ascii="Times New Roman" w:hAnsi="Times New Roman" w:cs="Times New Roman"/>
          <w:b w:val="0"/>
          <w:bCs w:val="0"/>
          <w:i/>
          <w:color w:val="auto"/>
          <w:sz w:val="22"/>
          <w:szCs w:val="22"/>
          <w:lang w:val="bg-BG"/>
        </w:rPr>
        <w:fldChar w:fldCharType="end"/>
      </w:r>
      <w:r w:rsidRPr="00AF353F">
        <w:rPr>
          <w:rFonts w:ascii="Times New Roman" w:hAnsi="Times New Roman" w:cs="Times New Roman"/>
          <w:b w:val="0"/>
          <w:bCs w:val="0"/>
          <w:i/>
          <w:color w:val="auto"/>
          <w:sz w:val="22"/>
          <w:szCs w:val="22"/>
          <w:lang w:val="bg-BG"/>
        </w:rPr>
        <w:t xml:space="preserve"> </w:t>
      </w:r>
      <w:r w:rsidR="00D27783" w:rsidRPr="00AF353F">
        <w:rPr>
          <w:rFonts w:ascii="Times New Roman" w:hAnsi="Times New Roman" w:cs="Times New Roman"/>
          <w:b w:val="0"/>
          <w:bCs w:val="0"/>
          <w:i/>
          <w:color w:val="auto"/>
          <w:sz w:val="22"/>
          <w:szCs w:val="22"/>
          <w:lang w:val="bg-BG"/>
        </w:rPr>
        <w:t>Емисии DIOX по източници, 2018 г.</w:t>
      </w:r>
      <w:bookmarkEnd w:id="49"/>
    </w:p>
    <w:p w14:paraId="5CC900DE" w14:textId="77777777" w:rsidR="00D27783" w:rsidRPr="002A5B6B" w:rsidRDefault="00D27783" w:rsidP="00D27783">
      <w:pPr>
        <w:autoSpaceDE w:val="0"/>
        <w:autoSpaceDN w:val="0"/>
        <w:adjustRightInd w:val="0"/>
        <w:spacing w:after="0" w:line="240" w:lineRule="auto"/>
        <w:rPr>
          <w:rFonts w:ascii="Times New Roman" w:eastAsia="Times New Roman,Bold" w:hAnsi="Times New Roman" w:cs="Times New Roman"/>
          <w:lang w:val="bg-BG"/>
        </w:rPr>
      </w:pPr>
      <w:r>
        <w:rPr>
          <w:rFonts w:ascii="Times New Roman" w:eastAsia="Times New Roman,Bold" w:hAnsi="Times New Roman" w:cs="Times New Roman"/>
          <w:noProof/>
          <w:lang w:val="bg-BG" w:eastAsia="bg-BG"/>
        </w:rPr>
        <w:drawing>
          <wp:inline distT="0" distB="0" distL="0" distR="0" wp14:anchorId="07405EFA" wp14:editId="4B885311">
            <wp:extent cx="4616450" cy="2142587"/>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5528" cy="2160724"/>
                    </a:xfrm>
                    <a:prstGeom prst="rect">
                      <a:avLst/>
                    </a:prstGeom>
                    <a:noFill/>
                  </pic:spPr>
                </pic:pic>
              </a:graphicData>
            </a:graphic>
          </wp:inline>
        </w:drawing>
      </w:r>
    </w:p>
    <w:p w14:paraId="2633205D" w14:textId="77777777" w:rsidR="00D27783" w:rsidRPr="002A5B6B" w:rsidRDefault="00D27783" w:rsidP="00D27783">
      <w:pPr>
        <w:autoSpaceDE w:val="0"/>
        <w:autoSpaceDN w:val="0"/>
        <w:adjustRightInd w:val="0"/>
        <w:spacing w:after="0" w:line="240" w:lineRule="auto"/>
        <w:rPr>
          <w:rFonts w:ascii="Times New Roman" w:eastAsia="Times New Roman,Bold" w:hAnsi="Times New Roman" w:cs="Times New Roman"/>
          <w:i/>
          <w:iCs/>
          <w:lang w:val="bg-BG"/>
        </w:rPr>
      </w:pPr>
      <w:r w:rsidRPr="002A5B6B">
        <w:rPr>
          <w:rFonts w:ascii="Times New Roman" w:eastAsia="Times New Roman,Bold" w:hAnsi="Times New Roman" w:cs="Times New Roman"/>
          <w:i/>
          <w:iCs/>
          <w:lang w:val="bg-BG"/>
        </w:rPr>
        <w:t>Източник: Национален доклад за състоянието и опазването на околната среда</w:t>
      </w:r>
    </w:p>
    <w:p w14:paraId="126D4FDA" w14:textId="77777777" w:rsidR="00D27783" w:rsidRDefault="00D27783" w:rsidP="00D27783">
      <w:pPr>
        <w:pStyle w:val="ListParagraph"/>
        <w:rPr>
          <w:lang w:val="bg-BG"/>
        </w:rPr>
      </w:pPr>
    </w:p>
    <w:p w14:paraId="069D1D4A" w14:textId="77777777" w:rsidR="00D27783" w:rsidRPr="00655BDE" w:rsidRDefault="00D27783" w:rsidP="00D27783">
      <w:pPr>
        <w:spacing w:line="276" w:lineRule="auto"/>
        <w:rPr>
          <w:rFonts w:ascii="Times New Roman" w:hAnsi="Times New Roman" w:cs="Times New Roman"/>
          <w:b/>
          <w:bCs/>
          <w:lang w:val="bg-BG"/>
        </w:rPr>
      </w:pPr>
      <w:r w:rsidRPr="00655BDE">
        <w:rPr>
          <w:rFonts w:ascii="Times New Roman" w:hAnsi="Times New Roman" w:cs="Times New Roman"/>
          <w:b/>
          <w:bCs/>
          <w:lang w:val="bg-BG"/>
        </w:rPr>
        <w:t>Влияние на сектор отпадъци върху климатичните промени</w:t>
      </w:r>
    </w:p>
    <w:p w14:paraId="5479511C" w14:textId="77777777" w:rsidR="00D27783" w:rsidRPr="00655BDE" w:rsidRDefault="00D27783" w:rsidP="00D27783">
      <w:pPr>
        <w:autoSpaceDE w:val="0"/>
        <w:autoSpaceDN w:val="0"/>
        <w:adjustRightInd w:val="0"/>
        <w:spacing w:after="0" w:line="276" w:lineRule="auto"/>
        <w:jc w:val="both"/>
        <w:rPr>
          <w:rFonts w:ascii="Times New Roman" w:hAnsi="Times New Roman" w:cs="Times New Roman"/>
          <w:lang w:val="bg-BG"/>
        </w:rPr>
      </w:pPr>
      <w:r w:rsidRPr="00655BDE">
        <w:rPr>
          <w:rFonts w:ascii="Times New Roman" w:hAnsi="Times New Roman" w:cs="Times New Roman"/>
          <w:lang w:val="bg-BG"/>
        </w:rPr>
        <w:t>Приносът на сектор отпадъци към общото количество парникови газове през годините за периода 2010 – 2018 г. е с вариации между 9 – 6%, със сравнително отчетлива тенденция към намаляване. Анализът на данните показва, че с най-голям дял от общите емисии на парникови газове през 2018г. е сектор “Енергетика” – 71,3%, следван от сектор “Индустриални процеси и използване на продукти” – 11,3%. Сектор „Селско стопанство” и сектор “Отпадъци” са със съответно по 11,1% и 6,4% от националните емисии.</w:t>
      </w:r>
    </w:p>
    <w:p w14:paraId="4D2985F9" w14:textId="0A092728" w:rsidR="00D27783" w:rsidRDefault="00D27783" w:rsidP="00D27783">
      <w:pPr>
        <w:autoSpaceDE w:val="0"/>
        <w:autoSpaceDN w:val="0"/>
        <w:adjustRightInd w:val="0"/>
        <w:spacing w:after="0" w:line="276" w:lineRule="auto"/>
        <w:jc w:val="both"/>
        <w:rPr>
          <w:rFonts w:ascii="Times New Roman" w:hAnsi="Times New Roman" w:cs="Times New Roman"/>
        </w:rPr>
      </w:pPr>
      <w:r w:rsidRPr="00655BDE">
        <w:rPr>
          <w:rFonts w:ascii="Times New Roman" w:hAnsi="Times New Roman" w:cs="Times New Roman"/>
          <w:lang w:val="bg-BG"/>
        </w:rPr>
        <w:t>Като основна причина за намаление на емисиите парникови газове от сектор „Отпадъци“ е намаляването на  количествата депонирани битови отпадъци. Депонираните твърди отпадъци емитират СН4 в резултат от процесите на анаеробно и аеробно разграждане на органичното им съдържание и са с най-голям принос в емисиите на метан</w:t>
      </w:r>
      <w:r w:rsidR="000C7A78">
        <w:rPr>
          <w:rFonts w:ascii="Times New Roman" w:hAnsi="Times New Roman" w:cs="Times New Roman"/>
        </w:rPr>
        <w:t>.</w:t>
      </w:r>
    </w:p>
    <w:p w14:paraId="1C2FF24A" w14:textId="77777777" w:rsidR="000C7A78" w:rsidRPr="000C7A78" w:rsidRDefault="000C7A78" w:rsidP="00D27783">
      <w:pPr>
        <w:autoSpaceDE w:val="0"/>
        <w:autoSpaceDN w:val="0"/>
        <w:adjustRightInd w:val="0"/>
        <w:spacing w:after="0" w:line="276" w:lineRule="auto"/>
        <w:jc w:val="both"/>
        <w:rPr>
          <w:rFonts w:ascii="Times New Roman" w:hAnsi="Times New Roman" w:cs="Times New Roman"/>
        </w:rPr>
      </w:pPr>
    </w:p>
    <w:p w14:paraId="4D058363" w14:textId="77777777" w:rsidR="00C04BF9" w:rsidRDefault="00C04BF9" w:rsidP="00D27783">
      <w:pPr>
        <w:autoSpaceDE w:val="0"/>
        <w:autoSpaceDN w:val="0"/>
        <w:adjustRightInd w:val="0"/>
        <w:spacing w:after="0" w:line="240" w:lineRule="auto"/>
        <w:rPr>
          <w:rFonts w:ascii="Times New Roman" w:eastAsia="Times New Roman,Bold" w:hAnsi="Times New Roman" w:cs="Times New Roman"/>
          <w:i/>
          <w:iCs/>
          <w:lang w:val="en-GB"/>
        </w:rPr>
      </w:pPr>
    </w:p>
    <w:p w14:paraId="678E5650" w14:textId="77777777" w:rsidR="00D27783" w:rsidRPr="00AF353F" w:rsidRDefault="00AF353F" w:rsidP="00AF353F">
      <w:pPr>
        <w:pStyle w:val="Caption"/>
        <w:rPr>
          <w:rFonts w:ascii="Times New Roman" w:eastAsia="Times New Roman,Bold" w:hAnsi="Times New Roman" w:cs="Times New Roman"/>
          <w:b w:val="0"/>
          <w:bCs w:val="0"/>
          <w:i/>
          <w:iCs/>
          <w:color w:val="auto"/>
          <w:sz w:val="22"/>
          <w:szCs w:val="22"/>
          <w:lang w:val="bg-BG"/>
        </w:rPr>
      </w:pPr>
      <w:bookmarkStart w:id="50" w:name="_Toc72919690"/>
      <w:r w:rsidRPr="00AF353F">
        <w:rPr>
          <w:rFonts w:ascii="Times New Roman" w:eastAsia="Times New Roman,Bold" w:hAnsi="Times New Roman" w:cs="Times New Roman"/>
          <w:b w:val="0"/>
          <w:bCs w:val="0"/>
          <w:i/>
          <w:iCs/>
          <w:color w:val="auto"/>
          <w:sz w:val="22"/>
          <w:szCs w:val="22"/>
          <w:lang w:val="bg-BG"/>
        </w:rPr>
        <w:lastRenderedPageBreak/>
        <w:t xml:space="preserve">Фигура </w:t>
      </w:r>
      <w:r w:rsidRPr="00AF353F">
        <w:rPr>
          <w:rFonts w:ascii="Times New Roman" w:eastAsia="Times New Roman,Bold" w:hAnsi="Times New Roman" w:cs="Times New Roman"/>
          <w:b w:val="0"/>
          <w:bCs w:val="0"/>
          <w:i/>
          <w:iCs/>
          <w:color w:val="auto"/>
          <w:sz w:val="22"/>
          <w:szCs w:val="22"/>
          <w:lang w:val="bg-BG"/>
        </w:rPr>
        <w:fldChar w:fldCharType="begin"/>
      </w:r>
      <w:r w:rsidRPr="00AF353F">
        <w:rPr>
          <w:rFonts w:ascii="Times New Roman" w:eastAsia="Times New Roman,Bold" w:hAnsi="Times New Roman" w:cs="Times New Roman"/>
          <w:b w:val="0"/>
          <w:bCs w:val="0"/>
          <w:i/>
          <w:iCs/>
          <w:color w:val="auto"/>
          <w:sz w:val="22"/>
          <w:szCs w:val="22"/>
          <w:lang w:val="bg-BG"/>
        </w:rPr>
        <w:instrText xml:space="preserve"> SEQ Фигура \* ARABIC </w:instrText>
      </w:r>
      <w:r w:rsidRPr="00AF353F">
        <w:rPr>
          <w:rFonts w:ascii="Times New Roman" w:eastAsia="Times New Roman,Bold" w:hAnsi="Times New Roman" w:cs="Times New Roman"/>
          <w:b w:val="0"/>
          <w:bCs w:val="0"/>
          <w:i/>
          <w:iCs/>
          <w:color w:val="auto"/>
          <w:sz w:val="22"/>
          <w:szCs w:val="22"/>
          <w:lang w:val="bg-BG"/>
        </w:rPr>
        <w:fldChar w:fldCharType="separate"/>
      </w:r>
      <w:r>
        <w:rPr>
          <w:rFonts w:ascii="Times New Roman" w:eastAsia="Times New Roman,Bold" w:hAnsi="Times New Roman" w:cs="Times New Roman"/>
          <w:b w:val="0"/>
          <w:bCs w:val="0"/>
          <w:i/>
          <w:iCs/>
          <w:noProof/>
          <w:color w:val="auto"/>
          <w:sz w:val="22"/>
          <w:szCs w:val="22"/>
          <w:lang w:val="bg-BG"/>
        </w:rPr>
        <w:t>9</w:t>
      </w:r>
      <w:r w:rsidRPr="00AF353F">
        <w:rPr>
          <w:rFonts w:ascii="Times New Roman" w:eastAsia="Times New Roman,Bold" w:hAnsi="Times New Roman" w:cs="Times New Roman"/>
          <w:b w:val="0"/>
          <w:bCs w:val="0"/>
          <w:i/>
          <w:iCs/>
          <w:color w:val="auto"/>
          <w:sz w:val="22"/>
          <w:szCs w:val="22"/>
          <w:lang w:val="bg-BG"/>
        </w:rPr>
        <w:fldChar w:fldCharType="end"/>
      </w:r>
      <w:r w:rsidRPr="00AF353F">
        <w:rPr>
          <w:rFonts w:ascii="Times New Roman" w:eastAsia="Times New Roman,Bold" w:hAnsi="Times New Roman" w:cs="Times New Roman"/>
          <w:b w:val="0"/>
          <w:bCs w:val="0"/>
          <w:i/>
          <w:iCs/>
          <w:color w:val="auto"/>
          <w:sz w:val="22"/>
          <w:szCs w:val="22"/>
          <w:lang w:val="bg-BG"/>
        </w:rPr>
        <w:t xml:space="preserve"> </w:t>
      </w:r>
      <w:r w:rsidR="00D27783" w:rsidRPr="00AF353F">
        <w:rPr>
          <w:rFonts w:ascii="Times New Roman" w:eastAsia="Times New Roman,Bold" w:hAnsi="Times New Roman" w:cs="Times New Roman"/>
          <w:b w:val="0"/>
          <w:bCs w:val="0"/>
          <w:i/>
          <w:iCs/>
          <w:color w:val="auto"/>
          <w:sz w:val="22"/>
          <w:szCs w:val="22"/>
          <w:lang w:val="bg-BG"/>
        </w:rPr>
        <w:t>Принос на сектор Отпадъци към общите емисии ПГ, 2018 г.</w:t>
      </w:r>
      <w:bookmarkEnd w:id="50"/>
    </w:p>
    <w:p w14:paraId="5A9223BC" w14:textId="77777777" w:rsidR="00D27783" w:rsidRPr="002A5B6B" w:rsidRDefault="00D27783" w:rsidP="00D27783">
      <w:pPr>
        <w:rPr>
          <w:rFonts w:cstheme="minorHAnsi"/>
          <w:lang w:val="bg-BG"/>
        </w:rPr>
      </w:pPr>
      <w:r w:rsidRPr="002A5B6B">
        <w:rPr>
          <w:rFonts w:cstheme="minorHAnsi"/>
          <w:noProof/>
          <w:lang w:val="bg-BG" w:eastAsia="bg-BG"/>
        </w:rPr>
        <w:drawing>
          <wp:anchor distT="0" distB="0" distL="114300" distR="114300" simplePos="0" relativeHeight="251672576" behindDoc="0" locked="0" layoutInCell="1" allowOverlap="1" wp14:anchorId="47E7A07F" wp14:editId="1C050281">
            <wp:simplePos x="0" y="0"/>
            <wp:positionH relativeFrom="column">
              <wp:posOffset>2362200</wp:posOffset>
            </wp:positionH>
            <wp:positionV relativeFrom="paragraph">
              <wp:posOffset>113030</wp:posOffset>
            </wp:positionV>
            <wp:extent cx="1510207" cy="1943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0207"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5B6B">
        <w:rPr>
          <w:rFonts w:cstheme="minorHAnsi"/>
          <w:noProof/>
          <w:lang w:val="bg-BG" w:eastAsia="bg-BG"/>
        </w:rPr>
        <w:drawing>
          <wp:anchor distT="0" distB="0" distL="114300" distR="114300" simplePos="0" relativeHeight="251673600" behindDoc="0" locked="0" layoutInCell="1" allowOverlap="1" wp14:anchorId="073DC497" wp14:editId="67AB9165">
            <wp:simplePos x="0" y="0"/>
            <wp:positionH relativeFrom="column">
              <wp:posOffset>628650</wp:posOffset>
            </wp:positionH>
            <wp:positionV relativeFrom="paragraph">
              <wp:posOffset>87630</wp:posOffset>
            </wp:positionV>
            <wp:extent cx="1472565" cy="19558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72565" cy="195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1D9FC" w14:textId="77777777" w:rsidR="00D27783" w:rsidRPr="002A5B6B" w:rsidRDefault="00D27783" w:rsidP="00D27783">
      <w:pPr>
        <w:rPr>
          <w:rFonts w:cstheme="minorHAnsi"/>
          <w:lang w:val="bg-BG"/>
        </w:rPr>
      </w:pPr>
    </w:p>
    <w:p w14:paraId="31C46799" w14:textId="77777777" w:rsidR="00D27783" w:rsidRPr="002A5B6B" w:rsidRDefault="00D27783" w:rsidP="00D27783">
      <w:pPr>
        <w:rPr>
          <w:rFonts w:cstheme="minorHAnsi"/>
          <w:lang w:val="bg-BG"/>
        </w:rPr>
      </w:pPr>
    </w:p>
    <w:p w14:paraId="56C72442" w14:textId="77777777" w:rsidR="00D27783" w:rsidRPr="002A5B6B" w:rsidRDefault="00D27783" w:rsidP="00D27783">
      <w:pPr>
        <w:rPr>
          <w:rFonts w:cstheme="minorHAnsi"/>
          <w:lang w:val="bg-BG"/>
        </w:rPr>
      </w:pPr>
    </w:p>
    <w:p w14:paraId="30C6E35A" w14:textId="77777777" w:rsidR="00D27783" w:rsidRPr="002A5B6B" w:rsidRDefault="00D27783" w:rsidP="00D27783">
      <w:pPr>
        <w:rPr>
          <w:rFonts w:cstheme="minorHAnsi"/>
          <w:lang w:val="bg-BG"/>
        </w:rPr>
      </w:pPr>
    </w:p>
    <w:p w14:paraId="590CB256" w14:textId="77777777" w:rsidR="00D27783" w:rsidRPr="002A5B6B" w:rsidRDefault="00D27783" w:rsidP="00D27783">
      <w:pPr>
        <w:rPr>
          <w:rFonts w:cstheme="minorHAnsi"/>
          <w:lang w:val="bg-BG"/>
        </w:rPr>
      </w:pPr>
    </w:p>
    <w:p w14:paraId="57226163" w14:textId="77777777" w:rsidR="00D27783" w:rsidRPr="002A5B6B" w:rsidRDefault="00D27783" w:rsidP="00D27783">
      <w:pPr>
        <w:rPr>
          <w:rFonts w:cstheme="minorHAnsi"/>
          <w:lang w:val="bg-BG"/>
        </w:rPr>
      </w:pPr>
    </w:p>
    <w:p w14:paraId="5CFEEC21" w14:textId="77777777" w:rsidR="00D27783" w:rsidRPr="002A5B6B" w:rsidRDefault="00D27783" w:rsidP="00D27783">
      <w:pPr>
        <w:rPr>
          <w:rFonts w:ascii="Times New Roman" w:hAnsi="Times New Roman" w:cs="Times New Roman"/>
          <w:i/>
          <w:iCs/>
          <w:lang w:val="bg-BG"/>
        </w:rPr>
      </w:pPr>
      <w:r w:rsidRPr="002A5B6B">
        <w:rPr>
          <w:rFonts w:ascii="Times New Roman" w:hAnsi="Times New Roman" w:cs="Times New Roman"/>
          <w:i/>
          <w:iCs/>
          <w:lang w:val="bg-BG"/>
        </w:rPr>
        <w:t>Източник: Национале</w:t>
      </w:r>
      <w:r>
        <w:rPr>
          <w:rFonts w:ascii="Times New Roman" w:hAnsi="Times New Roman" w:cs="Times New Roman"/>
          <w:i/>
          <w:iCs/>
          <w:lang w:val="bg-BG"/>
        </w:rPr>
        <w:t>н</w:t>
      </w:r>
      <w:r w:rsidRPr="002A5B6B">
        <w:rPr>
          <w:rFonts w:ascii="Times New Roman" w:hAnsi="Times New Roman" w:cs="Times New Roman"/>
          <w:i/>
          <w:iCs/>
          <w:lang w:val="bg-BG"/>
        </w:rPr>
        <w:t xml:space="preserve"> доклад за инвентаризация на емисиите на ПГ през 2018 г.</w:t>
      </w:r>
    </w:p>
    <w:p w14:paraId="3AB58DAC" w14:textId="77777777" w:rsidR="00D27783" w:rsidRPr="00655BDE" w:rsidRDefault="00D27783" w:rsidP="00D27783">
      <w:pPr>
        <w:spacing w:line="276" w:lineRule="auto"/>
        <w:rPr>
          <w:rFonts w:ascii="Times New Roman" w:hAnsi="Times New Roman" w:cs="Times New Roman"/>
          <w:b/>
          <w:bCs/>
          <w:lang w:val="bg-BG"/>
        </w:rPr>
      </w:pPr>
      <w:r w:rsidRPr="00655BDE">
        <w:rPr>
          <w:rFonts w:ascii="Times New Roman" w:hAnsi="Times New Roman" w:cs="Times New Roman"/>
          <w:b/>
          <w:bCs/>
          <w:lang w:val="bg-BG"/>
        </w:rPr>
        <w:t>Влияние на сектор отпадъци върху качеството на водите</w:t>
      </w:r>
    </w:p>
    <w:p w14:paraId="6208D799" w14:textId="77777777" w:rsidR="00D27783" w:rsidRPr="00655BDE" w:rsidRDefault="00D27783" w:rsidP="00D27783">
      <w:pPr>
        <w:spacing w:line="276" w:lineRule="auto"/>
        <w:jc w:val="both"/>
        <w:rPr>
          <w:rFonts w:ascii="Times New Roman" w:hAnsi="Times New Roman" w:cs="Times New Roman"/>
          <w:lang w:val="bg-BG"/>
        </w:rPr>
      </w:pPr>
      <w:r w:rsidRPr="00655BDE">
        <w:rPr>
          <w:rFonts w:ascii="Times New Roman" w:hAnsi="Times New Roman" w:cs="Times New Roman"/>
          <w:lang w:val="bg-BG"/>
        </w:rPr>
        <w:t>В разработените и прилагани второ поколение Планове за управление на речните басейни, свързаните с дейностите по събиране и третиране на отпадъци, източници на натиск се определят като:</w:t>
      </w:r>
    </w:p>
    <w:p w14:paraId="0843F9CD" w14:textId="77777777" w:rsidR="00D27783" w:rsidRPr="00655BDE" w:rsidRDefault="00D27783" w:rsidP="00D27783">
      <w:pPr>
        <w:pStyle w:val="ListParagraph"/>
        <w:numPr>
          <w:ilvl w:val="0"/>
          <w:numId w:val="2"/>
        </w:numPr>
        <w:spacing w:line="276" w:lineRule="auto"/>
        <w:jc w:val="both"/>
        <w:rPr>
          <w:rFonts w:ascii="Times New Roman" w:hAnsi="Times New Roman" w:cs="Times New Roman"/>
          <w:lang w:val="bg-BG"/>
        </w:rPr>
      </w:pPr>
      <w:r w:rsidRPr="00655BDE">
        <w:rPr>
          <w:rFonts w:ascii="Times New Roman" w:hAnsi="Times New Roman" w:cs="Times New Roman"/>
          <w:lang w:val="bg-BG"/>
        </w:rPr>
        <w:t>точкови – замърсяване от зауствания на битови отпадъчни води;</w:t>
      </w:r>
    </w:p>
    <w:p w14:paraId="32D2F28F" w14:textId="77777777" w:rsidR="00D27783" w:rsidRPr="00655BDE" w:rsidRDefault="00D27783" w:rsidP="00D27783">
      <w:pPr>
        <w:pStyle w:val="ListParagraph"/>
        <w:numPr>
          <w:ilvl w:val="0"/>
          <w:numId w:val="2"/>
        </w:numPr>
        <w:spacing w:line="276" w:lineRule="auto"/>
        <w:jc w:val="both"/>
        <w:rPr>
          <w:rFonts w:ascii="Times New Roman" w:hAnsi="Times New Roman" w:cs="Times New Roman"/>
          <w:lang w:val="bg-BG"/>
        </w:rPr>
      </w:pPr>
      <w:r w:rsidRPr="00655BDE">
        <w:rPr>
          <w:rFonts w:ascii="Times New Roman" w:hAnsi="Times New Roman" w:cs="Times New Roman"/>
          <w:lang w:val="bg-BG"/>
        </w:rPr>
        <w:t>дифузни – депа за битови, строителни и производствени отпадъци, които не отговарят на нормативно регламентираните екологични изисквания.</w:t>
      </w:r>
    </w:p>
    <w:p w14:paraId="61B01D8E" w14:textId="77777777" w:rsidR="00D27783" w:rsidRPr="00655BDE" w:rsidRDefault="00D27783" w:rsidP="00D27783">
      <w:pPr>
        <w:spacing w:after="120" w:line="276" w:lineRule="auto"/>
        <w:jc w:val="both"/>
        <w:rPr>
          <w:rFonts w:ascii="Times New Roman" w:hAnsi="Times New Roman" w:cs="Times New Roman"/>
          <w:lang w:val="bg-BG"/>
        </w:rPr>
      </w:pPr>
      <w:r w:rsidRPr="00655BDE">
        <w:rPr>
          <w:rFonts w:ascii="Times New Roman" w:hAnsi="Times New Roman" w:cs="Times New Roman"/>
          <w:lang w:val="bg-BG"/>
        </w:rPr>
        <w:t>Реките в България са подложени най-вече на антропогенен натиск с неизвестен произход (23 %), натиск от точкови източници на градски отпадъчни води (22 %) и дифузно замърсяване от земеделието (19 %). Най-значителен натиск върху подземните водни обекти оказват дифузното замърсяване от земеделието (50 %) и дифузното замърсяване в резултат на зауствания, които не са свързани с канализационната мрежа (49 %). Въздействието върху повърхностните водни обекти е свързано със замърсяване с хранителни вещества (40 %) и органично замърсяване (25 %), а върху подземните води — със замърсяване с хранителни вещества (27 %) и химическо замърсяване (11 %).</w:t>
      </w:r>
      <w:r w:rsidRPr="00655BDE">
        <w:rPr>
          <w:rStyle w:val="FootnoteReference"/>
          <w:rFonts w:ascii="Times New Roman" w:hAnsi="Times New Roman" w:cs="Times New Roman"/>
          <w:lang w:val="bg-BG"/>
        </w:rPr>
        <w:footnoteReference w:id="21"/>
      </w:r>
    </w:p>
    <w:p w14:paraId="3C6AC6F9" w14:textId="77777777" w:rsidR="00D27783" w:rsidRPr="00655BDE" w:rsidRDefault="00D27783" w:rsidP="00D27783">
      <w:pPr>
        <w:spacing w:after="120" w:line="276" w:lineRule="auto"/>
        <w:jc w:val="both"/>
        <w:rPr>
          <w:rFonts w:ascii="Times New Roman" w:hAnsi="Times New Roman" w:cs="Times New Roman"/>
          <w:lang w:val="bg-BG"/>
        </w:rPr>
      </w:pPr>
      <w:r w:rsidRPr="00655BDE">
        <w:rPr>
          <w:rFonts w:ascii="Times New Roman" w:hAnsi="Times New Roman" w:cs="Times New Roman"/>
          <w:lang w:val="bg-BG"/>
        </w:rPr>
        <w:t>Влошаването на качеството на повърхностните и подземните водни тела се дължи основно на недостатъчния брой и капацитет на пречиствателните станции за отпадъчни води (ПСОВ), екологично несъобразено земеползване и промишлена дейност.</w:t>
      </w:r>
    </w:p>
    <w:p w14:paraId="676017FF" w14:textId="77777777" w:rsidR="00D27783" w:rsidRPr="00655BDE" w:rsidRDefault="00D27783" w:rsidP="00D27783">
      <w:pPr>
        <w:spacing w:line="276" w:lineRule="auto"/>
        <w:jc w:val="both"/>
        <w:rPr>
          <w:rFonts w:ascii="Times New Roman" w:hAnsi="Times New Roman" w:cs="Times New Roman"/>
          <w:lang w:val="bg-BG"/>
        </w:rPr>
      </w:pPr>
      <w:bookmarkStart w:id="51" w:name="_Hlk72785411"/>
      <w:r w:rsidRPr="00655BDE">
        <w:rPr>
          <w:rFonts w:ascii="Times New Roman" w:hAnsi="Times New Roman" w:cs="Times New Roman"/>
          <w:lang w:val="bg-BG"/>
        </w:rPr>
        <w:t xml:space="preserve">Друг значим проблем е все още широко разпространената практика на образуване на нерегламентирани сметища, като най-често това са сухи дерета, дерета или заливни тераси на реки. </w:t>
      </w:r>
      <w:bookmarkEnd w:id="51"/>
      <w:r w:rsidRPr="00655BDE">
        <w:rPr>
          <w:rFonts w:ascii="Times New Roman" w:hAnsi="Times New Roman" w:cs="Times New Roman"/>
          <w:lang w:val="bg-BG"/>
        </w:rPr>
        <w:t xml:space="preserve">Това е причина за постоянен процес на оттичане и просмукване на замърсени води в повърхностните и подземните водни тела. На практика липсва информация за точният брой и площта на нерегламентираните сметища, както и количеството и вида на депонираните отпадъци. </w:t>
      </w:r>
    </w:p>
    <w:p w14:paraId="6C856DCC" w14:textId="77777777" w:rsidR="00D27783" w:rsidRPr="00655BDE" w:rsidRDefault="00D27783" w:rsidP="00D27783">
      <w:pPr>
        <w:spacing w:line="276" w:lineRule="auto"/>
        <w:rPr>
          <w:rFonts w:ascii="Times New Roman" w:hAnsi="Times New Roman" w:cs="Times New Roman"/>
          <w:b/>
          <w:bCs/>
          <w:lang w:val="bg-BG"/>
        </w:rPr>
      </w:pPr>
      <w:r w:rsidRPr="00655BDE">
        <w:rPr>
          <w:rFonts w:ascii="Times New Roman" w:hAnsi="Times New Roman" w:cs="Times New Roman"/>
          <w:b/>
          <w:bCs/>
          <w:lang w:val="bg-BG"/>
        </w:rPr>
        <w:lastRenderedPageBreak/>
        <w:t>Влияние на сектор отпадъци върху състоянието на почвите</w:t>
      </w:r>
    </w:p>
    <w:p w14:paraId="55D214FB"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Един от източниците на натиск, свързан със замърсяване на почвите е изграждането и експлоатацията на депа за твърди битови отпадъци, обслужващи населените места, както и нерегламентирано депониране на твърди битови отпадъци. На ниво категория „локални почвени замърсявания”, която включва и площадките за депониране/ обезвреждане на отпадъците, не се събира и обобщава информация от 2007 г.</w:t>
      </w:r>
    </w:p>
    <w:p w14:paraId="777BD458"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 xml:space="preserve">Съгласно методология на Европейската агенция по околна среда категоризацията на локалните източници се извършва според икономическите сектори и дейности: </w:t>
      </w:r>
    </w:p>
    <w:p w14:paraId="648E3B23"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 xml:space="preserve">1. Индустрия: инциденти, прах, хвостохранилища, съхранение </w:t>
      </w:r>
    </w:p>
    <w:p w14:paraId="3F7FA1A1" w14:textId="77777777" w:rsidR="00D27783" w:rsidRPr="00655BDE" w:rsidRDefault="00D27783" w:rsidP="00D27783">
      <w:pPr>
        <w:pStyle w:val="Default"/>
        <w:spacing w:after="147" w:line="276" w:lineRule="auto"/>
        <w:jc w:val="both"/>
        <w:rPr>
          <w:sz w:val="22"/>
          <w:szCs w:val="22"/>
          <w:lang w:val="bg-BG"/>
        </w:rPr>
      </w:pPr>
      <w:r w:rsidRPr="00655BDE">
        <w:rPr>
          <w:sz w:val="22"/>
          <w:szCs w:val="22"/>
          <w:lang w:val="bg-BG"/>
        </w:rPr>
        <w:t xml:space="preserve">2. Минна промишленост: риска най-често се свързва със съхранението или преместването на суровината, дренаж с киселини при използването на различни химични елементи. </w:t>
      </w:r>
    </w:p>
    <w:p w14:paraId="1E687741" w14:textId="77777777" w:rsidR="00D27783" w:rsidRPr="00655BDE" w:rsidRDefault="00D27783" w:rsidP="00D27783">
      <w:pPr>
        <w:pStyle w:val="Default"/>
        <w:spacing w:after="147" w:line="276" w:lineRule="auto"/>
        <w:jc w:val="both"/>
        <w:rPr>
          <w:sz w:val="22"/>
          <w:szCs w:val="22"/>
          <w:lang w:val="bg-BG"/>
        </w:rPr>
      </w:pPr>
      <w:r w:rsidRPr="00655BDE">
        <w:rPr>
          <w:sz w:val="22"/>
          <w:szCs w:val="22"/>
          <w:lang w:val="bg-BG"/>
        </w:rPr>
        <w:t xml:space="preserve">3. Управление на отпадъците </w:t>
      </w:r>
    </w:p>
    <w:p w14:paraId="28B3C352" w14:textId="77777777" w:rsidR="00D27783" w:rsidRPr="00655BDE" w:rsidRDefault="00D27783" w:rsidP="00D27783">
      <w:pPr>
        <w:pStyle w:val="Default"/>
        <w:spacing w:after="147" w:line="276" w:lineRule="auto"/>
        <w:jc w:val="both"/>
        <w:rPr>
          <w:sz w:val="22"/>
          <w:szCs w:val="22"/>
          <w:lang w:val="bg-BG"/>
        </w:rPr>
      </w:pPr>
      <w:r w:rsidRPr="00655BDE">
        <w:rPr>
          <w:sz w:val="22"/>
          <w:szCs w:val="22"/>
          <w:lang w:val="bg-BG"/>
        </w:rPr>
        <w:t xml:space="preserve">4. Трафик: чрез емисии (петрол, газ, гуми от ТИР, загуби, инциденти и др. частици) </w:t>
      </w:r>
    </w:p>
    <w:p w14:paraId="1358D7F0"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 xml:space="preserve">5. Други: продукти, използвани върху или в почвата, частни и търговски обекти, системи за отпадни води и др. </w:t>
      </w:r>
    </w:p>
    <w:p w14:paraId="5260E00A"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През 2003 г. в ИАОС започва изграждане на Национален регистър на локалните замърсявания и източниците на тези замърсявания. През 2007г. се преустановява с оглед привеждане на дейностите съгласно Закона за почвите и Наредбата за инвентаризация и проучване на площите с увредени почви.</w:t>
      </w:r>
    </w:p>
    <w:p w14:paraId="697FAEE8"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 xml:space="preserve">Към 31.12.2007 г. са определени около 1 438 площи със съмнение за замърсяване, на етап «Предварителен преглед». Незначителна част са преминали пълния цикъл на проучване (приватизирани обекти/обекти в процес на приватизация, обекти за добив по ПМС №74, 140 и 195). </w:t>
      </w:r>
    </w:p>
    <w:p w14:paraId="6265DADD"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Източниците на локално почвено замърсяване според категория промишлена дейност от 2007 г. са със следното разпределение:</w:t>
      </w:r>
    </w:p>
    <w:p w14:paraId="788A2F4B" w14:textId="77777777" w:rsidR="00D27783" w:rsidRPr="00655BDE" w:rsidRDefault="00D27783" w:rsidP="00D27783">
      <w:pPr>
        <w:pStyle w:val="Default"/>
        <w:numPr>
          <w:ilvl w:val="0"/>
          <w:numId w:val="2"/>
        </w:numPr>
        <w:spacing w:line="276" w:lineRule="auto"/>
        <w:jc w:val="both"/>
        <w:rPr>
          <w:b/>
          <w:bCs/>
          <w:sz w:val="22"/>
          <w:szCs w:val="22"/>
          <w:lang w:val="bg-BG"/>
        </w:rPr>
      </w:pPr>
      <w:r w:rsidRPr="00655BDE">
        <w:rPr>
          <w:sz w:val="22"/>
          <w:szCs w:val="22"/>
          <w:lang w:val="bg-BG"/>
        </w:rPr>
        <w:t>27% - други източници (целулоза, хартия)</w:t>
      </w:r>
    </w:p>
    <w:p w14:paraId="6845365F" w14:textId="77777777" w:rsidR="00D27783" w:rsidRPr="00655BDE" w:rsidRDefault="00D27783" w:rsidP="00D27783">
      <w:pPr>
        <w:pStyle w:val="Default"/>
        <w:numPr>
          <w:ilvl w:val="0"/>
          <w:numId w:val="2"/>
        </w:numPr>
        <w:spacing w:line="276" w:lineRule="auto"/>
        <w:jc w:val="both"/>
        <w:rPr>
          <w:b/>
          <w:bCs/>
          <w:sz w:val="22"/>
          <w:szCs w:val="22"/>
          <w:lang w:val="bg-BG"/>
        </w:rPr>
      </w:pPr>
      <w:r w:rsidRPr="00655BDE">
        <w:rPr>
          <w:sz w:val="22"/>
          <w:szCs w:val="22"/>
          <w:lang w:val="bg-BG"/>
        </w:rPr>
        <w:t>26% - управление на отпадъци</w:t>
      </w:r>
    </w:p>
    <w:p w14:paraId="4243CA88" w14:textId="77777777" w:rsidR="00D27783" w:rsidRPr="00655BDE" w:rsidRDefault="00D27783" w:rsidP="00D27783">
      <w:pPr>
        <w:pStyle w:val="Default"/>
        <w:numPr>
          <w:ilvl w:val="0"/>
          <w:numId w:val="2"/>
        </w:numPr>
        <w:spacing w:line="276" w:lineRule="auto"/>
        <w:jc w:val="both"/>
        <w:rPr>
          <w:b/>
          <w:bCs/>
          <w:sz w:val="22"/>
          <w:szCs w:val="22"/>
          <w:lang w:val="bg-BG"/>
        </w:rPr>
      </w:pPr>
      <w:r w:rsidRPr="00655BDE">
        <w:rPr>
          <w:sz w:val="22"/>
          <w:szCs w:val="22"/>
          <w:lang w:val="bg-BG"/>
        </w:rPr>
        <w:t>15% - производство на продукти от нерудни минерални суровини</w:t>
      </w:r>
    </w:p>
    <w:p w14:paraId="3DBD8C16" w14:textId="77777777" w:rsidR="00D27783" w:rsidRPr="00655BDE" w:rsidRDefault="00D27783" w:rsidP="00D27783">
      <w:pPr>
        <w:pStyle w:val="Default"/>
        <w:numPr>
          <w:ilvl w:val="0"/>
          <w:numId w:val="2"/>
        </w:numPr>
        <w:spacing w:line="276" w:lineRule="auto"/>
        <w:jc w:val="both"/>
        <w:rPr>
          <w:b/>
          <w:bCs/>
          <w:sz w:val="22"/>
          <w:szCs w:val="22"/>
          <w:lang w:val="bg-BG"/>
        </w:rPr>
      </w:pPr>
      <w:r w:rsidRPr="00655BDE">
        <w:rPr>
          <w:sz w:val="22"/>
          <w:szCs w:val="22"/>
          <w:lang w:val="bg-BG"/>
        </w:rPr>
        <w:t>11% - енергийно производство и химическа промишленост</w:t>
      </w:r>
    </w:p>
    <w:p w14:paraId="2BB4092D" w14:textId="77777777" w:rsidR="00D27783" w:rsidRPr="00655BDE" w:rsidRDefault="00D27783" w:rsidP="00D27783">
      <w:pPr>
        <w:pStyle w:val="Default"/>
        <w:numPr>
          <w:ilvl w:val="0"/>
          <w:numId w:val="2"/>
        </w:numPr>
        <w:spacing w:line="276" w:lineRule="auto"/>
        <w:jc w:val="both"/>
        <w:rPr>
          <w:sz w:val="22"/>
          <w:szCs w:val="22"/>
          <w:lang w:val="bg-BG"/>
        </w:rPr>
      </w:pPr>
      <w:r w:rsidRPr="00655BDE">
        <w:rPr>
          <w:sz w:val="22"/>
          <w:szCs w:val="22"/>
          <w:lang w:val="bg-BG"/>
        </w:rPr>
        <w:t>10% - производство и обработка на метали</w:t>
      </w:r>
    </w:p>
    <w:p w14:paraId="34D0CD61" w14:textId="77777777" w:rsidR="00D27783" w:rsidRPr="00655BDE" w:rsidRDefault="00D27783" w:rsidP="00D27783">
      <w:pPr>
        <w:autoSpaceDE w:val="0"/>
        <w:autoSpaceDN w:val="0"/>
        <w:adjustRightInd w:val="0"/>
        <w:spacing w:after="0" w:line="276" w:lineRule="auto"/>
        <w:jc w:val="both"/>
        <w:rPr>
          <w:rFonts w:ascii="Times New Roman" w:hAnsi="Times New Roman" w:cs="Times New Roman"/>
          <w:color w:val="000000"/>
          <w:lang w:val="bg-BG"/>
        </w:rPr>
      </w:pPr>
      <w:r w:rsidRPr="00655BDE">
        <w:rPr>
          <w:rFonts w:ascii="Times New Roman" w:hAnsi="Times New Roman" w:cs="Times New Roman"/>
          <w:color w:val="000000"/>
          <w:lang w:val="bg-BG"/>
        </w:rPr>
        <w:t xml:space="preserve">Данните, получени по проект Корин земно покритие показват, че </w:t>
      </w:r>
      <w:bookmarkStart w:id="52" w:name="_Hlk72785426"/>
      <w:r w:rsidRPr="00655BDE">
        <w:rPr>
          <w:rFonts w:ascii="Times New Roman" w:hAnsi="Times New Roman" w:cs="Times New Roman"/>
          <w:color w:val="000000"/>
          <w:lang w:val="bg-BG"/>
        </w:rPr>
        <w:t xml:space="preserve">площите, нарушени от кариери и открити рудници в страната за 2012 г. възлизат на 34 877 ha, нарушените от сметища – 3 287 ha, нарушените от строителни материали - 1 030 ha. </w:t>
      </w:r>
      <w:bookmarkEnd w:id="52"/>
    </w:p>
    <w:p w14:paraId="4963C766" w14:textId="77777777" w:rsidR="00D27783" w:rsidRPr="00655BDE" w:rsidRDefault="00D27783" w:rsidP="00D27783">
      <w:pPr>
        <w:autoSpaceDE w:val="0"/>
        <w:autoSpaceDN w:val="0"/>
        <w:adjustRightInd w:val="0"/>
        <w:spacing w:after="0" w:line="276" w:lineRule="auto"/>
        <w:jc w:val="both"/>
        <w:rPr>
          <w:rFonts w:ascii="Times New Roman" w:hAnsi="Times New Roman" w:cs="Times New Roman"/>
          <w:color w:val="000000"/>
          <w:lang w:val="bg-BG"/>
        </w:rPr>
      </w:pPr>
      <w:r w:rsidRPr="00655BDE">
        <w:rPr>
          <w:rFonts w:ascii="Times New Roman" w:hAnsi="Times New Roman" w:cs="Times New Roman"/>
          <w:color w:val="000000"/>
          <w:lang w:val="bg-BG"/>
        </w:rPr>
        <w:t xml:space="preserve">Най-големи територии нарушени земи има в Югоизточен район – 16 712 ha, които са предимно от депонирането на отпадъци от миннодобивната дейност. В Югозападния район нарушените терени са 9 375 ha, в Южен централен район - 5 106 ha, в Североизточен район – 3 860 ha, в Северозападен район – 2 492 ha и в Северен централен район – 1 649 ha. </w:t>
      </w:r>
    </w:p>
    <w:p w14:paraId="13E560A2" w14:textId="77777777" w:rsidR="00D27783" w:rsidRPr="00655BDE" w:rsidRDefault="00D27783" w:rsidP="00D27783">
      <w:pPr>
        <w:pStyle w:val="Default"/>
        <w:spacing w:line="276" w:lineRule="auto"/>
        <w:jc w:val="both"/>
        <w:rPr>
          <w:b/>
          <w:bCs/>
          <w:sz w:val="22"/>
          <w:szCs w:val="22"/>
          <w:lang w:val="bg-BG"/>
        </w:rPr>
      </w:pPr>
      <w:r w:rsidRPr="00655BDE">
        <w:rPr>
          <w:sz w:val="22"/>
          <w:szCs w:val="22"/>
          <w:lang w:val="bg-BG"/>
        </w:rPr>
        <w:t>Относно състоянието на почвите и нарушените терени се наблюдава положителен ефект: рекултивират се замърсени терени и депа за битови отпадъци. Тенденцията е броят на нерегламентираните депа и нерекултивираните терени от миннодобивни дейности да намалява.</w:t>
      </w:r>
      <w:r w:rsidRPr="00655BDE">
        <w:rPr>
          <w:rStyle w:val="FootnoteReference"/>
          <w:sz w:val="22"/>
          <w:szCs w:val="22"/>
          <w:lang w:val="bg-BG"/>
        </w:rPr>
        <w:footnoteReference w:id="22"/>
      </w:r>
    </w:p>
    <w:p w14:paraId="61B8F2C1" w14:textId="77777777" w:rsidR="00FE776F" w:rsidRPr="00655BDE" w:rsidRDefault="00FE776F" w:rsidP="00D27783">
      <w:pPr>
        <w:pStyle w:val="Default"/>
        <w:spacing w:line="276" w:lineRule="auto"/>
        <w:rPr>
          <w:b/>
          <w:bCs/>
          <w:sz w:val="22"/>
          <w:szCs w:val="22"/>
          <w:lang w:val="bg-BG"/>
        </w:rPr>
      </w:pPr>
    </w:p>
    <w:p w14:paraId="0F45B008" w14:textId="77777777" w:rsidR="00D27783" w:rsidRPr="00655BDE" w:rsidRDefault="00D27783" w:rsidP="00D27783">
      <w:pPr>
        <w:pStyle w:val="Default"/>
        <w:spacing w:line="276" w:lineRule="auto"/>
        <w:rPr>
          <w:b/>
          <w:bCs/>
          <w:sz w:val="22"/>
          <w:szCs w:val="22"/>
          <w:lang w:val="bg-BG"/>
        </w:rPr>
      </w:pPr>
      <w:r w:rsidRPr="00655BDE">
        <w:rPr>
          <w:b/>
          <w:bCs/>
          <w:sz w:val="22"/>
          <w:szCs w:val="22"/>
          <w:lang w:val="bg-BG"/>
        </w:rPr>
        <w:t>Влияние на сектор отпадъци върху биоразнообразието и екосистемите</w:t>
      </w:r>
    </w:p>
    <w:p w14:paraId="7F7ED52E"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Замърсяването в резултат от антропогенни фактори се определя като основна форма на натиск върху биологичното разнообразие, което води до деградация и загуба на местообитания.</w:t>
      </w:r>
    </w:p>
    <w:p w14:paraId="3FC54158" w14:textId="77777777" w:rsidR="00D27783" w:rsidRPr="00655BDE" w:rsidRDefault="00D27783" w:rsidP="00D27783">
      <w:pPr>
        <w:autoSpaceDE w:val="0"/>
        <w:autoSpaceDN w:val="0"/>
        <w:adjustRightInd w:val="0"/>
        <w:spacing w:after="0" w:line="276" w:lineRule="auto"/>
        <w:jc w:val="both"/>
        <w:rPr>
          <w:rFonts w:ascii="Times New Roman" w:hAnsi="Times New Roman" w:cs="Times New Roman"/>
          <w:lang w:val="bg-BG"/>
        </w:rPr>
      </w:pPr>
      <w:r w:rsidRPr="00655BDE">
        <w:rPr>
          <w:rFonts w:ascii="Times New Roman" w:hAnsi="Times New Roman" w:cs="Times New Roman"/>
          <w:lang w:val="bg-BG"/>
        </w:rPr>
        <w:t>Като цяло, основен фактор, оказващ негативно влияние върху рибните съобщества и видове в долните течения на реките, остава замърсяването на водите, следван от хидроморфологичния натиск, свързан с изземане на инертни материали от речните корита.</w:t>
      </w:r>
    </w:p>
    <w:p w14:paraId="0D689BB9"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Подобно на тенденциите в Европа и в България загубата на биоразнообразие е резултат от кумулативния ефект на натиск от използването на земята, прекомерната ескплоатация на природните ресурси, замърсяването, климатичните промени и инвазивни видове. Основен напредък се отбелязва по отношение на разширяване на обхвата на защитените територии, макар и липсата на специфични цели за постигане на благоприятно природно състояние да е основна критика.</w:t>
      </w:r>
    </w:p>
    <w:p w14:paraId="012AB804" w14:textId="77777777" w:rsidR="00D27783" w:rsidRPr="00655BDE" w:rsidRDefault="00D27783" w:rsidP="00D27783">
      <w:pPr>
        <w:pStyle w:val="Default"/>
        <w:spacing w:line="276" w:lineRule="auto"/>
        <w:jc w:val="both"/>
        <w:rPr>
          <w:sz w:val="22"/>
          <w:szCs w:val="22"/>
          <w:lang w:val="bg-BG"/>
        </w:rPr>
      </w:pPr>
      <w:r w:rsidRPr="00655BDE">
        <w:rPr>
          <w:sz w:val="22"/>
          <w:szCs w:val="22"/>
          <w:lang w:val="bg-BG"/>
        </w:rPr>
        <w:t>Биологичното разнообразие е засегнато от изхвърлянето на хранителни вещества, химически пестициди, лекарствени продукти, опасни химикали, градски и промишлени отпадъчни води, а също и други отпадъци, в това число битови отпадъци и пластмаса.</w:t>
      </w:r>
    </w:p>
    <w:p w14:paraId="5EE22095" w14:textId="77777777" w:rsidR="00D27783" w:rsidRPr="00655BDE" w:rsidRDefault="00D27783" w:rsidP="00D27783">
      <w:pPr>
        <w:pStyle w:val="Default"/>
        <w:spacing w:before="120" w:after="120" w:line="264" w:lineRule="auto"/>
        <w:jc w:val="both"/>
        <w:rPr>
          <w:sz w:val="22"/>
          <w:szCs w:val="22"/>
        </w:rPr>
      </w:pPr>
      <w:proofErr w:type="spellStart"/>
      <w:r w:rsidRPr="00655BDE">
        <w:rPr>
          <w:sz w:val="22"/>
          <w:szCs w:val="22"/>
        </w:rPr>
        <w:t>Европейска</w:t>
      </w:r>
      <w:proofErr w:type="spellEnd"/>
      <w:r w:rsidRPr="00655BDE">
        <w:rPr>
          <w:sz w:val="22"/>
          <w:szCs w:val="22"/>
        </w:rPr>
        <w:t xml:space="preserve"> </w:t>
      </w:r>
      <w:proofErr w:type="spellStart"/>
      <w:r w:rsidRPr="00655BDE">
        <w:rPr>
          <w:sz w:val="22"/>
          <w:szCs w:val="22"/>
        </w:rPr>
        <w:t>червена</w:t>
      </w:r>
      <w:proofErr w:type="spellEnd"/>
      <w:r w:rsidRPr="00655BDE">
        <w:rPr>
          <w:sz w:val="22"/>
          <w:szCs w:val="22"/>
        </w:rPr>
        <w:t xml:space="preserve"> </w:t>
      </w:r>
      <w:proofErr w:type="spellStart"/>
      <w:r w:rsidRPr="00655BDE">
        <w:rPr>
          <w:sz w:val="22"/>
          <w:szCs w:val="22"/>
        </w:rPr>
        <w:t>книга</w:t>
      </w:r>
      <w:proofErr w:type="spellEnd"/>
      <w:r w:rsidRPr="00655BDE">
        <w:rPr>
          <w:sz w:val="22"/>
          <w:szCs w:val="22"/>
        </w:rPr>
        <w:t xml:space="preserve"> </w:t>
      </w:r>
      <w:proofErr w:type="spellStart"/>
      <w:r w:rsidRPr="00655BDE">
        <w:rPr>
          <w:sz w:val="22"/>
          <w:szCs w:val="22"/>
        </w:rPr>
        <w:t>на</w:t>
      </w:r>
      <w:proofErr w:type="spellEnd"/>
      <w:r w:rsidRPr="00655BDE">
        <w:rPr>
          <w:sz w:val="22"/>
          <w:szCs w:val="22"/>
        </w:rPr>
        <w:t xml:space="preserve"> </w:t>
      </w:r>
      <w:proofErr w:type="spellStart"/>
      <w:r w:rsidRPr="00655BDE">
        <w:rPr>
          <w:sz w:val="22"/>
          <w:szCs w:val="22"/>
        </w:rPr>
        <w:t>хабитатите</w:t>
      </w:r>
      <w:proofErr w:type="spellEnd"/>
      <w:r w:rsidRPr="00655BDE">
        <w:rPr>
          <w:sz w:val="22"/>
          <w:szCs w:val="22"/>
        </w:rPr>
        <w:t xml:space="preserve">, 2016 </w:t>
      </w:r>
      <w:proofErr w:type="spellStart"/>
      <w:r w:rsidRPr="00655BDE">
        <w:rPr>
          <w:sz w:val="22"/>
          <w:szCs w:val="22"/>
        </w:rPr>
        <w:t>определя</w:t>
      </w:r>
      <w:proofErr w:type="spellEnd"/>
      <w:r w:rsidRPr="00655BDE">
        <w:rPr>
          <w:sz w:val="22"/>
          <w:szCs w:val="22"/>
        </w:rPr>
        <w:t xml:space="preserve"> </w:t>
      </w:r>
      <w:proofErr w:type="spellStart"/>
      <w:r w:rsidRPr="00655BDE">
        <w:rPr>
          <w:sz w:val="22"/>
          <w:szCs w:val="22"/>
        </w:rPr>
        <w:t>замърсяването</w:t>
      </w:r>
      <w:proofErr w:type="spellEnd"/>
      <w:r w:rsidRPr="00655BDE">
        <w:rPr>
          <w:sz w:val="22"/>
          <w:szCs w:val="22"/>
        </w:rPr>
        <w:t xml:space="preserve"> </w:t>
      </w:r>
      <w:proofErr w:type="spellStart"/>
      <w:r w:rsidRPr="00655BDE">
        <w:rPr>
          <w:sz w:val="22"/>
          <w:szCs w:val="22"/>
        </w:rPr>
        <w:t>като</w:t>
      </w:r>
      <w:proofErr w:type="spellEnd"/>
      <w:r w:rsidRPr="00655BDE">
        <w:rPr>
          <w:sz w:val="22"/>
          <w:szCs w:val="22"/>
        </w:rPr>
        <w:t xml:space="preserve"> </w:t>
      </w:r>
      <w:proofErr w:type="spellStart"/>
      <w:r w:rsidRPr="00655BDE">
        <w:rPr>
          <w:sz w:val="22"/>
          <w:szCs w:val="22"/>
        </w:rPr>
        <w:t>най-честа</w:t>
      </w:r>
      <w:proofErr w:type="spellEnd"/>
      <w:r w:rsidRPr="00655BDE">
        <w:rPr>
          <w:sz w:val="22"/>
          <w:szCs w:val="22"/>
        </w:rPr>
        <w:t xml:space="preserve"> </w:t>
      </w:r>
      <w:proofErr w:type="spellStart"/>
      <w:r w:rsidRPr="00655BDE">
        <w:rPr>
          <w:sz w:val="22"/>
          <w:szCs w:val="22"/>
        </w:rPr>
        <w:t>причина</w:t>
      </w:r>
      <w:proofErr w:type="spellEnd"/>
      <w:r w:rsidRPr="00655BDE">
        <w:rPr>
          <w:sz w:val="22"/>
          <w:szCs w:val="22"/>
        </w:rPr>
        <w:t xml:space="preserve"> и </w:t>
      </w:r>
      <w:proofErr w:type="spellStart"/>
      <w:r w:rsidRPr="00655BDE">
        <w:rPr>
          <w:sz w:val="22"/>
          <w:szCs w:val="22"/>
        </w:rPr>
        <w:t>натиск</w:t>
      </w:r>
      <w:proofErr w:type="spellEnd"/>
      <w:r w:rsidRPr="00655BDE">
        <w:rPr>
          <w:sz w:val="22"/>
          <w:szCs w:val="22"/>
        </w:rPr>
        <w:t xml:space="preserve"> </w:t>
      </w:r>
      <w:proofErr w:type="spellStart"/>
      <w:r w:rsidRPr="00655BDE">
        <w:rPr>
          <w:sz w:val="22"/>
          <w:szCs w:val="22"/>
        </w:rPr>
        <w:t>върху</w:t>
      </w:r>
      <w:proofErr w:type="spellEnd"/>
      <w:r w:rsidRPr="00655BDE">
        <w:rPr>
          <w:sz w:val="22"/>
          <w:szCs w:val="22"/>
        </w:rPr>
        <w:t xml:space="preserve"> </w:t>
      </w:r>
      <w:proofErr w:type="spellStart"/>
      <w:r w:rsidRPr="00655BDE">
        <w:rPr>
          <w:sz w:val="22"/>
          <w:szCs w:val="22"/>
        </w:rPr>
        <w:t>морските</w:t>
      </w:r>
      <w:proofErr w:type="spellEnd"/>
      <w:r w:rsidRPr="00655BDE">
        <w:rPr>
          <w:sz w:val="22"/>
          <w:szCs w:val="22"/>
        </w:rPr>
        <w:t xml:space="preserve"> </w:t>
      </w:r>
      <w:proofErr w:type="spellStart"/>
      <w:r w:rsidRPr="00655BDE">
        <w:rPr>
          <w:sz w:val="22"/>
          <w:szCs w:val="22"/>
        </w:rPr>
        <w:t>екосистеми</w:t>
      </w:r>
      <w:proofErr w:type="spellEnd"/>
      <w:r w:rsidRPr="00655BDE">
        <w:rPr>
          <w:sz w:val="22"/>
          <w:szCs w:val="22"/>
        </w:rPr>
        <w:t xml:space="preserve"> в </w:t>
      </w:r>
      <w:proofErr w:type="spellStart"/>
      <w:r w:rsidRPr="00655BDE">
        <w:rPr>
          <w:sz w:val="22"/>
          <w:szCs w:val="22"/>
        </w:rPr>
        <w:t>района</w:t>
      </w:r>
      <w:proofErr w:type="spellEnd"/>
      <w:r w:rsidRPr="00655BDE">
        <w:rPr>
          <w:sz w:val="22"/>
          <w:szCs w:val="22"/>
        </w:rPr>
        <w:t xml:space="preserve"> </w:t>
      </w:r>
      <w:proofErr w:type="spellStart"/>
      <w:r w:rsidRPr="00655BDE">
        <w:rPr>
          <w:sz w:val="22"/>
          <w:szCs w:val="22"/>
        </w:rPr>
        <w:t>на</w:t>
      </w:r>
      <w:proofErr w:type="spellEnd"/>
      <w:r w:rsidRPr="00655BDE">
        <w:rPr>
          <w:sz w:val="22"/>
          <w:szCs w:val="22"/>
        </w:rPr>
        <w:t xml:space="preserve"> </w:t>
      </w:r>
      <w:proofErr w:type="spellStart"/>
      <w:r w:rsidRPr="00655BDE">
        <w:rPr>
          <w:sz w:val="22"/>
          <w:szCs w:val="22"/>
        </w:rPr>
        <w:t>Черно</w:t>
      </w:r>
      <w:proofErr w:type="spellEnd"/>
      <w:r w:rsidRPr="00655BDE">
        <w:rPr>
          <w:sz w:val="22"/>
          <w:szCs w:val="22"/>
        </w:rPr>
        <w:t xml:space="preserve"> </w:t>
      </w:r>
      <w:proofErr w:type="spellStart"/>
      <w:r w:rsidRPr="00655BDE">
        <w:rPr>
          <w:sz w:val="22"/>
          <w:szCs w:val="22"/>
        </w:rPr>
        <w:t>море</w:t>
      </w:r>
      <w:proofErr w:type="spellEnd"/>
      <w:r w:rsidRPr="00655BDE">
        <w:rPr>
          <w:sz w:val="22"/>
          <w:szCs w:val="22"/>
        </w:rPr>
        <w:t xml:space="preserve">, </w:t>
      </w:r>
      <w:proofErr w:type="spellStart"/>
      <w:r w:rsidRPr="00655BDE">
        <w:rPr>
          <w:sz w:val="22"/>
          <w:szCs w:val="22"/>
        </w:rPr>
        <w:t>като</w:t>
      </w:r>
      <w:proofErr w:type="spellEnd"/>
      <w:r w:rsidRPr="00655BDE">
        <w:rPr>
          <w:sz w:val="22"/>
          <w:szCs w:val="22"/>
        </w:rPr>
        <w:t xml:space="preserve"> </w:t>
      </w:r>
      <w:proofErr w:type="spellStart"/>
      <w:r w:rsidRPr="00655BDE">
        <w:rPr>
          <w:sz w:val="22"/>
          <w:szCs w:val="22"/>
        </w:rPr>
        <w:t>включва</w:t>
      </w:r>
      <w:proofErr w:type="spellEnd"/>
      <w:r w:rsidRPr="00655BDE">
        <w:rPr>
          <w:sz w:val="22"/>
          <w:szCs w:val="22"/>
        </w:rPr>
        <w:t xml:space="preserve"> </w:t>
      </w:r>
      <w:proofErr w:type="spellStart"/>
      <w:r w:rsidRPr="00655BDE">
        <w:rPr>
          <w:sz w:val="22"/>
          <w:szCs w:val="22"/>
        </w:rPr>
        <w:t>нарушаването</w:t>
      </w:r>
      <w:proofErr w:type="spellEnd"/>
      <w:r w:rsidRPr="00655BDE">
        <w:rPr>
          <w:sz w:val="22"/>
          <w:szCs w:val="22"/>
        </w:rPr>
        <w:t xml:space="preserve"> </w:t>
      </w:r>
      <w:proofErr w:type="spellStart"/>
      <w:r w:rsidRPr="00655BDE">
        <w:rPr>
          <w:sz w:val="22"/>
          <w:szCs w:val="22"/>
        </w:rPr>
        <w:t>на</w:t>
      </w:r>
      <w:proofErr w:type="spellEnd"/>
      <w:r w:rsidRPr="00655BDE">
        <w:rPr>
          <w:sz w:val="22"/>
          <w:szCs w:val="22"/>
        </w:rPr>
        <w:t xml:space="preserve"> </w:t>
      </w:r>
      <w:proofErr w:type="spellStart"/>
      <w:r w:rsidRPr="00655BDE">
        <w:rPr>
          <w:sz w:val="22"/>
          <w:szCs w:val="22"/>
        </w:rPr>
        <w:t>азотния</w:t>
      </w:r>
      <w:proofErr w:type="spellEnd"/>
      <w:r w:rsidRPr="00655BDE">
        <w:rPr>
          <w:sz w:val="22"/>
          <w:szCs w:val="22"/>
        </w:rPr>
        <w:t xml:space="preserve"> </w:t>
      </w:r>
      <w:proofErr w:type="spellStart"/>
      <w:r w:rsidRPr="00655BDE">
        <w:rPr>
          <w:sz w:val="22"/>
          <w:szCs w:val="22"/>
        </w:rPr>
        <w:t>баланс</w:t>
      </w:r>
      <w:proofErr w:type="spellEnd"/>
      <w:r w:rsidRPr="00655BDE">
        <w:rPr>
          <w:sz w:val="22"/>
          <w:szCs w:val="22"/>
        </w:rPr>
        <w:t xml:space="preserve">, </w:t>
      </w:r>
      <w:proofErr w:type="spellStart"/>
      <w:r w:rsidRPr="00655BDE">
        <w:rPr>
          <w:sz w:val="22"/>
          <w:szCs w:val="22"/>
        </w:rPr>
        <w:t>химическо</w:t>
      </w:r>
      <w:proofErr w:type="spellEnd"/>
      <w:r w:rsidRPr="00655BDE">
        <w:rPr>
          <w:sz w:val="22"/>
          <w:szCs w:val="22"/>
        </w:rPr>
        <w:t xml:space="preserve"> </w:t>
      </w:r>
      <w:proofErr w:type="spellStart"/>
      <w:r w:rsidRPr="00655BDE">
        <w:rPr>
          <w:sz w:val="22"/>
          <w:szCs w:val="22"/>
        </w:rPr>
        <w:t>замърсяване</w:t>
      </w:r>
      <w:proofErr w:type="spellEnd"/>
      <w:r w:rsidRPr="00655BDE">
        <w:rPr>
          <w:sz w:val="22"/>
          <w:szCs w:val="22"/>
        </w:rPr>
        <w:t xml:space="preserve">, </w:t>
      </w:r>
      <w:proofErr w:type="spellStart"/>
      <w:r w:rsidRPr="00655BDE">
        <w:rPr>
          <w:sz w:val="22"/>
          <w:szCs w:val="22"/>
        </w:rPr>
        <w:t>замърсяване</w:t>
      </w:r>
      <w:proofErr w:type="spellEnd"/>
      <w:r w:rsidRPr="00655BDE">
        <w:rPr>
          <w:sz w:val="22"/>
          <w:szCs w:val="22"/>
        </w:rPr>
        <w:t xml:space="preserve"> с </w:t>
      </w:r>
      <w:proofErr w:type="spellStart"/>
      <w:r w:rsidRPr="00655BDE">
        <w:rPr>
          <w:sz w:val="22"/>
          <w:szCs w:val="22"/>
        </w:rPr>
        <w:t>пластмаса</w:t>
      </w:r>
      <w:proofErr w:type="spellEnd"/>
      <w:r w:rsidRPr="00655BDE">
        <w:rPr>
          <w:sz w:val="22"/>
          <w:szCs w:val="22"/>
        </w:rPr>
        <w:t xml:space="preserve"> и </w:t>
      </w:r>
      <w:proofErr w:type="spellStart"/>
      <w:r w:rsidRPr="00655BDE">
        <w:rPr>
          <w:sz w:val="22"/>
          <w:szCs w:val="22"/>
        </w:rPr>
        <w:t>нефтени</w:t>
      </w:r>
      <w:proofErr w:type="spellEnd"/>
      <w:r w:rsidRPr="00655BDE">
        <w:rPr>
          <w:sz w:val="22"/>
          <w:szCs w:val="22"/>
        </w:rPr>
        <w:t xml:space="preserve"> </w:t>
      </w:r>
      <w:proofErr w:type="spellStart"/>
      <w:r w:rsidRPr="00655BDE">
        <w:rPr>
          <w:sz w:val="22"/>
          <w:szCs w:val="22"/>
        </w:rPr>
        <w:t>разливи</w:t>
      </w:r>
      <w:proofErr w:type="spellEnd"/>
      <w:r w:rsidRPr="00655BDE">
        <w:rPr>
          <w:sz w:val="22"/>
          <w:szCs w:val="22"/>
        </w:rPr>
        <w:t>.</w:t>
      </w:r>
      <w:r w:rsidRPr="00655BDE">
        <w:rPr>
          <w:rStyle w:val="FootnoteReference"/>
          <w:sz w:val="22"/>
          <w:szCs w:val="22"/>
        </w:rPr>
        <w:footnoteReference w:id="23"/>
      </w:r>
      <w:r w:rsidRPr="00655BDE">
        <w:rPr>
          <w:sz w:val="22"/>
          <w:szCs w:val="22"/>
        </w:rPr>
        <w:t xml:space="preserve"> </w:t>
      </w:r>
    </w:p>
    <w:p w14:paraId="2408D7A3" w14:textId="77777777" w:rsidR="00D27783" w:rsidRPr="00AF353F" w:rsidRDefault="00AF353F" w:rsidP="00AF353F">
      <w:pPr>
        <w:pStyle w:val="Caption"/>
        <w:rPr>
          <w:rFonts w:ascii="Times New Roman" w:hAnsi="Times New Roman" w:cs="Times New Roman"/>
          <w:b w:val="0"/>
          <w:bCs w:val="0"/>
          <w:i/>
          <w:color w:val="000000"/>
          <w:sz w:val="22"/>
          <w:szCs w:val="22"/>
          <w:lang w:val="bg-BG"/>
        </w:rPr>
      </w:pPr>
      <w:bookmarkStart w:id="53" w:name="_Toc72919691"/>
      <w:r w:rsidRPr="00AF353F">
        <w:rPr>
          <w:rFonts w:ascii="Times New Roman" w:hAnsi="Times New Roman" w:cs="Times New Roman"/>
          <w:b w:val="0"/>
          <w:bCs w:val="0"/>
          <w:i/>
          <w:color w:val="000000"/>
          <w:sz w:val="22"/>
          <w:szCs w:val="22"/>
          <w:lang w:val="bg-BG"/>
        </w:rPr>
        <w:t xml:space="preserve">Фигура </w:t>
      </w:r>
      <w:r w:rsidRPr="00AF353F">
        <w:rPr>
          <w:rFonts w:ascii="Times New Roman" w:hAnsi="Times New Roman" w:cs="Times New Roman"/>
          <w:b w:val="0"/>
          <w:bCs w:val="0"/>
          <w:i/>
          <w:color w:val="000000"/>
          <w:sz w:val="22"/>
          <w:szCs w:val="22"/>
          <w:lang w:val="bg-BG"/>
        </w:rPr>
        <w:fldChar w:fldCharType="begin"/>
      </w:r>
      <w:r w:rsidRPr="00AF353F">
        <w:rPr>
          <w:rFonts w:ascii="Times New Roman" w:hAnsi="Times New Roman" w:cs="Times New Roman"/>
          <w:b w:val="0"/>
          <w:bCs w:val="0"/>
          <w:i/>
          <w:color w:val="000000"/>
          <w:sz w:val="22"/>
          <w:szCs w:val="22"/>
          <w:lang w:val="bg-BG"/>
        </w:rPr>
        <w:instrText xml:space="preserve"> SEQ Фигура \* ARABIC </w:instrText>
      </w:r>
      <w:r w:rsidRPr="00AF353F">
        <w:rPr>
          <w:rFonts w:ascii="Times New Roman" w:hAnsi="Times New Roman" w:cs="Times New Roman"/>
          <w:b w:val="0"/>
          <w:bCs w:val="0"/>
          <w:i/>
          <w:color w:val="000000"/>
          <w:sz w:val="22"/>
          <w:szCs w:val="22"/>
          <w:lang w:val="bg-BG"/>
        </w:rPr>
        <w:fldChar w:fldCharType="separate"/>
      </w:r>
      <w:r>
        <w:rPr>
          <w:rFonts w:ascii="Times New Roman" w:hAnsi="Times New Roman" w:cs="Times New Roman"/>
          <w:b w:val="0"/>
          <w:bCs w:val="0"/>
          <w:i/>
          <w:noProof/>
          <w:color w:val="000000"/>
          <w:sz w:val="22"/>
          <w:szCs w:val="22"/>
          <w:lang w:val="bg-BG"/>
        </w:rPr>
        <w:t>10</w:t>
      </w:r>
      <w:r w:rsidRPr="00AF353F">
        <w:rPr>
          <w:rFonts w:ascii="Times New Roman" w:hAnsi="Times New Roman" w:cs="Times New Roman"/>
          <w:b w:val="0"/>
          <w:bCs w:val="0"/>
          <w:i/>
          <w:color w:val="000000"/>
          <w:sz w:val="22"/>
          <w:szCs w:val="22"/>
          <w:lang w:val="bg-BG"/>
        </w:rPr>
        <w:fldChar w:fldCharType="end"/>
      </w:r>
      <w:r w:rsidRPr="00AF353F">
        <w:rPr>
          <w:rFonts w:ascii="Times New Roman" w:hAnsi="Times New Roman" w:cs="Times New Roman"/>
          <w:b w:val="0"/>
          <w:bCs w:val="0"/>
          <w:i/>
          <w:color w:val="000000"/>
          <w:sz w:val="22"/>
          <w:szCs w:val="22"/>
          <w:lang w:val="bg-BG"/>
        </w:rPr>
        <w:t xml:space="preserve"> </w:t>
      </w:r>
      <w:r w:rsidR="00D27783" w:rsidRPr="00AF353F">
        <w:rPr>
          <w:rFonts w:ascii="Times New Roman" w:hAnsi="Times New Roman" w:cs="Times New Roman"/>
          <w:b w:val="0"/>
          <w:bCs w:val="0"/>
          <w:i/>
          <w:color w:val="000000"/>
          <w:sz w:val="22"/>
          <w:szCs w:val="22"/>
          <w:lang w:val="bg-BG"/>
        </w:rPr>
        <w:t>Основни заплахи за морските екосистеми в района на Черно море</w:t>
      </w:r>
      <w:bookmarkEnd w:id="53"/>
    </w:p>
    <w:p w14:paraId="02454F8D" w14:textId="77777777" w:rsidR="00D27783" w:rsidRDefault="00D27783" w:rsidP="00D27783">
      <w:pPr>
        <w:pStyle w:val="Default"/>
        <w:spacing w:before="120" w:after="120" w:line="264" w:lineRule="auto"/>
        <w:jc w:val="both"/>
        <w:rPr>
          <w:sz w:val="22"/>
          <w:szCs w:val="22"/>
        </w:rPr>
      </w:pPr>
      <w:r>
        <w:rPr>
          <w:noProof/>
          <w:lang w:val="bg-BG" w:eastAsia="bg-BG"/>
        </w:rPr>
        <w:drawing>
          <wp:inline distT="0" distB="0" distL="0" distR="0" wp14:anchorId="3BF5C6E7" wp14:editId="5EDC6561">
            <wp:extent cx="4902200" cy="2546350"/>
            <wp:effectExtent l="0" t="0" r="12700" b="25400"/>
            <wp:docPr id="1" name="Chart 1">
              <a:extLst xmlns:a="http://schemas.openxmlformats.org/drawingml/2006/main">
                <a:ext uri="{FF2B5EF4-FFF2-40B4-BE49-F238E27FC236}">
                  <a16:creationId xmlns:a16="http://schemas.microsoft.com/office/drawing/2014/main" id="{5CE9712B-A03D-4184-BA83-E52F2B83EB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80984B4" w14:textId="77777777" w:rsidR="00D27783" w:rsidRPr="00536E7C" w:rsidRDefault="00D27783" w:rsidP="00D27783">
      <w:pPr>
        <w:pStyle w:val="Default"/>
        <w:spacing w:before="120" w:after="120" w:line="264" w:lineRule="auto"/>
        <w:jc w:val="both"/>
        <w:rPr>
          <w:i/>
          <w:iCs/>
          <w:sz w:val="22"/>
          <w:szCs w:val="22"/>
        </w:rPr>
      </w:pPr>
      <w:proofErr w:type="spellStart"/>
      <w:r w:rsidRPr="00536E7C">
        <w:rPr>
          <w:i/>
          <w:iCs/>
          <w:sz w:val="22"/>
          <w:szCs w:val="22"/>
        </w:rPr>
        <w:t>Източник</w:t>
      </w:r>
      <w:proofErr w:type="spellEnd"/>
      <w:r w:rsidRPr="00536E7C">
        <w:rPr>
          <w:i/>
          <w:iCs/>
          <w:sz w:val="22"/>
          <w:szCs w:val="22"/>
        </w:rPr>
        <w:t xml:space="preserve">: </w:t>
      </w:r>
      <w:proofErr w:type="spellStart"/>
      <w:r w:rsidRPr="00536E7C">
        <w:rPr>
          <w:i/>
          <w:iCs/>
          <w:sz w:val="22"/>
          <w:szCs w:val="22"/>
        </w:rPr>
        <w:t>Европейска</w:t>
      </w:r>
      <w:proofErr w:type="spellEnd"/>
      <w:r w:rsidRPr="00536E7C">
        <w:rPr>
          <w:i/>
          <w:iCs/>
          <w:sz w:val="22"/>
          <w:szCs w:val="22"/>
        </w:rPr>
        <w:t xml:space="preserve"> </w:t>
      </w:r>
      <w:proofErr w:type="spellStart"/>
      <w:r w:rsidRPr="00536E7C">
        <w:rPr>
          <w:i/>
          <w:iCs/>
          <w:sz w:val="22"/>
          <w:szCs w:val="22"/>
        </w:rPr>
        <w:t>червена</w:t>
      </w:r>
      <w:proofErr w:type="spellEnd"/>
      <w:r w:rsidRPr="00536E7C">
        <w:rPr>
          <w:i/>
          <w:iCs/>
          <w:sz w:val="22"/>
          <w:szCs w:val="22"/>
        </w:rPr>
        <w:t xml:space="preserve"> </w:t>
      </w:r>
      <w:proofErr w:type="spellStart"/>
      <w:r w:rsidRPr="00536E7C">
        <w:rPr>
          <w:i/>
          <w:iCs/>
          <w:sz w:val="22"/>
          <w:szCs w:val="22"/>
        </w:rPr>
        <w:t>книга</w:t>
      </w:r>
      <w:proofErr w:type="spellEnd"/>
      <w:r w:rsidRPr="00536E7C">
        <w:rPr>
          <w:i/>
          <w:iCs/>
          <w:sz w:val="22"/>
          <w:szCs w:val="22"/>
        </w:rPr>
        <w:t xml:space="preserve"> </w:t>
      </w:r>
      <w:proofErr w:type="spellStart"/>
      <w:r w:rsidRPr="00536E7C">
        <w:rPr>
          <w:i/>
          <w:iCs/>
          <w:sz w:val="22"/>
          <w:szCs w:val="22"/>
        </w:rPr>
        <w:t>на</w:t>
      </w:r>
      <w:proofErr w:type="spellEnd"/>
      <w:r w:rsidRPr="00536E7C">
        <w:rPr>
          <w:i/>
          <w:iCs/>
          <w:sz w:val="22"/>
          <w:szCs w:val="22"/>
        </w:rPr>
        <w:t xml:space="preserve"> </w:t>
      </w:r>
      <w:proofErr w:type="spellStart"/>
      <w:r w:rsidRPr="00536E7C">
        <w:rPr>
          <w:i/>
          <w:iCs/>
          <w:sz w:val="22"/>
          <w:szCs w:val="22"/>
        </w:rPr>
        <w:t>местообитанията</w:t>
      </w:r>
      <w:proofErr w:type="spellEnd"/>
    </w:p>
    <w:p w14:paraId="6034B4DF" w14:textId="77777777" w:rsidR="00D27783" w:rsidRPr="00655BDE" w:rsidRDefault="00D27783" w:rsidP="00D27783">
      <w:pPr>
        <w:pStyle w:val="Default"/>
        <w:spacing w:before="120" w:after="120" w:line="264" w:lineRule="auto"/>
        <w:jc w:val="both"/>
        <w:rPr>
          <w:sz w:val="22"/>
          <w:szCs w:val="22"/>
          <w:lang w:val="bg-BG"/>
        </w:rPr>
      </w:pPr>
      <w:r w:rsidRPr="00655BDE">
        <w:rPr>
          <w:sz w:val="22"/>
          <w:szCs w:val="22"/>
          <w:lang w:val="bg-BG"/>
        </w:rPr>
        <w:t xml:space="preserve">По отношение на сухоземните хабитати, сред идентифицираните фактори на натиск са: замърсяването с нитрати и човешката намеса. За сладководните хабитати замърсяването е на трето място по въздействие след морфологичните изменения на водните басейни и климатичните промени. </w:t>
      </w:r>
      <w:bookmarkStart w:id="54" w:name="_Hlk72785449"/>
      <w:r w:rsidRPr="00655BDE">
        <w:rPr>
          <w:sz w:val="22"/>
          <w:szCs w:val="22"/>
          <w:lang w:val="bg-BG"/>
        </w:rPr>
        <w:t xml:space="preserve">Като основен източник на замърсяване се посочват твърдите отпадъци и тези образувани от производството и селското стопанство. </w:t>
      </w:r>
      <w:bookmarkEnd w:id="54"/>
      <w:r w:rsidRPr="00655BDE">
        <w:rPr>
          <w:sz w:val="22"/>
          <w:szCs w:val="22"/>
          <w:lang w:val="bg-BG"/>
        </w:rPr>
        <w:t xml:space="preserve">Замърсяването от дифузни източници (повърхностни </w:t>
      </w:r>
      <w:r w:rsidRPr="00655BDE">
        <w:rPr>
          <w:sz w:val="22"/>
          <w:szCs w:val="22"/>
          <w:lang w:val="bg-BG"/>
        </w:rPr>
        <w:lastRenderedPageBreak/>
        <w:t>води и атмосферни отлагания) е втори по значимост фактор на натиск за екосистемите от типа „влажни зони“.</w:t>
      </w:r>
      <w:r w:rsidRPr="00655BDE">
        <w:rPr>
          <w:rStyle w:val="FootnoteReference"/>
          <w:sz w:val="22"/>
          <w:szCs w:val="22"/>
          <w:lang w:val="bg-BG"/>
        </w:rPr>
        <w:footnoteReference w:id="24"/>
      </w:r>
      <w:r w:rsidRPr="00655BDE">
        <w:rPr>
          <w:sz w:val="22"/>
          <w:szCs w:val="22"/>
          <w:lang w:val="bg-BG"/>
        </w:rPr>
        <w:t xml:space="preserve"> </w:t>
      </w:r>
    </w:p>
    <w:p w14:paraId="610BCACB" w14:textId="77777777" w:rsidR="00D27783" w:rsidRPr="00AF353F" w:rsidRDefault="00AF353F" w:rsidP="00AF353F">
      <w:pPr>
        <w:pStyle w:val="Caption"/>
        <w:keepNext/>
        <w:jc w:val="both"/>
        <w:rPr>
          <w:rFonts w:ascii="Times New Roman" w:hAnsi="Times New Roman" w:cs="Times New Roman"/>
          <w:b w:val="0"/>
          <w:bCs w:val="0"/>
          <w:i/>
          <w:color w:val="000000"/>
          <w:sz w:val="22"/>
          <w:szCs w:val="22"/>
          <w:lang w:val="bg-BG"/>
        </w:rPr>
      </w:pPr>
      <w:bookmarkStart w:id="55" w:name="_Toc72919692"/>
      <w:r w:rsidRPr="00AF353F">
        <w:rPr>
          <w:rFonts w:ascii="Times New Roman" w:hAnsi="Times New Roman" w:cs="Times New Roman"/>
          <w:b w:val="0"/>
          <w:bCs w:val="0"/>
          <w:i/>
          <w:color w:val="000000"/>
          <w:sz w:val="22"/>
          <w:szCs w:val="22"/>
          <w:lang w:val="bg-BG"/>
        </w:rPr>
        <w:t xml:space="preserve">Фигура </w:t>
      </w:r>
      <w:r w:rsidRPr="00AF353F">
        <w:rPr>
          <w:rFonts w:ascii="Times New Roman" w:hAnsi="Times New Roman" w:cs="Times New Roman"/>
          <w:b w:val="0"/>
          <w:bCs w:val="0"/>
          <w:i/>
          <w:color w:val="000000"/>
          <w:sz w:val="22"/>
          <w:szCs w:val="22"/>
          <w:lang w:val="bg-BG"/>
        </w:rPr>
        <w:fldChar w:fldCharType="begin"/>
      </w:r>
      <w:r w:rsidRPr="00AF353F">
        <w:rPr>
          <w:rFonts w:ascii="Times New Roman" w:hAnsi="Times New Roman" w:cs="Times New Roman"/>
          <w:b w:val="0"/>
          <w:bCs w:val="0"/>
          <w:i/>
          <w:color w:val="000000"/>
          <w:sz w:val="22"/>
          <w:szCs w:val="22"/>
          <w:lang w:val="bg-BG"/>
        </w:rPr>
        <w:instrText xml:space="preserve"> SEQ Фигура \* ARABIC </w:instrText>
      </w:r>
      <w:r w:rsidRPr="00AF353F">
        <w:rPr>
          <w:rFonts w:ascii="Times New Roman" w:hAnsi="Times New Roman" w:cs="Times New Roman"/>
          <w:b w:val="0"/>
          <w:bCs w:val="0"/>
          <w:i/>
          <w:color w:val="000000"/>
          <w:sz w:val="22"/>
          <w:szCs w:val="22"/>
          <w:lang w:val="bg-BG"/>
        </w:rPr>
        <w:fldChar w:fldCharType="separate"/>
      </w:r>
      <w:r>
        <w:rPr>
          <w:rFonts w:ascii="Times New Roman" w:hAnsi="Times New Roman" w:cs="Times New Roman"/>
          <w:b w:val="0"/>
          <w:bCs w:val="0"/>
          <w:i/>
          <w:noProof/>
          <w:color w:val="000000"/>
          <w:sz w:val="22"/>
          <w:szCs w:val="22"/>
          <w:lang w:val="bg-BG"/>
        </w:rPr>
        <w:t>11</w:t>
      </w:r>
      <w:r w:rsidRPr="00AF353F">
        <w:rPr>
          <w:rFonts w:ascii="Times New Roman" w:hAnsi="Times New Roman" w:cs="Times New Roman"/>
          <w:b w:val="0"/>
          <w:bCs w:val="0"/>
          <w:i/>
          <w:color w:val="000000"/>
          <w:sz w:val="22"/>
          <w:szCs w:val="22"/>
          <w:lang w:val="bg-BG"/>
        </w:rPr>
        <w:fldChar w:fldCharType="end"/>
      </w:r>
      <w:r w:rsidR="00D27783" w:rsidRPr="00AF353F">
        <w:rPr>
          <w:rFonts w:ascii="Times New Roman" w:hAnsi="Times New Roman" w:cs="Times New Roman"/>
          <w:b w:val="0"/>
          <w:bCs w:val="0"/>
          <w:i/>
          <w:color w:val="000000"/>
          <w:sz w:val="22"/>
          <w:szCs w:val="22"/>
          <w:lang w:val="bg-BG"/>
        </w:rPr>
        <w:t xml:space="preserve"> Заплахи пред различните видове местообитания в Европа</w:t>
      </w:r>
      <w:bookmarkEnd w:id="55"/>
    </w:p>
    <w:p w14:paraId="1C6FAA49" w14:textId="77777777" w:rsidR="00D27783" w:rsidRPr="001D2E5F" w:rsidRDefault="00D27783" w:rsidP="00D27783">
      <w:pPr>
        <w:pStyle w:val="Default"/>
        <w:spacing w:before="120" w:after="120" w:line="264" w:lineRule="auto"/>
        <w:jc w:val="both"/>
        <w:rPr>
          <w:b/>
          <w:bCs/>
          <w:sz w:val="22"/>
          <w:szCs w:val="22"/>
        </w:rPr>
      </w:pPr>
      <w:r>
        <w:rPr>
          <w:noProof/>
          <w:lang w:val="bg-BG" w:eastAsia="bg-BG"/>
        </w:rPr>
        <w:drawing>
          <wp:anchor distT="0" distB="0" distL="114300" distR="114300" simplePos="0" relativeHeight="251674624" behindDoc="1" locked="0" layoutInCell="1" allowOverlap="1" wp14:anchorId="482A35CB" wp14:editId="165E9ABE">
            <wp:simplePos x="0" y="0"/>
            <wp:positionH relativeFrom="column">
              <wp:posOffset>2641600</wp:posOffset>
            </wp:positionH>
            <wp:positionV relativeFrom="paragraph">
              <wp:posOffset>-12700</wp:posOffset>
            </wp:positionV>
            <wp:extent cx="3803650" cy="2620010"/>
            <wp:effectExtent l="0" t="0" r="6350" b="8890"/>
            <wp:wrapNone/>
            <wp:docPr id="16" name="Picture 6">
              <a:extLst xmlns:a="http://schemas.openxmlformats.org/drawingml/2006/main">
                <a:ext uri="{FF2B5EF4-FFF2-40B4-BE49-F238E27FC236}">
                  <a16:creationId xmlns:a16="http://schemas.microsoft.com/office/drawing/2014/main" id="{C67E52BC-4CCF-43CC-8800-6CCBDEB60E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C67E52BC-4CCF-43CC-8800-6CCBDEB60EAF}"/>
                        </a:ext>
                      </a:extLst>
                    </pic:cNvPr>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3803650" cy="2620010"/>
                    </a:xfrm>
                    <a:prstGeom prst="rect">
                      <a:avLst/>
                    </a:prstGeom>
                  </pic:spPr>
                </pic:pic>
              </a:graphicData>
            </a:graphic>
            <wp14:sizeRelH relativeFrom="page">
              <wp14:pctWidth>0</wp14:pctWidth>
            </wp14:sizeRelH>
            <wp14:sizeRelV relativeFrom="page">
              <wp14:pctHeight>0</wp14:pctHeight>
            </wp14:sizeRelV>
          </wp:anchor>
        </w:drawing>
      </w:r>
      <w:r w:rsidRPr="00AF353F">
        <w:rPr>
          <w:noProof/>
          <w:lang w:val="bg-BG" w:eastAsia="bg-BG"/>
        </w:rPr>
        <w:drawing>
          <wp:inline distT="0" distB="0" distL="0" distR="0" wp14:anchorId="46633760" wp14:editId="67503B3C">
            <wp:extent cx="2669546" cy="2305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75326" cy="2310041"/>
                    </a:xfrm>
                    <a:prstGeom prst="rect">
                      <a:avLst/>
                    </a:prstGeom>
                    <a:noFill/>
                    <a:ln>
                      <a:noFill/>
                    </a:ln>
                  </pic:spPr>
                </pic:pic>
              </a:graphicData>
            </a:graphic>
          </wp:inline>
        </w:drawing>
      </w:r>
    </w:p>
    <w:p w14:paraId="02E47283" w14:textId="77777777" w:rsidR="00D27783" w:rsidRPr="00AF353F" w:rsidRDefault="00D27783" w:rsidP="005241FC">
      <w:pPr>
        <w:rPr>
          <w:rFonts w:ascii="Times New Roman" w:hAnsi="Times New Roman" w:cs="Times New Roman"/>
          <w:i/>
        </w:rPr>
      </w:pPr>
      <w:proofErr w:type="spellStart"/>
      <w:r w:rsidRPr="00AF353F">
        <w:rPr>
          <w:rFonts w:ascii="Times New Roman" w:hAnsi="Times New Roman" w:cs="Times New Roman"/>
          <w:i/>
        </w:rPr>
        <w:t>Източник</w:t>
      </w:r>
      <w:proofErr w:type="spellEnd"/>
      <w:r w:rsidRPr="00AF353F">
        <w:rPr>
          <w:rFonts w:ascii="Times New Roman" w:hAnsi="Times New Roman" w:cs="Times New Roman"/>
          <w:i/>
        </w:rPr>
        <w:t xml:space="preserve">: </w:t>
      </w:r>
      <w:proofErr w:type="spellStart"/>
      <w:r w:rsidRPr="00AF353F">
        <w:rPr>
          <w:rFonts w:ascii="Times New Roman" w:hAnsi="Times New Roman" w:cs="Times New Roman"/>
          <w:i/>
        </w:rPr>
        <w:t>Европейска</w:t>
      </w:r>
      <w:proofErr w:type="spellEnd"/>
      <w:r w:rsidRPr="00AF353F">
        <w:rPr>
          <w:rFonts w:ascii="Times New Roman" w:hAnsi="Times New Roman" w:cs="Times New Roman"/>
          <w:i/>
        </w:rPr>
        <w:t xml:space="preserve"> </w:t>
      </w:r>
      <w:proofErr w:type="spellStart"/>
      <w:r w:rsidRPr="00AF353F">
        <w:rPr>
          <w:rFonts w:ascii="Times New Roman" w:hAnsi="Times New Roman" w:cs="Times New Roman"/>
          <w:i/>
        </w:rPr>
        <w:t>червена</w:t>
      </w:r>
      <w:proofErr w:type="spellEnd"/>
      <w:r w:rsidRPr="00AF353F">
        <w:rPr>
          <w:rFonts w:ascii="Times New Roman" w:hAnsi="Times New Roman" w:cs="Times New Roman"/>
          <w:i/>
        </w:rPr>
        <w:t xml:space="preserve"> </w:t>
      </w:r>
      <w:proofErr w:type="spellStart"/>
      <w:r w:rsidRPr="00AF353F">
        <w:rPr>
          <w:rFonts w:ascii="Times New Roman" w:hAnsi="Times New Roman" w:cs="Times New Roman"/>
          <w:i/>
        </w:rPr>
        <w:t>книга</w:t>
      </w:r>
      <w:proofErr w:type="spellEnd"/>
      <w:r w:rsidRPr="00AF353F">
        <w:rPr>
          <w:rFonts w:ascii="Times New Roman" w:hAnsi="Times New Roman" w:cs="Times New Roman"/>
          <w:i/>
        </w:rPr>
        <w:t xml:space="preserve"> </w:t>
      </w:r>
      <w:proofErr w:type="spellStart"/>
      <w:r w:rsidRPr="00AF353F">
        <w:rPr>
          <w:rFonts w:ascii="Times New Roman" w:hAnsi="Times New Roman" w:cs="Times New Roman"/>
          <w:i/>
        </w:rPr>
        <w:t>на</w:t>
      </w:r>
      <w:proofErr w:type="spellEnd"/>
      <w:r w:rsidRPr="00AF353F">
        <w:rPr>
          <w:rFonts w:ascii="Times New Roman" w:hAnsi="Times New Roman" w:cs="Times New Roman"/>
          <w:i/>
        </w:rPr>
        <w:t xml:space="preserve"> </w:t>
      </w:r>
      <w:proofErr w:type="spellStart"/>
      <w:r w:rsidRPr="00AF353F">
        <w:rPr>
          <w:rFonts w:ascii="Times New Roman" w:hAnsi="Times New Roman" w:cs="Times New Roman"/>
          <w:i/>
        </w:rPr>
        <w:t>метообитанията</w:t>
      </w:r>
      <w:proofErr w:type="spellEnd"/>
    </w:p>
    <w:p w14:paraId="1109C3B7" w14:textId="77777777" w:rsidR="00D27783" w:rsidRPr="00B115FD" w:rsidRDefault="00D27783" w:rsidP="00D27783">
      <w:pPr>
        <w:pStyle w:val="NormalWeb"/>
        <w:shd w:val="clear" w:color="auto" w:fill="FFFFFF"/>
        <w:spacing w:before="0" w:beforeAutospacing="0" w:after="0" w:afterAutospacing="0" w:line="235" w:lineRule="atLeast"/>
        <w:rPr>
          <w:b/>
          <w:bCs/>
          <w:color w:val="385623" w:themeColor="accent6" w:themeShade="80"/>
        </w:rPr>
      </w:pPr>
    </w:p>
    <w:p w14:paraId="3EA5F8D5" w14:textId="77777777" w:rsidR="00B115FD" w:rsidRPr="005241FC" w:rsidRDefault="00B115FD" w:rsidP="00E21F3C">
      <w:pPr>
        <w:pStyle w:val="Heading2"/>
      </w:pPr>
      <w:bookmarkStart w:id="56" w:name="_Toc72909889"/>
      <w:r w:rsidRPr="005241FC">
        <w:t>Движещи сили и фактори на натиск</w:t>
      </w:r>
      <w:bookmarkEnd w:id="56"/>
    </w:p>
    <w:p w14:paraId="0047DA73" w14:textId="77777777" w:rsidR="004C5987" w:rsidRDefault="004C5987" w:rsidP="00504F77">
      <w:pPr>
        <w:jc w:val="both"/>
        <w:rPr>
          <w:rFonts w:ascii="Times New Roman" w:hAnsi="Times New Roman" w:cs="Times New Roman"/>
          <w:sz w:val="24"/>
          <w:szCs w:val="24"/>
          <w:lang w:val="bg-BG"/>
        </w:rPr>
      </w:pPr>
    </w:p>
    <w:p w14:paraId="5F9423CD" w14:textId="77777777" w:rsidR="00504F77" w:rsidRPr="005241FC" w:rsidRDefault="00504F77"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Образуването на отпадъци и напредъкът по въвеждане на устойчиви модели за управлението им е в пряка зависимост от структурата на икономиката на национално и регионално ниво, като често демонстрира собствена динамика и на ниво по-малки териториални единици. Количествата и видовете генерирани отпадъци са разгледани в светлината на обобщени данни за тенденциите в социално – икономическия сектор за периода 20</w:t>
      </w:r>
      <w:r w:rsidRPr="005241FC">
        <w:rPr>
          <w:rFonts w:ascii="Times New Roman" w:hAnsi="Times New Roman" w:cs="Times New Roman"/>
        </w:rPr>
        <w:t>10</w:t>
      </w:r>
      <w:r w:rsidRPr="005241FC">
        <w:rPr>
          <w:rFonts w:ascii="Times New Roman" w:hAnsi="Times New Roman" w:cs="Times New Roman"/>
          <w:lang w:val="bg-BG"/>
        </w:rPr>
        <w:t xml:space="preserve"> – 2018 г. Структуроопределящи във времето</w:t>
      </w:r>
      <w:r w:rsidRPr="005241FC">
        <w:rPr>
          <w:lang w:val="bg-BG"/>
        </w:rPr>
        <w:t xml:space="preserve"> </w:t>
      </w:r>
      <w:r w:rsidRPr="005241FC">
        <w:rPr>
          <w:rFonts w:ascii="Times New Roman" w:hAnsi="Times New Roman" w:cs="Times New Roman"/>
          <w:lang w:val="bg-BG"/>
        </w:rPr>
        <w:t>остават отраслите селско стопанство, индустрия и търговия, транспорт, хотелиерство и ресторантьорство. Показателят Брутна добавена стойност (БДС) показва известна динамика за периода, изразена в намаляване на приноса на селското стопанство и индустрията и увеличение на БДС на сектор търговия.</w:t>
      </w:r>
    </w:p>
    <w:p w14:paraId="512E47E4" w14:textId="77777777" w:rsidR="00C04BF9" w:rsidRDefault="00C04BF9" w:rsidP="00504F77">
      <w:pPr>
        <w:jc w:val="both"/>
        <w:rPr>
          <w:rFonts w:ascii="Times New Roman" w:hAnsi="Times New Roman" w:cs="Times New Roman"/>
          <w:i/>
          <w:iCs/>
          <w:lang w:val="en-GB"/>
        </w:rPr>
      </w:pPr>
    </w:p>
    <w:p w14:paraId="7788C493" w14:textId="2DF5571A" w:rsidR="00C04BF9" w:rsidRDefault="00C04BF9" w:rsidP="00504F77">
      <w:pPr>
        <w:jc w:val="both"/>
        <w:rPr>
          <w:rFonts w:ascii="Times New Roman" w:hAnsi="Times New Roman" w:cs="Times New Roman"/>
          <w:i/>
          <w:iCs/>
          <w:lang w:val="en-GB"/>
        </w:rPr>
      </w:pPr>
    </w:p>
    <w:p w14:paraId="381B5052" w14:textId="0AE52565" w:rsidR="000C7A78" w:rsidRDefault="000C7A78" w:rsidP="00504F77">
      <w:pPr>
        <w:jc w:val="both"/>
        <w:rPr>
          <w:rFonts w:ascii="Times New Roman" w:hAnsi="Times New Roman" w:cs="Times New Roman"/>
          <w:i/>
          <w:iCs/>
          <w:lang w:val="en-GB"/>
        </w:rPr>
      </w:pPr>
    </w:p>
    <w:p w14:paraId="13D851BC" w14:textId="77777777" w:rsidR="000C7A78" w:rsidRDefault="000C7A78" w:rsidP="00504F77">
      <w:pPr>
        <w:jc w:val="both"/>
        <w:rPr>
          <w:rFonts w:ascii="Times New Roman" w:hAnsi="Times New Roman" w:cs="Times New Roman"/>
          <w:i/>
          <w:iCs/>
          <w:lang w:val="en-GB"/>
        </w:rPr>
      </w:pPr>
    </w:p>
    <w:p w14:paraId="54EA37EF" w14:textId="77777777" w:rsidR="00C04BF9" w:rsidRDefault="00C04BF9" w:rsidP="00504F77">
      <w:pPr>
        <w:jc w:val="both"/>
        <w:rPr>
          <w:rFonts w:ascii="Times New Roman" w:hAnsi="Times New Roman" w:cs="Times New Roman"/>
          <w:i/>
          <w:iCs/>
          <w:lang w:val="en-GB"/>
        </w:rPr>
      </w:pPr>
    </w:p>
    <w:p w14:paraId="3870A178" w14:textId="77777777" w:rsidR="00C04BF9" w:rsidRDefault="00C04BF9" w:rsidP="00504F77">
      <w:pPr>
        <w:jc w:val="both"/>
        <w:rPr>
          <w:rFonts w:ascii="Times New Roman" w:hAnsi="Times New Roman" w:cs="Times New Roman"/>
          <w:i/>
          <w:iCs/>
          <w:lang w:val="en-GB"/>
        </w:rPr>
      </w:pPr>
    </w:p>
    <w:p w14:paraId="53EF43AC" w14:textId="77777777" w:rsidR="00504F77" w:rsidRPr="00AF353F" w:rsidRDefault="00AF353F" w:rsidP="00AF353F">
      <w:pPr>
        <w:pStyle w:val="Caption"/>
        <w:rPr>
          <w:rFonts w:ascii="Times New Roman" w:hAnsi="Times New Roman" w:cs="Times New Roman"/>
          <w:b w:val="0"/>
          <w:bCs w:val="0"/>
          <w:i/>
          <w:iCs/>
          <w:color w:val="auto"/>
          <w:sz w:val="22"/>
          <w:szCs w:val="22"/>
          <w:lang w:val="bg-BG"/>
        </w:rPr>
      </w:pPr>
      <w:bookmarkStart w:id="57" w:name="_Toc72919693"/>
      <w:r w:rsidRPr="00AF353F">
        <w:rPr>
          <w:rFonts w:ascii="Times New Roman" w:hAnsi="Times New Roman" w:cs="Times New Roman"/>
          <w:b w:val="0"/>
          <w:bCs w:val="0"/>
          <w:i/>
          <w:iCs/>
          <w:color w:val="auto"/>
          <w:sz w:val="22"/>
          <w:szCs w:val="22"/>
          <w:lang w:val="bg-BG"/>
        </w:rPr>
        <w:lastRenderedPageBreak/>
        <w:t xml:space="preserve">Фигура </w:t>
      </w:r>
      <w:r w:rsidRPr="00AF353F">
        <w:rPr>
          <w:rFonts w:ascii="Times New Roman" w:hAnsi="Times New Roman" w:cs="Times New Roman"/>
          <w:b w:val="0"/>
          <w:bCs w:val="0"/>
          <w:i/>
          <w:iCs/>
          <w:color w:val="auto"/>
          <w:sz w:val="22"/>
          <w:szCs w:val="22"/>
          <w:lang w:val="bg-BG"/>
        </w:rPr>
        <w:fldChar w:fldCharType="begin"/>
      </w:r>
      <w:r w:rsidRPr="00AF353F">
        <w:rPr>
          <w:rFonts w:ascii="Times New Roman" w:hAnsi="Times New Roman" w:cs="Times New Roman"/>
          <w:b w:val="0"/>
          <w:bCs w:val="0"/>
          <w:i/>
          <w:iCs/>
          <w:color w:val="auto"/>
          <w:sz w:val="22"/>
          <w:szCs w:val="22"/>
          <w:lang w:val="bg-BG"/>
        </w:rPr>
        <w:instrText xml:space="preserve"> SEQ Фигура \* ARABIC </w:instrText>
      </w:r>
      <w:r w:rsidRPr="00AF353F">
        <w:rPr>
          <w:rFonts w:ascii="Times New Roman" w:hAnsi="Times New Roman" w:cs="Times New Roman"/>
          <w:b w:val="0"/>
          <w:bCs w:val="0"/>
          <w:i/>
          <w:iCs/>
          <w:color w:val="auto"/>
          <w:sz w:val="22"/>
          <w:szCs w:val="22"/>
          <w:lang w:val="bg-BG"/>
        </w:rPr>
        <w:fldChar w:fldCharType="separate"/>
      </w:r>
      <w:r>
        <w:rPr>
          <w:rFonts w:ascii="Times New Roman" w:hAnsi="Times New Roman" w:cs="Times New Roman"/>
          <w:b w:val="0"/>
          <w:bCs w:val="0"/>
          <w:i/>
          <w:iCs/>
          <w:noProof/>
          <w:color w:val="auto"/>
          <w:sz w:val="22"/>
          <w:szCs w:val="22"/>
          <w:lang w:val="bg-BG"/>
        </w:rPr>
        <w:t>12</w:t>
      </w:r>
      <w:r w:rsidRPr="00AF353F">
        <w:rPr>
          <w:rFonts w:ascii="Times New Roman" w:hAnsi="Times New Roman" w:cs="Times New Roman"/>
          <w:b w:val="0"/>
          <w:bCs w:val="0"/>
          <w:i/>
          <w:iCs/>
          <w:color w:val="auto"/>
          <w:sz w:val="22"/>
          <w:szCs w:val="22"/>
          <w:lang w:val="bg-BG"/>
        </w:rPr>
        <w:fldChar w:fldCharType="end"/>
      </w:r>
      <w:r w:rsidRPr="00AF353F">
        <w:rPr>
          <w:rFonts w:ascii="Times New Roman" w:hAnsi="Times New Roman" w:cs="Times New Roman"/>
          <w:b w:val="0"/>
          <w:bCs w:val="0"/>
          <w:i/>
          <w:iCs/>
          <w:color w:val="auto"/>
          <w:sz w:val="22"/>
          <w:szCs w:val="22"/>
          <w:lang w:val="bg-BG"/>
        </w:rPr>
        <w:t xml:space="preserve"> </w:t>
      </w:r>
      <w:r w:rsidR="00504F77" w:rsidRPr="00AF353F">
        <w:rPr>
          <w:rFonts w:ascii="Times New Roman" w:hAnsi="Times New Roman" w:cs="Times New Roman"/>
          <w:b w:val="0"/>
          <w:bCs w:val="0"/>
          <w:i/>
          <w:iCs/>
          <w:color w:val="auto"/>
          <w:sz w:val="22"/>
          <w:szCs w:val="22"/>
          <w:lang w:val="bg-BG"/>
        </w:rPr>
        <w:t>Брутна добавена стойност на основни икономически сектори 2010 – 2018 г. (млн. лв.)</w:t>
      </w:r>
      <w:bookmarkEnd w:id="57"/>
    </w:p>
    <w:p w14:paraId="1D03F77A" w14:textId="77777777" w:rsidR="00504F77" w:rsidRPr="00504F77" w:rsidRDefault="00504F77" w:rsidP="00504F77">
      <w:pPr>
        <w:jc w:val="both"/>
        <w:rPr>
          <w:lang w:val="bg-BG"/>
        </w:rPr>
      </w:pPr>
      <w:r>
        <w:rPr>
          <w:noProof/>
          <w:lang w:val="bg-BG" w:eastAsia="bg-BG"/>
        </w:rPr>
        <w:drawing>
          <wp:inline distT="0" distB="0" distL="0" distR="0" wp14:anchorId="0BFD5314" wp14:editId="1068D76C">
            <wp:extent cx="5861050" cy="2076450"/>
            <wp:effectExtent l="0" t="0" r="6350" b="0"/>
            <wp:docPr id="28" name="Chart 28">
              <a:extLst xmlns:a="http://schemas.openxmlformats.org/drawingml/2006/main">
                <a:ext uri="{FF2B5EF4-FFF2-40B4-BE49-F238E27FC236}">
                  <a16:creationId xmlns:a16="http://schemas.microsoft.com/office/drawing/2014/main" id="{D16A7243-9C7B-405E-8B4E-A0CF4DBD4E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C39BC91" w14:textId="77777777" w:rsidR="00504F77" w:rsidRPr="00504F77" w:rsidRDefault="00504F77" w:rsidP="00504F77">
      <w:pPr>
        <w:jc w:val="both"/>
        <w:rPr>
          <w:rFonts w:ascii="Times New Roman" w:hAnsi="Times New Roman" w:cs="Times New Roman"/>
          <w:i/>
          <w:iCs/>
          <w:lang w:val="bg-BG"/>
        </w:rPr>
      </w:pPr>
      <w:r w:rsidRPr="00504F77">
        <w:rPr>
          <w:rFonts w:ascii="Times New Roman" w:hAnsi="Times New Roman" w:cs="Times New Roman"/>
          <w:i/>
          <w:iCs/>
          <w:lang w:val="bg-BG"/>
        </w:rPr>
        <w:t>Източник: НСИ</w:t>
      </w:r>
    </w:p>
    <w:p w14:paraId="0E03D7D4" w14:textId="77777777" w:rsidR="00504F77" w:rsidRPr="005241FC" w:rsidRDefault="00504F77"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В междусекторното разпределение на БДС в районите за планиране от ниво 2 и областите, водеща роля имат услугите, следвани от индустрията и селското, горско стопанство и рибарството, докато по общини картината е диференцирана. През визирания период се отбелязват разнопосочни слаби промени в структурата на регионалната БДС. Така например, СЗР, СЦР, СИР и ЮИР, намаляват дела на услугите за сметка на индустрията, което е най-силно изразено в ЮИР – 5%. Наблюдаваните структурни промени се дължат на различната конкурентоспособност на отделните отрасли в пространствените структури и дават различно отражение върху постигнатия растеж на техните икономики. Така например, слабото намаляване на дела на сектора на услугите в област Пловдив (с 0,3%) се дължи на ускореното развитие на промишлеността в рамките на динамично развиващата се Тракия икономическа зона, обхващаща общините Пловдив, Раковски, Калояново, Садово, Марица, Куклен, като се очаква този процес да продължи. </w:t>
      </w:r>
      <w:r w:rsidRPr="005241FC">
        <w:rPr>
          <w:rStyle w:val="FootnoteReference"/>
          <w:rFonts w:ascii="Times New Roman" w:hAnsi="Times New Roman" w:cs="Times New Roman"/>
          <w:lang w:val="bg-BG"/>
        </w:rPr>
        <w:footnoteReference w:id="25"/>
      </w:r>
    </w:p>
    <w:p w14:paraId="447B88A0" w14:textId="77777777" w:rsidR="00504F77" w:rsidRPr="005241FC" w:rsidRDefault="00504F77"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Структурата на видовете образувани отпадъци повтаря модела на националната икономика. </w:t>
      </w:r>
      <w:bookmarkStart w:id="58" w:name="_Hlk72785493"/>
      <w:proofErr w:type="spellStart"/>
      <w:r w:rsidRPr="005241FC">
        <w:rPr>
          <w:rFonts w:ascii="Times New Roman" w:hAnsi="Times New Roman" w:cs="Times New Roman"/>
        </w:rPr>
        <w:t>Общото</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количество</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образувани</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производствени</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отпадъци</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през</w:t>
      </w:r>
      <w:proofErr w:type="spellEnd"/>
      <w:r w:rsidRPr="005241FC">
        <w:rPr>
          <w:rFonts w:ascii="Times New Roman" w:hAnsi="Times New Roman" w:cs="Times New Roman"/>
        </w:rPr>
        <w:t xml:space="preserve"> 2018 г. е 112 824, 785 kt.</w:t>
      </w:r>
      <w:r w:rsidRPr="005241FC">
        <w:rPr>
          <w:rFonts w:ascii="Times New Roman" w:hAnsi="Times New Roman" w:cs="Times New Roman"/>
          <w:lang w:val="bg-BG"/>
        </w:rPr>
        <w:t xml:space="preserve"> С най-голям дял е секторът на добивната промишленост (83.01%), следван от секторите Производство и разпределение на енергия и горива (11.50%), Водоснабдяване, канализационни услуги и управление на отпадъци (2.41%). </w:t>
      </w:r>
    </w:p>
    <w:bookmarkEnd w:id="58"/>
    <w:p w14:paraId="52354D32" w14:textId="77777777" w:rsidR="00504F77" w:rsidRPr="005241FC" w:rsidRDefault="00504F77" w:rsidP="005241FC">
      <w:pPr>
        <w:spacing w:before="120" w:after="120" w:line="264" w:lineRule="auto"/>
        <w:jc w:val="both"/>
        <w:rPr>
          <w:lang w:val="bg-BG"/>
        </w:rPr>
      </w:pPr>
      <w:r w:rsidRPr="005241FC">
        <w:rPr>
          <w:rFonts w:ascii="Times New Roman" w:hAnsi="Times New Roman" w:cs="Times New Roman"/>
          <w:lang w:val="bg-BG"/>
        </w:rPr>
        <w:t xml:space="preserve">Слабо намаляване на количествата образувани отпадъци </w:t>
      </w:r>
      <w:proofErr w:type="spellStart"/>
      <w:r w:rsidRPr="005241FC">
        <w:rPr>
          <w:rFonts w:ascii="Times New Roman" w:hAnsi="Times New Roman" w:cs="Times New Roman"/>
        </w:rPr>
        <w:t>за</w:t>
      </w:r>
      <w:proofErr w:type="spellEnd"/>
      <w:r w:rsidRPr="005241FC">
        <w:rPr>
          <w:rFonts w:ascii="Times New Roman" w:hAnsi="Times New Roman" w:cs="Times New Roman"/>
        </w:rPr>
        <w:t xml:space="preserve"> </w:t>
      </w:r>
      <w:proofErr w:type="spellStart"/>
      <w:r w:rsidRPr="005241FC">
        <w:rPr>
          <w:rFonts w:ascii="Times New Roman" w:hAnsi="Times New Roman" w:cs="Times New Roman"/>
        </w:rPr>
        <w:t>периода</w:t>
      </w:r>
      <w:proofErr w:type="spellEnd"/>
      <w:r w:rsidRPr="005241FC">
        <w:rPr>
          <w:rFonts w:ascii="Times New Roman" w:hAnsi="Times New Roman" w:cs="Times New Roman"/>
        </w:rPr>
        <w:t xml:space="preserve"> 2015 – 2018 г.</w:t>
      </w:r>
      <w:r w:rsidRPr="005241FC">
        <w:rPr>
          <w:rFonts w:ascii="Times New Roman" w:hAnsi="Times New Roman" w:cs="Times New Roman"/>
          <w:lang w:val="bg-BG"/>
        </w:rPr>
        <w:t xml:space="preserve"> се наблюдава в сектор </w:t>
      </w:r>
      <w:r w:rsidRPr="005241FC">
        <w:rPr>
          <w:rFonts w:ascii="Times New Roman" w:eastAsia="Batang" w:hAnsi="Times New Roman" w:cs="Times New Roman"/>
          <w:lang w:val="bg-BG"/>
        </w:rPr>
        <w:t>Преработваща промишленост, като за 2018 г. достига 2.19% от общото количество генерирани производствени отпадъци.</w:t>
      </w:r>
      <w:r w:rsidRPr="005241FC">
        <w:rPr>
          <w:rStyle w:val="FootnoteReference"/>
          <w:rFonts w:ascii="Times New Roman" w:eastAsia="Batang" w:hAnsi="Times New Roman" w:cs="Times New Roman"/>
          <w:lang w:val="bg-BG"/>
        </w:rPr>
        <w:footnoteReference w:id="26"/>
      </w:r>
      <w:r w:rsidRPr="005241FC">
        <w:rPr>
          <w:rFonts w:ascii="Times New Roman" w:eastAsia="Batang" w:hAnsi="Times New Roman" w:cs="Times New Roman"/>
          <w:lang w:val="bg-BG"/>
        </w:rPr>
        <w:t xml:space="preserve"> Причините могат да се търсят в</w:t>
      </w:r>
      <w:r w:rsidRPr="005241FC">
        <w:rPr>
          <w:rFonts w:ascii="Times New Roman" w:hAnsi="Times New Roman" w:cs="Times New Roman"/>
          <w:lang w:val="bg-BG"/>
        </w:rPr>
        <w:t xml:space="preserve"> бавното преструктуриране на заетостта от по-ниско технологични промишлени отрасли към такива с по-висока технологична интензивност. О</w:t>
      </w:r>
      <w:r w:rsidR="00AF2F79" w:rsidRPr="005241FC">
        <w:rPr>
          <w:rFonts w:ascii="Times New Roman" w:hAnsi="Times New Roman" w:cs="Times New Roman"/>
          <w:lang w:val="bg-BG"/>
        </w:rPr>
        <w:t>т</w:t>
      </w:r>
      <w:r w:rsidRPr="005241FC">
        <w:rPr>
          <w:rFonts w:ascii="Times New Roman" w:hAnsi="Times New Roman" w:cs="Times New Roman"/>
          <w:lang w:val="bg-BG"/>
        </w:rPr>
        <w:t xml:space="preserve">раслите, класифицирани като средно - високо технологични, регистрират нарастване на заетите лица с повече от ¼ за периода 2011-2017 г. Средно-ниско и високо технологичните отрасли отбелязват двуцифрен растеж на откритите работни места, докато ниско технологичните отрасли продължават да свиват работниците си. </w:t>
      </w:r>
      <w:bookmarkStart w:id="59" w:name="_Hlk72785513"/>
      <w:r w:rsidRPr="005241FC">
        <w:rPr>
          <w:rFonts w:ascii="Times New Roman" w:hAnsi="Times New Roman" w:cs="Times New Roman"/>
          <w:lang w:val="bg-BG"/>
        </w:rPr>
        <w:t xml:space="preserve">Въпреки несъмнено позитивната тенденция, структурата на заетостта в отраслите от преработващата промишленост остава </w:t>
      </w:r>
      <w:r w:rsidRPr="005241FC">
        <w:rPr>
          <w:rFonts w:ascii="Times New Roman" w:hAnsi="Times New Roman" w:cs="Times New Roman"/>
          <w:lang w:val="bg-BG"/>
        </w:rPr>
        <w:lastRenderedPageBreak/>
        <w:t>сравнително неблагоприятна, характеризирана с преобладаващ дял на ниско технологичните отрасли (50.9%).</w:t>
      </w:r>
      <w:r w:rsidRPr="005241FC">
        <w:rPr>
          <w:rStyle w:val="FootnoteReference"/>
          <w:rFonts w:ascii="Times New Roman" w:hAnsi="Times New Roman" w:cs="Times New Roman"/>
          <w:lang w:val="bg-BG"/>
        </w:rPr>
        <w:footnoteReference w:id="27"/>
      </w:r>
      <w:r w:rsidRPr="005241FC">
        <w:rPr>
          <w:rFonts w:ascii="Times New Roman" w:hAnsi="Times New Roman" w:cs="Times New Roman"/>
          <w:lang w:val="bg-BG"/>
        </w:rPr>
        <w:t xml:space="preserve"> </w:t>
      </w:r>
    </w:p>
    <w:p w14:paraId="61DF66A8" w14:textId="77777777" w:rsidR="00504F77" w:rsidRPr="005241FC" w:rsidRDefault="00504F77"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Продължаващата тенденция на намаляване на дела на селското стопанство в брутната добавена стойност на страната се възпроизвежда в характерна тенденция на намаляване на дела на количеството образувани отпадъци. Секторът свива заетите и продукцията си, при допълнително нарастване на изостаналостта му по отношение на производителността на труда. </w:t>
      </w:r>
      <w:bookmarkEnd w:id="59"/>
      <w:r w:rsidRPr="005241FC">
        <w:rPr>
          <w:rFonts w:ascii="Times New Roman" w:hAnsi="Times New Roman" w:cs="Times New Roman"/>
          <w:lang w:val="bg-BG"/>
        </w:rPr>
        <w:t>Селскостопанският износ нараства при неустойчив модел на фона на екстензивно развитие и конюнктурни и ценови предимства, свързани с растежа на субсидиите в сектора.</w:t>
      </w:r>
      <w:r w:rsidRPr="005241FC">
        <w:rPr>
          <w:rStyle w:val="FootnoteReference"/>
          <w:rFonts w:ascii="Times New Roman" w:hAnsi="Times New Roman" w:cs="Times New Roman"/>
          <w:lang w:val="bg-BG"/>
        </w:rPr>
        <w:footnoteReference w:id="28"/>
      </w:r>
      <w:r w:rsidRPr="005241FC">
        <w:rPr>
          <w:rFonts w:ascii="Times New Roman" w:hAnsi="Times New Roman" w:cs="Times New Roman"/>
          <w:lang w:val="bg-BG"/>
        </w:rPr>
        <w:t xml:space="preserve"> </w:t>
      </w:r>
    </w:p>
    <w:p w14:paraId="52721FA9" w14:textId="77777777" w:rsidR="00504F77" w:rsidRPr="00AF353F" w:rsidRDefault="00504F77" w:rsidP="00AF353F">
      <w:pPr>
        <w:pStyle w:val="Caption"/>
        <w:rPr>
          <w:rFonts w:ascii="Times New Roman" w:hAnsi="Times New Roman" w:cs="Times New Roman"/>
          <w:b w:val="0"/>
          <w:bCs w:val="0"/>
          <w:i/>
          <w:color w:val="auto"/>
          <w:sz w:val="22"/>
          <w:szCs w:val="22"/>
          <w:lang w:val="bg-BG"/>
        </w:rPr>
      </w:pPr>
      <w:bookmarkStart w:id="60" w:name="_Toc72919694"/>
      <w:r w:rsidRPr="00AF353F">
        <w:rPr>
          <w:rFonts w:ascii="Times New Roman" w:hAnsi="Times New Roman" w:cs="Times New Roman"/>
          <w:b w:val="0"/>
          <w:bCs w:val="0"/>
          <w:i/>
          <w:noProof/>
          <w:color w:val="auto"/>
          <w:sz w:val="22"/>
          <w:szCs w:val="22"/>
          <w:lang w:val="bg-BG" w:eastAsia="bg-BG"/>
        </w:rPr>
        <w:drawing>
          <wp:anchor distT="0" distB="0" distL="114300" distR="114300" simplePos="0" relativeHeight="251669504" behindDoc="0" locked="0" layoutInCell="1" allowOverlap="1" wp14:anchorId="211D03B5" wp14:editId="1BBEB064">
            <wp:simplePos x="0" y="0"/>
            <wp:positionH relativeFrom="column">
              <wp:posOffset>-19050</wp:posOffset>
            </wp:positionH>
            <wp:positionV relativeFrom="paragraph">
              <wp:posOffset>246380</wp:posOffset>
            </wp:positionV>
            <wp:extent cx="6140450" cy="3117850"/>
            <wp:effectExtent l="0" t="0" r="12700" b="6350"/>
            <wp:wrapNone/>
            <wp:docPr id="5" name="Chart 5">
              <a:extLst xmlns:a="http://schemas.openxmlformats.org/drawingml/2006/main">
                <a:ext uri="{FF2B5EF4-FFF2-40B4-BE49-F238E27FC236}">
                  <a16:creationId xmlns:a16="http://schemas.microsoft.com/office/drawing/2014/main" id="{949F5C3D-DFC6-48D9-B573-B94D84D37B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00AF353F" w:rsidRPr="00AF353F">
        <w:rPr>
          <w:rFonts w:ascii="Times New Roman" w:hAnsi="Times New Roman" w:cs="Times New Roman"/>
          <w:b w:val="0"/>
          <w:bCs w:val="0"/>
          <w:i/>
          <w:color w:val="auto"/>
          <w:sz w:val="22"/>
          <w:szCs w:val="22"/>
          <w:lang w:val="bg-BG"/>
        </w:rPr>
        <w:t xml:space="preserve">Фигура </w:t>
      </w:r>
      <w:r w:rsidR="00AF353F" w:rsidRPr="00AF353F">
        <w:rPr>
          <w:rFonts w:ascii="Times New Roman" w:hAnsi="Times New Roman" w:cs="Times New Roman"/>
          <w:b w:val="0"/>
          <w:bCs w:val="0"/>
          <w:i/>
          <w:color w:val="auto"/>
          <w:sz w:val="22"/>
          <w:szCs w:val="22"/>
          <w:lang w:val="bg-BG"/>
        </w:rPr>
        <w:fldChar w:fldCharType="begin"/>
      </w:r>
      <w:r w:rsidR="00AF353F" w:rsidRPr="00AF353F">
        <w:rPr>
          <w:rFonts w:ascii="Times New Roman" w:hAnsi="Times New Roman" w:cs="Times New Roman"/>
          <w:b w:val="0"/>
          <w:bCs w:val="0"/>
          <w:i/>
          <w:color w:val="auto"/>
          <w:sz w:val="22"/>
          <w:szCs w:val="22"/>
          <w:lang w:val="bg-BG"/>
        </w:rPr>
        <w:instrText xml:space="preserve"> SEQ Фигура \* ARABIC </w:instrText>
      </w:r>
      <w:r w:rsidR="00AF353F" w:rsidRPr="00AF353F">
        <w:rPr>
          <w:rFonts w:ascii="Times New Roman" w:hAnsi="Times New Roman" w:cs="Times New Roman"/>
          <w:b w:val="0"/>
          <w:bCs w:val="0"/>
          <w:i/>
          <w:color w:val="auto"/>
          <w:sz w:val="22"/>
          <w:szCs w:val="22"/>
          <w:lang w:val="bg-BG"/>
        </w:rPr>
        <w:fldChar w:fldCharType="separate"/>
      </w:r>
      <w:r w:rsidR="00AF353F">
        <w:rPr>
          <w:rFonts w:ascii="Times New Roman" w:hAnsi="Times New Roman" w:cs="Times New Roman"/>
          <w:b w:val="0"/>
          <w:bCs w:val="0"/>
          <w:i/>
          <w:noProof/>
          <w:color w:val="auto"/>
          <w:sz w:val="22"/>
          <w:szCs w:val="22"/>
          <w:lang w:val="bg-BG"/>
        </w:rPr>
        <w:t>13</w:t>
      </w:r>
      <w:r w:rsidR="00AF353F" w:rsidRPr="00AF353F">
        <w:rPr>
          <w:rFonts w:ascii="Times New Roman" w:hAnsi="Times New Roman" w:cs="Times New Roman"/>
          <w:b w:val="0"/>
          <w:bCs w:val="0"/>
          <w:i/>
          <w:color w:val="auto"/>
          <w:sz w:val="22"/>
          <w:szCs w:val="22"/>
          <w:lang w:val="bg-BG"/>
        </w:rPr>
        <w:fldChar w:fldCharType="end"/>
      </w:r>
      <w:r w:rsidRPr="00AF353F">
        <w:rPr>
          <w:rFonts w:ascii="Times New Roman" w:hAnsi="Times New Roman" w:cs="Times New Roman"/>
          <w:b w:val="0"/>
          <w:bCs w:val="0"/>
          <w:i/>
          <w:color w:val="auto"/>
          <w:sz w:val="22"/>
          <w:szCs w:val="22"/>
          <w:lang w:val="bg-BG"/>
        </w:rPr>
        <w:t xml:space="preserve"> Образувани производствени отпадъци по икономически дейности, 2015 – 2018 г.</w:t>
      </w:r>
      <w:bookmarkEnd w:id="60"/>
    </w:p>
    <w:p w14:paraId="7F356E0F" w14:textId="77777777" w:rsidR="00504F77" w:rsidRPr="00504F77" w:rsidRDefault="00504F77" w:rsidP="00504F77">
      <w:pPr>
        <w:jc w:val="both"/>
        <w:rPr>
          <w:lang w:val="bg-BG"/>
        </w:rPr>
      </w:pPr>
    </w:p>
    <w:p w14:paraId="3FCC2338" w14:textId="77777777" w:rsidR="00504F77" w:rsidRPr="00504F77" w:rsidRDefault="00504F77" w:rsidP="00504F77">
      <w:pPr>
        <w:jc w:val="both"/>
        <w:rPr>
          <w:lang w:val="bg-BG"/>
        </w:rPr>
      </w:pPr>
    </w:p>
    <w:p w14:paraId="156FF93B" w14:textId="77777777" w:rsidR="00504F77" w:rsidRPr="00504F77" w:rsidRDefault="00504F77" w:rsidP="00504F77">
      <w:pPr>
        <w:jc w:val="both"/>
        <w:rPr>
          <w:lang w:val="bg-BG"/>
        </w:rPr>
      </w:pPr>
    </w:p>
    <w:p w14:paraId="03B916C4" w14:textId="77777777" w:rsidR="00504F77" w:rsidRPr="00504F77" w:rsidRDefault="00504F77" w:rsidP="00504F77">
      <w:pPr>
        <w:jc w:val="both"/>
        <w:rPr>
          <w:lang w:val="bg-BG"/>
        </w:rPr>
      </w:pPr>
    </w:p>
    <w:p w14:paraId="6EAB17DF" w14:textId="77777777" w:rsidR="00504F77" w:rsidRPr="00504F77" w:rsidRDefault="00504F77" w:rsidP="00504F77">
      <w:pPr>
        <w:jc w:val="both"/>
        <w:rPr>
          <w:lang w:val="bg-BG"/>
        </w:rPr>
      </w:pPr>
    </w:p>
    <w:p w14:paraId="34BFA878" w14:textId="77777777" w:rsidR="00504F77" w:rsidRPr="00504F77" w:rsidRDefault="00504F77" w:rsidP="00504F77">
      <w:pPr>
        <w:jc w:val="both"/>
        <w:rPr>
          <w:lang w:val="bg-BG"/>
        </w:rPr>
      </w:pPr>
    </w:p>
    <w:p w14:paraId="0222CB48" w14:textId="77777777" w:rsidR="000C7A78" w:rsidRDefault="000C7A78" w:rsidP="00504F77">
      <w:pPr>
        <w:jc w:val="both"/>
        <w:rPr>
          <w:rFonts w:ascii="Times New Roman" w:hAnsi="Times New Roman" w:cs="Times New Roman"/>
          <w:i/>
          <w:iCs/>
          <w:lang w:val="bg-BG"/>
        </w:rPr>
      </w:pPr>
    </w:p>
    <w:p w14:paraId="3EBA0390" w14:textId="77777777" w:rsidR="000C7A78" w:rsidRDefault="000C7A78" w:rsidP="00504F77">
      <w:pPr>
        <w:jc w:val="both"/>
        <w:rPr>
          <w:rFonts w:ascii="Times New Roman" w:hAnsi="Times New Roman" w:cs="Times New Roman"/>
          <w:i/>
          <w:iCs/>
          <w:lang w:val="bg-BG"/>
        </w:rPr>
      </w:pPr>
    </w:p>
    <w:p w14:paraId="664AE662" w14:textId="18B7FA08" w:rsidR="000C7A78" w:rsidRDefault="000C7A78" w:rsidP="00504F77">
      <w:pPr>
        <w:jc w:val="both"/>
        <w:rPr>
          <w:rFonts w:ascii="Times New Roman" w:hAnsi="Times New Roman" w:cs="Times New Roman"/>
          <w:i/>
          <w:iCs/>
          <w:lang w:val="bg-BG"/>
        </w:rPr>
      </w:pPr>
    </w:p>
    <w:p w14:paraId="64FFD108" w14:textId="45030EBA" w:rsidR="000C7A78" w:rsidRDefault="000C7A78" w:rsidP="00504F77">
      <w:pPr>
        <w:jc w:val="both"/>
        <w:rPr>
          <w:rFonts w:ascii="Times New Roman" w:hAnsi="Times New Roman" w:cs="Times New Roman"/>
          <w:i/>
          <w:iCs/>
          <w:lang w:val="bg-BG"/>
        </w:rPr>
      </w:pPr>
    </w:p>
    <w:p w14:paraId="2158C1D9" w14:textId="77777777" w:rsidR="000C7A78" w:rsidRDefault="000C7A78" w:rsidP="00504F77">
      <w:pPr>
        <w:jc w:val="both"/>
        <w:rPr>
          <w:rFonts w:ascii="Times New Roman" w:hAnsi="Times New Roman" w:cs="Times New Roman"/>
          <w:i/>
          <w:iCs/>
          <w:lang w:val="bg-BG"/>
        </w:rPr>
      </w:pPr>
    </w:p>
    <w:p w14:paraId="37AED125" w14:textId="0127934F" w:rsidR="00504F77" w:rsidRPr="00504F77" w:rsidRDefault="00504F77" w:rsidP="00504F77">
      <w:pPr>
        <w:jc w:val="both"/>
        <w:rPr>
          <w:rFonts w:ascii="Times New Roman" w:hAnsi="Times New Roman" w:cs="Times New Roman"/>
          <w:i/>
          <w:iCs/>
          <w:lang w:val="bg-BG"/>
        </w:rPr>
      </w:pPr>
      <w:r w:rsidRPr="00504F77">
        <w:rPr>
          <w:rFonts w:ascii="Times New Roman" w:hAnsi="Times New Roman" w:cs="Times New Roman"/>
          <w:i/>
          <w:iCs/>
          <w:lang w:val="bg-BG"/>
        </w:rPr>
        <w:t>Източник: НСИ</w:t>
      </w:r>
    </w:p>
    <w:p w14:paraId="489A5235" w14:textId="77777777" w:rsidR="00504F77" w:rsidRPr="005241FC" w:rsidRDefault="00504F77" w:rsidP="00504F77">
      <w:pPr>
        <w:spacing w:line="276" w:lineRule="auto"/>
        <w:jc w:val="both"/>
        <w:rPr>
          <w:rFonts w:ascii="Times New Roman" w:eastAsia="Batang" w:hAnsi="Times New Roman" w:cs="Times New Roman"/>
          <w:lang w:val="bg-BG"/>
        </w:rPr>
      </w:pPr>
      <w:r w:rsidRPr="00504F77">
        <w:rPr>
          <w:rFonts w:ascii="Times New Roman" w:eastAsia="Batang" w:hAnsi="Times New Roman" w:cs="Times New Roman"/>
          <w:sz w:val="24"/>
          <w:szCs w:val="24"/>
          <w:lang w:val="bg-BG"/>
        </w:rPr>
        <w:t xml:space="preserve">Напълно доминиращ е делът на сектор Добивна промишленост и по отношение на общото </w:t>
      </w:r>
      <w:r w:rsidRPr="005241FC">
        <w:rPr>
          <w:rFonts w:ascii="Times New Roman" w:eastAsia="Batang" w:hAnsi="Times New Roman" w:cs="Times New Roman"/>
          <w:lang w:val="bg-BG"/>
        </w:rPr>
        <w:t xml:space="preserve">количество образувани опасни отпадъци, </w:t>
      </w:r>
      <w:proofErr w:type="spellStart"/>
      <w:r w:rsidRPr="005241FC">
        <w:rPr>
          <w:rFonts w:ascii="Times New Roman" w:eastAsia="Batang" w:hAnsi="Times New Roman" w:cs="Times New Roman"/>
        </w:rPr>
        <w:t>което</w:t>
      </w:r>
      <w:proofErr w:type="spellEnd"/>
      <w:r w:rsidRPr="005241FC">
        <w:rPr>
          <w:rFonts w:ascii="Times New Roman" w:eastAsia="Batang" w:hAnsi="Times New Roman" w:cs="Times New Roman"/>
        </w:rPr>
        <w:t xml:space="preserve"> </w:t>
      </w:r>
      <w:proofErr w:type="spellStart"/>
      <w:r w:rsidRPr="005241FC">
        <w:rPr>
          <w:rFonts w:ascii="Times New Roman" w:eastAsia="Batang" w:hAnsi="Times New Roman" w:cs="Times New Roman"/>
        </w:rPr>
        <w:t>през</w:t>
      </w:r>
      <w:proofErr w:type="spellEnd"/>
      <w:r w:rsidRPr="005241FC">
        <w:rPr>
          <w:rFonts w:ascii="Times New Roman" w:eastAsia="Batang" w:hAnsi="Times New Roman" w:cs="Times New Roman"/>
        </w:rPr>
        <w:t xml:space="preserve"> 2018 г. </w:t>
      </w:r>
      <w:proofErr w:type="spellStart"/>
      <w:r w:rsidRPr="005241FC">
        <w:rPr>
          <w:rFonts w:ascii="Times New Roman" w:eastAsia="Batang" w:hAnsi="Times New Roman" w:cs="Times New Roman"/>
        </w:rPr>
        <w:t>възлиза</w:t>
      </w:r>
      <w:proofErr w:type="spellEnd"/>
      <w:r w:rsidRPr="005241FC">
        <w:rPr>
          <w:rFonts w:ascii="Times New Roman" w:eastAsia="Batang" w:hAnsi="Times New Roman" w:cs="Times New Roman"/>
        </w:rPr>
        <w:t xml:space="preserve"> на 13 313,374 kt</w:t>
      </w:r>
      <w:r w:rsidRPr="005241FC">
        <w:rPr>
          <w:rFonts w:ascii="Times New Roman" w:eastAsia="Batang" w:hAnsi="Times New Roman" w:cs="Times New Roman"/>
          <w:lang w:val="bg-BG"/>
        </w:rPr>
        <w:t>.</w:t>
      </w:r>
    </w:p>
    <w:p w14:paraId="635085F5" w14:textId="77777777" w:rsidR="005241FC" w:rsidRPr="005241FC" w:rsidRDefault="005241FC" w:rsidP="00504F77">
      <w:pPr>
        <w:spacing w:line="276" w:lineRule="auto"/>
        <w:jc w:val="both"/>
        <w:rPr>
          <w:rFonts w:ascii="Times New Roman" w:hAnsi="Times New Roman" w:cs="Times New Roman"/>
          <w:lang w:val="bg-BG"/>
        </w:rPr>
      </w:pPr>
    </w:p>
    <w:p w14:paraId="232FE584" w14:textId="77777777" w:rsidR="00504F77" w:rsidRPr="005241FC" w:rsidRDefault="00504F77" w:rsidP="00504F77">
      <w:pPr>
        <w:spacing w:line="276" w:lineRule="auto"/>
        <w:jc w:val="both"/>
        <w:rPr>
          <w:rFonts w:ascii="Times New Roman" w:hAnsi="Times New Roman" w:cs="Times New Roman"/>
          <w:lang w:val="bg-BG"/>
        </w:rPr>
      </w:pPr>
      <w:r w:rsidRPr="005241FC">
        <w:rPr>
          <w:rFonts w:ascii="Times New Roman" w:hAnsi="Times New Roman" w:cs="Times New Roman"/>
          <w:lang w:val="bg-BG"/>
        </w:rPr>
        <w:t xml:space="preserve">Показателни за ресурсоемкостта на националната икономика са няколко индикатора. </w:t>
      </w:r>
    </w:p>
    <w:p w14:paraId="7F84C6CD" w14:textId="77777777" w:rsidR="00504F77" w:rsidRPr="005241FC" w:rsidRDefault="00504F77" w:rsidP="00504F77">
      <w:pPr>
        <w:spacing w:line="276" w:lineRule="auto"/>
        <w:jc w:val="both"/>
        <w:rPr>
          <w:rFonts w:ascii="Times New Roman" w:hAnsi="Times New Roman" w:cs="Times New Roman"/>
          <w:lang w:val="bg-BG"/>
        </w:rPr>
      </w:pPr>
      <w:r w:rsidRPr="005241FC">
        <w:rPr>
          <w:rFonts w:ascii="Times New Roman" w:hAnsi="Times New Roman" w:cs="Times New Roman"/>
          <w:b/>
          <w:bCs/>
          <w:lang w:val="bg-BG"/>
        </w:rPr>
        <w:t>Нормата на кръговото (вторично) използване на материалите</w:t>
      </w:r>
      <w:r w:rsidRPr="005241FC">
        <w:rPr>
          <w:rFonts w:ascii="Times New Roman" w:hAnsi="Times New Roman" w:cs="Times New Roman"/>
          <w:lang w:val="bg-BG"/>
        </w:rPr>
        <w:t xml:space="preserve"> в икономиката на България нараства от 2.1% през 2010 г. до 4.4% през 2016 г. и 3.5% през 2017 г.</w:t>
      </w:r>
      <w:r w:rsidRPr="005241FC">
        <w:rPr>
          <w:rFonts w:ascii="Times New Roman" w:hAnsi="Times New Roman" w:cs="Times New Roman"/>
        </w:rPr>
        <w:t xml:space="preserve"> </w:t>
      </w:r>
      <w:r w:rsidRPr="005241FC">
        <w:rPr>
          <w:rFonts w:ascii="Times New Roman" w:hAnsi="Times New Roman" w:cs="Times New Roman"/>
          <w:lang w:val="bg-BG"/>
        </w:rPr>
        <w:t>Известен спад се наблюдава през 2018 г., като за страната е отчетена норма от 2.5%. Значително е и изоставането спрямо средната стойност за ЕС (11.7%).</w:t>
      </w:r>
      <w:r w:rsidRPr="005241FC">
        <w:rPr>
          <w:rStyle w:val="FootnoteReference"/>
          <w:rFonts w:ascii="Times New Roman" w:hAnsi="Times New Roman" w:cs="Times New Roman"/>
          <w:lang w:val="bg-BG"/>
        </w:rPr>
        <w:footnoteReference w:id="29"/>
      </w:r>
      <w:r w:rsidRPr="005241FC">
        <w:rPr>
          <w:rFonts w:ascii="Times New Roman" w:hAnsi="Times New Roman" w:cs="Times New Roman"/>
          <w:lang w:val="bg-BG"/>
        </w:rPr>
        <w:t xml:space="preserve"> </w:t>
      </w:r>
    </w:p>
    <w:p w14:paraId="23CB9C1D" w14:textId="77777777" w:rsidR="00504F77" w:rsidRPr="00AF353F" w:rsidRDefault="00504F77" w:rsidP="00AF353F">
      <w:pPr>
        <w:pStyle w:val="Caption"/>
        <w:rPr>
          <w:rFonts w:ascii="Times New Roman" w:hAnsi="Times New Roman" w:cs="Times New Roman"/>
          <w:b w:val="0"/>
          <w:bCs w:val="0"/>
          <w:i/>
          <w:color w:val="auto"/>
          <w:sz w:val="22"/>
          <w:szCs w:val="22"/>
          <w:lang w:val="bg-BG"/>
        </w:rPr>
      </w:pPr>
      <w:bookmarkStart w:id="61" w:name="_Toc72919695"/>
      <w:r w:rsidRPr="00AF353F">
        <w:rPr>
          <w:rFonts w:ascii="Times New Roman" w:hAnsi="Times New Roman" w:cs="Times New Roman"/>
          <w:b w:val="0"/>
          <w:bCs w:val="0"/>
          <w:i/>
          <w:noProof/>
          <w:color w:val="auto"/>
          <w:sz w:val="22"/>
          <w:szCs w:val="22"/>
          <w:lang w:val="bg-BG" w:eastAsia="bg-BG"/>
        </w:rPr>
        <w:lastRenderedPageBreak/>
        <w:drawing>
          <wp:anchor distT="0" distB="0" distL="114300" distR="114300" simplePos="0" relativeHeight="251668480" behindDoc="0" locked="0" layoutInCell="1" allowOverlap="1" wp14:anchorId="0BB23607" wp14:editId="4ECF7073">
            <wp:simplePos x="0" y="0"/>
            <wp:positionH relativeFrom="margin">
              <wp:align>left</wp:align>
            </wp:positionH>
            <wp:positionV relativeFrom="paragraph">
              <wp:posOffset>247650</wp:posOffset>
            </wp:positionV>
            <wp:extent cx="5031888" cy="20637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031888" cy="2063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F353F" w:rsidRPr="00AF353F">
        <w:rPr>
          <w:rFonts w:ascii="Times New Roman" w:hAnsi="Times New Roman" w:cs="Times New Roman"/>
          <w:b w:val="0"/>
          <w:bCs w:val="0"/>
          <w:i/>
          <w:color w:val="auto"/>
          <w:sz w:val="22"/>
          <w:szCs w:val="22"/>
          <w:lang w:val="bg-BG"/>
        </w:rPr>
        <w:t xml:space="preserve">Фигура </w:t>
      </w:r>
      <w:r w:rsidR="00AF353F" w:rsidRPr="00AF353F">
        <w:rPr>
          <w:rFonts w:ascii="Times New Roman" w:hAnsi="Times New Roman" w:cs="Times New Roman"/>
          <w:b w:val="0"/>
          <w:bCs w:val="0"/>
          <w:i/>
          <w:color w:val="auto"/>
          <w:sz w:val="22"/>
          <w:szCs w:val="22"/>
          <w:lang w:val="bg-BG"/>
        </w:rPr>
        <w:fldChar w:fldCharType="begin"/>
      </w:r>
      <w:r w:rsidR="00AF353F" w:rsidRPr="00AF353F">
        <w:rPr>
          <w:rFonts w:ascii="Times New Roman" w:hAnsi="Times New Roman" w:cs="Times New Roman"/>
          <w:b w:val="0"/>
          <w:bCs w:val="0"/>
          <w:i/>
          <w:color w:val="auto"/>
          <w:sz w:val="22"/>
          <w:szCs w:val="22"/>
          <w:lang w:val="bg-BG"/>
        </w:rPr>
        <w:instrText xml:space="preserve"> SEQ Фигура \* ARABIC </w:instrText>
      </w:r>
      <w:r w:rsidR="00AF353F" w:rsidRPr="00AF353F">
        <w:rPr>
          <w:rFonts w:ascii="Times New Roman" w:hAnsi="Times New Roman" w:cs="Times New Roman"/>
          <w:b w:val="0"/>
          <w:bCs w:val="0"/>
          <w:i/>
          <w:color w:val="auto"/>
          <w:sz w:val="22"/>
          <w:szCs w:val="22"/>
          <w:lang w:val="bg-BG"/>
        </w:rPr>
        <w:fldChar w:fldCharType="separate"/>
      </w:r>
      <w:r w:rsidR="00AF353F">
        <w:rPr>
          <w:rFonts w:ascii="Times New Roman" w:hAnsi="Times New Roman" w:cs="Times New Roman"/>
          <w:b w:val="0"/>
          <w:bCs w:val="0"/>
          <w:i/>
          <w:noProof/>
          <w:color w:val="auto"/>
          <w:sz w:val="22"/>
          <w:szCs w:val="22"/>
          <w:lang w:val="bg-BG"/>
        </w:rPr>
        <w:t>14</w:t>
      </w:r>
      <w:r w:rsidR="00AF353F" w:rsidRPr="00AF353F">
        <w:rPr>
          <w:rFonts w:ascii="Times New Roman" w:hAnsi="Times New Roman" w:cs="Times New Roman"/>
          <w:b w:val="0"/>
          <w:bCs w:val="0"/>
          <w:i/>
          <w:color w:val="auto"/>
          <w:sz w:val="22"/>
          <w:szCs w:val="22"/>
          <w:lang w:val="bg-BG"/>
        </w:rPr>
        <w:fldChar w:fldCharType="end"/>
      </w:r>
      <w:r w:rsidR="00AF353F" w:rsidRPr="00AF353F">
        <w:rPr>
          <w:rFonts w:ascii="Times New Roman" w:hAnsi="Times New Roman" w:cs="Times New Roman"/>
          <w:b w:val="0"/>
          <w:bCs w:val="0"/>
          <w:i/>
          <w:color w:val="auto"/>
          <w:sz w:val="22"/>
          <w:szCs w:val="22"/>
          <w:lang w:val="bg-BG"/>
        </w:rPr>
        <w:t xml:space="preserve"> </w:t>
      </w:r>
      <w:r w:rsidRPr="00AF353F">
        <w:rPr>
          <w:rFonts w:ascii="Times New Roman" w:hAnsi="Times New Roman" w:cs="Times New Roman"/>
          <w:b w:val="0"/>
          <w:bCs w:val="0"/>
          <w:i/>
          <w:color w:val="auto"/>
          <w:sz w:val="22"/>
          <w:szCs w:val="22"/>
          <w:lang w:val="bg-BG"/>
        </w:rPr>
        <w:t>Кръгово използване на материалите в икономиката, 2018 г.</w:t>
      </w:r>
      <w:bookmarkEnd w:id="61"/>
    </w:p>
    <w:p w14:paraId="5530BEE7" w14:textId="77777777" w:rsidR="00504F77" w:rsidRPr="00504F77" w:rsidRDefault="00504F77" w:rsidP="00504F77">
      <w:pPr>
        <w:jc w:val="both"/>
        <w:rPr>
          <w:sz w:val="23"/>
          <w:szCs w:val="23"/>
          <w:lang w:val="bg-BG"/>
        </w:rPr>
      </w:pPr>
    </w:p>
    <w:p w14:paraId="4A1890DD" w14:textId="77777777" w:rsidR="00504F77" w:rsidRPr="00504F77" w:rsidRDefault="00504F77" w:rsidP="00504F77">
      <w:pPr>
        <w:jc w:val="both"/>
        <w:rPr>
          <w:sz w:val="23"/>
          <w:szCs w:val="23"/>
          <w:lang w:val="bg-BG"/>
        </w:rPr>
      </w:pPr>
    </w:p>
    <w:p w14:paraId="2B7A4C2C" w14:textId="77777777" w:rsidR="00504F77" w:rsidRPr="00504F77" w:rsidRDefault="00504F77" w:rsidP="00504F77">
      <w:pPr>
        <w:jc w:val="both"/>
        <w:rPr>
          <w:sz w:val="23"/>
          <w:szCs w:val="23"/>
          <w:lang w:val="bg-BG"/>
        </w:rPr>
      </w:pPr>
    </w:p>
    <w:p w14:paraId="0DC8FE51" w14:textId="77777777" w:rsidR="00504F77" w:rsidRPr="00504F77" w:rsidRDefault="00504F77" w:rsidP="00504F77">
      <w:pPr>
        <w:jc w:val="both"/>
        <w:rPr>
          <w:sz w:val="23"/>
          <w:szCs w:val="23"/>
          <w:lang w:val="bg-BG"/>
        </w:rPr>
      </w:pPr>
    </w:p>
    <w:p w14:paraId="72D12418" w14:textId="77777777" w:rsidR="00504F77" w:rsidRPr="00504F77" w:rsidRDefault="00504F77" w:rsidP="00504F77">
      <w:pPr>
        <w:jc w:val="both"/>
        <w:rPr>
          <w:sz w:val="23"/>
          <w:szCs w:val="23"/>
          <w:lang w:val="bg-BG"/>
        </w:rPr>
      </w:pPr>
    </w:p>
    <w:p w14:paraId="5C628F2C" w14:textId="77777777" w:rsidR="00504F77" w:rsidRPr="00504F77" w:rsidRDefault="00504F77" w:rsidP="00504F77">
      <w:pPr>
        <w:jc w:val="both"/>
        <w:rPr>
          <w:rFonts w:ascii="Times New Roman" w:hAnsi="Times New Roman" w:cs="Times New Roman"/>
          <w:i/>
          <w:iCs/>
          <w:lang w:val="bg-BG"/>
        </w:rPr>
      </w:pPr>
      <w:r w:rsidRPr="00504F77">
        <w:rPr>
          <w:rFonts w:ascii="Times New Roman" w:hAnsi="Times New Roman" w:cs="Times New Roman"/>
          <w:i/>
          <w:iCs/>
          <w:lang w:val="bg-BG"/>
        </w:rPr>
        <w:t>Източник: Евростат</w:t>
      </w:r>
    </w:p>
    <w:p w14:paraId="4C1B7EE6" w14:textId="77777777" w:rsidR="00504F77" w:rsidRPr="005241FC" w:rsidRDefault="00504F77" w:rsidP="00504F77">
      <w:pPr>
        <w:spacing w:line="276" w:lineRule="auto"/>
        <w:jc w:val="both"/>
        <w:rPr>
          <w:rFonts w:ascii="Times New Roman" w:hAnsi="Times New Roman" w:cs="Times New Roman"/>
          <w:lang w:val="bg-BG"/>
        </w:rPr>
      </w:pPr>
      <w:r w:rsidRPr="005241FC">
        <w:rPr>
          <w:rFonts w:ascii="Times New Roman" w:hAnsi="Times New Roman" w:cs="Times New Roman"/>
          <w:lang w:val="bg-BG"/>
        </w:rPr>
        <w:t xml:space="preserve">В допълнение, данните за директно влагани материали в икономическите дейности на годишна основа показва стабилна тенденция на нарастване за периода 2011 – 2018 г. от 156 245 </w:t>
      </w:r>
      <w:r w:rsidRPr="005241FC">
        <w:rPr>
          <w:rFonts w:ascii="Times New Roman" w:hAnsi="Times New Roman" w:cs="Times New Roman"/>
        </w:rPr>
        <w:t xml:space="preserve">kt </w:t>
      </w:r>
      <w:r w:rsidRPr="005241FC">
        <w:rPr>
          <w:rFonts w:ascii="Times New Roman" w:hAnsi="Times New Roman" w:cs="Times New Roman"/>
          <w:lang w:val="bg-BG"/>
        </w:rPr>
        <w:t xml:space="preserve">за 2011 г. до 171 304 </w:t>
      </w:r>
      <w:r w:rsidRPr="005241FC">
        <w:rPr>
          <w:rFonts w:ascii="Times New Roman" w:hAnsi="Times New Roman" w:cs="Times New Roman"/>
        </w:rPr>
        <w:t xml:space="preserve">kt </w:t>
      </w:r>
      <w:r w:rsidRPr="005241FC">
        <w:rPr>
          <w:rFonts w:ascii="Times New Roman" w:hAnsi="Times New Roman" w:cs="Times New Roman"/>
          <w:lang w:val="bg-BG"/>
        </w:rPr>
        <w:t>през 2018 г.</w:t>
      </w:r>
      <w:r w:rsidRPr="005241FC">
        <w:rPr>
          <w:rStyle w:val="FootnoteReference"/>
          <w:rFonts w:ascii="Times New Roman" w:hAnsi="Times New Roman" w:cs="Times New Roman"/>
          <w:lang w:val="bg-BG"/>
        </w:rPr>
        <w:footnoteReference w:id="30"/>
      </w:r>
    </w:p>
    <w:p w14:paraId="55E01751" w14:textId="77777777" w:rsidR="00504F77" w:rsidRPr="00AF353F" w:rsidRDefault="00AF353F" w:rsidP="00AF353F">
      <w:pPr>
        <w:pStyle w:val="Caption"/>
        <w:rPr>
          <w:rFonts w:ascii="Times New Roman" w:hAnsi="Times New Roman" w:cs="Times New Roman"/>
          <w:b w:val="0"/>
          <w:bCs w:val="0"/>
          <w:i/>
          <w:iCs/>
          <w:color w:val="auto"/>
          <w:sz w:val="22"/>
          <w:szCs w:val="22"/>
          <w:lang w:val="bg-BG"/>
        </w:rPr>
      </w:pPr>
      <w:bookmarkStart w:id="62" w:name="_Toc72919696"/>
      <w:r w:rsidRPr="00AF353F">
        <w:rPr>
          <w:rFonts w:ascii="Times New Roman" w:hAnsi="Times New Roman" w:cs="Times New Roman"/>
          <w:b w:val="0"/>
          <w:bCs w:val="0"/>
          <w:i/>
          <w:iCs/>
          <w:color w:val="auto"/>
          <w:sz w:val="22"/>
          <w:szCs w:val="22"/>
          <w:lang w:val="bg-BG"/>
        </w:rPr>
        <w:t xml:space="preserve">Фигура </w:t>
      </w:r>
      <w:r w:rsidRPr="00AF353F">
        <w:rPr>
          <w:rFonts w:ascii="Times New Roman" w:hAnsi="Times New Roman" w:cs="Times New Roman"/>
          <w:b w:val="0"/>
          <w:bCs w:val="0"/>
          <w:i/>
          <w:iCs/>
          <w:color w:val="auto"/>
          <w:sz w:val="22"/>
          <w:szCs w:val="22"/>
          <w:lang w:val="bg-BG"/>
        </w:rPr>
        <w:fldChar w:fldCharType="begin"/>
      </w:r>
      <w:r w:rsidRPr="00AF353F">
        <w:rPr>
          <w:rFonts w:ascii="Times New Roman" w:hAnsi="Times New Roman" w:cs="Times New Roman"/>
          <w:b w:val="0"/>
          <w:bCs w:val="0"/>
          <w:i/>
          <w:iCs/>
          <w:color w:val="auto"/>
          <w:sz w:val="22"/>
          <w:szCs w:val="22"/>
          <w:lang w:val="bg-BG"/>
        </w:rPr>
        <w:instrText xml:space="preserve"> SEQ Фигура \* ARABIC </w:instrText>
      </w:r>
      <w:r w:rsidRPr="00AF353F">
        <w:rPr>
          <w:rFonts w:ascii="Times New Roman" w:hAnsi="Times New Roman" w:cs="Times New Roman"/>
          <w:b w:val="0"/>
          <w:bCs w:val="0"/>
          <w:i/>
          <w:iCs/>
          <w:color w:val="auto"/>
          <w:sz w:val="22"/>
          <w:szCs w:val="22"/>
          <w:lang w:val="bg-BG"/>
        </w:rPr>
        <w:fldChar w:fldCharType="separate"/>
      </w:r>
      <w:r>
        <w:rPr>
          <w:rFonts w:ascii="Times New Roman" w:hAnsi="Times New Roman" w:cs="Times New Roman"/>
          <w:b w:val="0"/>
          <w:bCs w:val="0"/>
          <w:i/>
          <w:iCs/>
          <w:noProof/>
          <w:color w:val="auto"/>
          <w:sz w:val="22"/>
          <w:szCs w:val="22"/>
          <w:lang w:val="bg-BG"/>
        </w:rPr>
        <w:t>15</w:t>
      </w:r>
      <w:r w:rsidRPr="00AF353F">
        <w:rPr>
          <w:rFonts w:ascii="Times New Roman" w:hAnsi="Times New Roman" w:cs="Times New Roman"/>
          <w:b w:val="0"/>
          <w:bCs w:val="0"/>
          <w:i/>
          <w:iCs/>
          <w:color w:val="auto"/>
          <w:sz w:val="22"/>
          <w:szCs w:val="22"/>
          <w:lang w:val="bg-BG"/>
        </w:rPr>
        <w:fldChar w:fldCharType="end"/>
      </w:r>
      <w:r w:rsidRPr="00AF353F">
        <w:rPr>
          <w:rFonts w:ascii="Times New Roman" w:hAnsi="Times New Roman" w:cs="Times New Roman"/>
          <w:b w:val="0"/>
          <w:bCs w:val="0"/>
          <w:i/>
          <w:iCs/>
          <w:color w:val="auto"/>
          <w:sz w:val="22"/>
          <w:szCs w:val="22"/>
          <w:lang w:val="bg-BG"/>
        </w:rPr>
        <w:t xml:space="preserve"> </w:t>
      </w:r>
      <w:r w:rsidR="00504F77" w:rsidRPr="00AF353F">
        <w:rPr>
          <w:rFonts w:ascii="Times New Roman" w:hAnsi="Times New Roman" w:cs="Times New Roman"/>
          <w:b w:val="0"/>
          <w:bCs w:val="0"/>
          <w:i/>
          <w:iCs/>
          <w:color w:val="auto"/>
          <w:sz w:val="22"/>
          <w:szCs w:val="22"/>
          <w:lang w:val="bg-BG"/>
        </w:rPr>
        <w:t>Директно влагани материали в икономиката за периода 2011-2018 г.</w:t>
      </w:r>
      <w:bookmarkEnd w:id="62"/>
    </w:p>
    <w:p w14:paraId="10EB6F7F" w14:textId="77777777" w:rsidR="00504F77" w:rsidRPr="00504F77" w:rsidRDefault="00504F77" w:rsidP="00504F77">
      <w:pPr>
        <w:spacing w:line="276" w:lineRule="auto"/>
        <w:ind w:left="720"/>
        <w:jc w:val="both"/>
        <w:rPr>
          <w:rFonts w:ascii="Times New Roman" w:hAnsi="Times New Roman" w:cs="Times New Roman"/>
          <w:sz w:val="24"/>
          <w:szCs w:val="24"/>
          <w:lang w:val="bg-BG"/>
        </w:rPr>
      </w:pPr>
      <w:r>
        <w:rPr>
          <w:noProof/>
          <w:lang w:val="bg-BG" w:eastAsia="bg-BG"/>
        </w:rPr>
        <w:drawing>
          <wp:inline distT="0" distB="0" distL="0" distR="0" wp14:anchorId="0719D7AE" wp14:editId="0573D0E8">
            <wp:extent cx="3784600" cy="2101850"/>
            <wp:effectExtent l="0" t="0" r="25400" b="12700"/>
            <wp:docPr id="29" name="Chart 29">
              <a:extLst xmlns:a="http://schemas.openxmlformats.org/drawingml/2006/main">
                <a:ext uri="{FF2B5EF4-FFF2-40B4-BE49-F238E27FC236}">
                  <a16:creationId xmlns:a16="http://schemas.microsoft.com/office/drawing/2014/main" id="{63A143A0-BB4E-428E-B3BD-FEF12518D4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3211249" w14:textId="77777777" w:rsidR="00504F77" w:rsidRPr="00504F77" w:rsidRDefault="00504F77" w:rsidP="00504F77">
      <w:pPr>
        <w:ind w:left="720"/>
        <w:jc w:val="both"/>
        <w:rPr>
          <w:rFonts w:ascii="Times New Roman" w:hAnsi="Times New Roman" w:cs="Times New Roman"/>
          <w:i/>
          <w:iCs/>
          <w:lang w:val="bg-BG"/>
        </w:rPr>
      </w:pPr>
      <w:r w:rsidRPr="00504F77">
        <w:rPr>
          <w:rFonts w:ascii="Times New Roman" w:hAnsi="Times New Roman" w:cs="Times New Roman"/>
          <w:i/>
          <w:iCs/>
          <w:lang w:val="bg-BG"/>
        </w:rPr>
        <w:t>Данни: Евростат</w:t>
      </w:r>
    </w:p>
    <w:p w14:paraId="16C7485F" w14:textId="7D81B53B" w:rsidR="00504F77" w:rsidRDefault="00504F77" w:rsidP="00504F77">
      <w:pPr>
        <w:spacing w:line="276" w:lineRule="auto"/>
        <w:jc w:val="both"/>
        <w:rPr>
          <w:rFonts w:ascii="Times New Roman" w:hAnsi="Times New Roman" w:cs="Times New Roman"/>
          <w:lang w:val="bg-BG"/>
        </w:rPr>
      </w:pPr>
      <w:r w:rsidRPr="005241FC">
        <w:rPr>
          <w:rFonts w:ascii="Times New Roman" w:hAnsi="Times New Roman" w:cs="Times New Roman"/>
          <w:lang w:val="bg-BG"/>
        </w:rPr>
        <w:t xml:space="preserve">По данни на Евростат за 2018 г. стойността на показателя </w:t>
      </w:r>
      <w:r w:rsidRPr="005241FC">
        <w:rPr>
          <w:rFonts w:ascii="Times New Roman" w:hAnsi="Times New Roman" w:cs="Times New Roman"/>
          <w:b/>
          <w:bCs/>
          <w:lang w:val="bg-BG"/>
        </w:rPr>
        <w:t>„Производителност на ресурсите“</w:t>
      </w:r>
      <w:r w:rsidRPr="005241FC">
        <w:rPr>
          <w:rFonts w:ascii="Times New Roman" w:hAnsi="Times New Roman" w:cs="Times New Roman"/>
          <w:lang w:val="bg-BG"/>
        </w:rPr>
        <w:t xml:space="preserve"> за България е 0.3535 Евро/ кг., при средно за ЕС 2.272 Евро/ кг. В Европа страната се нарежда на предпоследно място, което означава, че България се характеризира с най-ресурсоемката икономика в ЕС, изразходвайки 6.4 пъти повече суровини за производство на единица БВП от средния суровинен разход в ЕС. Високата ресурсна неефективност е едно от най-значимите препятствия пред конкурентоспособността на икономиката, като същевременно възпрепятства и устойчивото развитие.</w:t>
      </w:r>
    </w:p>
    <w:p w14:paraId="74128E85" w14:textId="06F26859" w:rsidR="000C7A78" w:rsidRDefault="000C7A78" w:rsidP="00504F77">
      <w:pPr>
        <w:spacing w:line="276" w:lineRule="auto"/>
        <w:jc w:val="both"/>
        <w:rPr>
          <w:rFonts w:ascii="Times New Roman" w:hAnsi="Times New Roman" w:cs="Times New Roman"/>
          <w:lang w:val="bg-BG"/>
        </w:rPr>
      </w:pPr>
    </w:p>
    <w:p w14:paraId="1C99E4B1" w14:textId="71D3FFBD" w:rsidR="000C7A78" w:rsidRDefault="000C7A78" w:rsidP="00504F77">
      <w:pPr>
        <w:spacing w:line="276" w:lineRule="auto"/>
        <w:jc w:val="both"/>
        <w:rPr>
          <w:rFonts w:ascii="Times New Roman" w:hAnsi="Times New Roman" w:cs="Times New Roman"/>
          <w:lang w:val="bg-BG"/>
        </w:rPr>
      </w:pPr>
    </w:p>
    <w:p w14:paraId="6D06E2AE" w14:textId="77777777" w:rsidR="000C7A78" w:rsidRPr="005241FC" w:rsidRDefault="000C7A78" w:rsidP="00504F77">
      <w:pPr>
        <w:spacing w:line="276" w:lineRule="auto"/>
        <w:jc w:val="both"/>
        <w:rPr>
          <w:rFonts w:ascii="Times New Roman" w:hAnsi="Times New Roman" w:cs="Times New Roman"/>
          <w:lang w:val="bg-BG"/>
        </w:rPr>
      </w:pPr>
    </w:p>
    <w:p w14:paraId="763033C8" w14:textId="77777777" w:rsidR="00504F77" w:rsidRPr="00AF353F" w:rsidRDefault="00AF353F" w:rsidP="00AF353F">
      <w:pPr>
        <w:pStyle w:val="Caption"/>
        <w:rPr>
          <w:rFonts w:ascii="Times New Roman" w:hAnsi="Times New Roman" w:cs="Times New Roman"/>
          <w:b w:val="0"/>
          <w:bCs w:val="0"/>
          <w:i/>
          <w:iCs/>
          <w:color w:val="auto"/>
          <w:sz w:val="22"/>
          <w:szCs w:val="22"/>
          <w:lang w:val="bg-BG"/>
        </w:rPr>
      </w:pPr>
      <w:bookmarkStart w:id="63" w:name="_Toc72919697"/>
      <w:r w:rsidRPr="00AF353F">
        <w:rPr>
          <w:rFonts w:ascii="Times New Roman" w:hAnsi="Times New Roman" w:cs="Times New Roman"/>
          <w:b w:val="0"/>
          <w:bCs w:val="0"/>
          <w:i/>
          <w:iCs/>
          <w:color w:val="auto"/>
          <w:sz w:val="22"/>
          <w:szCs w:val="22"/>
          <w:lang w:val="bg-BG"/>
        </w:rPr>
        <w:t xml:space="preserve">Фигура </w:t>
      </w:r>
      <w:r w:rsidRPr="00AF353F">
        <w:rPr>
          <w:rFonts w:ascii="Times New Roman" w:hAnsi="Times New Roman" w:cs="Times New Roman"/>
          <w:b w:val="0"/>
          <w:bCs w:val="0"/>
          <w:i/>
          <w:iCs/>
          <w:color w:val="auto"/>
          <w:sz w:val="22"/>
          <w:szCs w:val="22"/>
          <w:lang w:val="bg-BG"/>
        </w:rPr>
        <w:fldChar w:fldCharType="begin"/>
      </w:r>
      <w:r w:rsidRPr="00AF353F">
        <w:rPr>
          <w:rFonts w:ascii="Times New Roman" w:hAnsi="Times New Roman" w:cs="Times New Roman"/>
          <w:b w:val="0"/>
          <w:bCs w:val="0"/>
          <w:i/>
          <w:iCs/>
          <w:color w:val="auto"/>
          <w:sz w:val="22"/>
          <w:szCs w:val="22"/>
          <w:lang w:val="bg-BG"/>
        </w:rPr>
        <w:instrText xml:space="preserve"> SEQ Фигура \* ARABIC </w:instrText>
      </w:r>
      <w:r w:rsidRPr="00AF353F">
        <w:rPr>
          <w:rFonts w:ascii="Times New Roman" w:hAnsi="Times New Roman" w:cs="Times New Roman"/>
          <w:b w:val="0"/>
          <w:bCs w:val="0"/>
          <w:i/>
          <w:iCs/>
          <w:color w:val="auto"/>
          <w:sz w:val="22"/>
          <w:szCs w:val="22"/>
          <w:lang w:val="bg-BG"/>
        </w:rPr>
        <w:fldChar w:fldCharType="separate"/>
      </w:r>
      <w:r>
        <w:rPr>
          <w:rFonts w:ascii="Times New Roman" w:hAnsi="Times New Roman" w:cs="Times New Roman"/>
          <w:b w:val="0"/>
          <w:bCs w:val="0"/>
          <w:i/>
          <w:iCs/>
          <w:noProof/>
          <w:color w:val="auto"/>
          <w:sz w:val="22"/>
          <w:szCs w:val="22"/>
          <w:lang w:val="bg-BG"/>
        </w:rPr>
        <w:t>16</w:t>
      </w:r>
      <w:r w:rsidRPr="00AF353F">
        <w:rPr>
          <w:rFonts w:ascii="Times New Roman" w:hAnsi="Times New Roman" w:cs="Times New Roman"/>
          <w:b w:val="0"/>
          <w:bCs w:val="0"/>
          <w:i/>
          <w:iCs/>
          <w:color w:val="auto"/>
          <w:sz w:val="22"/>
          <w:szCs w:val="22"/>
          <w:lang w:val="bg-BG"/>
        </w:rPr>
        <w:fldChar w:fldCharType="end"/>
      </w:r>
      <w:r w:rsidRPr="00AF353F">
        <w:rPr>
          <w:rFonts w:ascii="Times New Roman" w:hAnsi="Times New Roman" w:cs="Times New Roman"/>
          <w:b w:val="0"/>
          <w:bCs w:val="0"/>
          <w:i/>
          <w:iCs/>
          <w:color w:val="auto"/>
          <w:sz w:val="22"/>
          <w:szCs w:val="22"/>
          <w:lang w:val="bg-BG"/>
        </w:rPr>
        <w:t xml:space="preserve"> </w:t>
      </w:r>
      <w:r w:rsidR="00504F77" w:rsidRPr="00AF353F">
        <w:rPr>
          <w:rFonts w:ascii="Times New Roman" w:hAnsi="Times New Roman" w:cs="Times New Roman"/>
          <w:b w:val="0"/>
          <w:bCs w:val="0"/>
          <w:i/>
          <w:iCs/>
          <w:color w:val="auto"/>
          <w:sz w:val="22"/>
          <w:szCs w:val="22"/>
          <w:lang w:val="bg-BG"/>
        </w:rPr>
        <w:t>Производителност на ресурсите, 2018 г.</w:t>
      </w:r>
      <w:bookmarkEnd w:id="63"/>
    </w:p>
    <w:p w14:paraId="323F869A" w14:textId="77777777" w:rsidR="00504F77" w:rsidRPr="00504F77" w:rsidRDefault="00504F77" w:rsidP="00504F77">
      <w:pPr>
        <w:ind w:left="720"/>
        <w:rPr>
          <w:lang w:val="bg-BG"/>
        </w:rPr>
      </w:pPr>
      <w:r w:rsidRPr="002A5B6B">
        <w:rPr>
          <w:noProof/>
          <w:lang w:val="bg-BG" w:eastAsia="bg-BG"/>
        </w:rPr>
        <w:drawing>
          <wp:inline distT="0" distB="0" distL="0" distR="0" wp14:anchorId="47220B94" wp14:editId="0023088F">
            <wp:extent cx="4965700" cy="2032436"/>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85516" cy="2040547"/>
                    </a:xfrm>
                    <a:prstGeom prst="rect">
                      <a:avLst/>
                    </a:prstGeom>
                    <a:noFill/>
                    <a:ln>
                      <a:noFill/>
                    </a:ln>
                  </pic:spPr>
                </pic:pic>
              </a:graphicData>
            </a:graphic>
          </wp:inline>
        </w:drawing>
      </w:r>
    </w:p>
    <w:p w14:paraId="4A1BA107" w14:textId="77777777" w:rsidR="00504F77" w:rsidRPr="00504F77" w:rsidRDefault="00504F77" w:rsidP="00504F77">
      <w:pPr>
        <w:ind w:left="720"/>
        <w:jc w:val="both"/>
        <w:rPr>
          <w:rFonts w:ascii="Times New Roman" w:hAnsi="Times New Roman" w:cs="Times New Roman"/>
          <w:i/>
          <w:iCs/>
          <w:lang w:val="bg-BG"/>
        </w:rPr>
      </w:pPr>
      <w:r w:rsidRPr="00504F77">
        <w:rPr>
          <w:rFonts w:ascii="Times New Roman" w:hAnsi="Times New Roman" w:cs="Times New Roman"/>
          <w:i/>
          <w:iCs/>
          <w:lang w:val="bg-BG"/>
        </w:rPr>
        <w:t>Източник: Евростат</w:t>
      </w:r>
    </w:p>
    <w:p w14:paraId="20FD76A4" w14:textId="77777777" w:rsidR="00504F77" w:rsidRPr="005241FC" w:rsidRDefault="00504F77" w:rsidP="00504F77">
      <w:pPr>
        <w:jc w:val="both"/>
        <w:rPr>
          <w:rFonts w:ascii="Times New Roman" w:hAnsi="Times New Roman" w:cs="Times New Roman"/>
          <w:lang w:val="bg-BG"/>
        </w:rPr>
      </w:pPr>
      <w:r w:rsidRPr="005241FC">
        <w:rPr>
          <w:rFonts w:ascii="Times New Roman" w:hAnsi="Times New Roman" w:cs="Times New Roman"/>
          <w:lang w:val="bg-BG"/>
        </w:rPr>
        <w:t xml:space="preserve">Експресно проучване на Евробарометър през 2015 г. показва, че 22% от българските предприятия не предприемат никакви усилия за повишаване на ресурсната ефективност, което е седмият най-висок процент в рамките на ЕС и надвишава средната стойност в общността (13%). В същото време, почти половината (49%) от предприятията, предприели действия във връзка с ресурсната ефективност, са постигнали намаляване на производствените разходи. </w:t>
      </w:r>
    </w:p>
    <w:p w14:paraId="36BD370A" w14:textId="77777777" w:rsidR="00504F77" w:rsidRPr="005241FC" w:rsidRDefault="00504F77" w:rsidP="00504F77">
      <w:pPr>
        <w:jc w:val="both"/>
        <w:rPr>
          <w:rFonts w:ascii="Times New Roman" w:hAnsi="Times New Roman" w:cs="Times New Roman"/>
          <w:lang w:val="bg-BG"/>
        </w:rPr>
      </w:pPr>
      <w:r w:rsidRPr="005241FC">
        <w:rPr>
          <w:rFonts w:ascii="Times New Roman" w:hAnsi="Times New Roman" w:cs="Times New Roman"/>
          <w:lang w:val="bg-BG"/>
        </w:rPr>
        <w:t>Според Европейския екоиновационен индекс (European Eco-Innovation Scoreboard) на Обсерваторията за екологични иновации, през 2017 г. България остава на последното място в ЕС по отношение на прилагането на принципа на кръгова икономика и внедряване на екоиновационни дейности. Проучването идентифицира търсенето на нови екологични продукти и технологии, дължащо се на подобреното качество на живот, и ориентирането към по-здравословен начин на живот като благоприятни условия, които могат да доведат до подобряване на представянето на страната по показателя. В допълнение, като фактори за напредък са отбелязани и създаването на нови работни места в областта на екологосъобразната и синята икономика,</w:t>
      </w:r>
      <w:r w:rsidRPr="005241FC">
        <w:rPr>
          <w:lang w:val="bg-BG"/>
        </w:rPr>
        <w:t xml:space="preserve"> </w:t>
      </w:r>
      <w:r w:rsidRPr="005241FC">
        <w:rPr>
          <w:rFonts w:ascii="Times New Roman" w:hAnsi="Times New Roman" w:cs="Times New Roman"/>
          <w:lang w:val="bg-BG"/>
        </w:rPr>
        <w:t>интернационализацията и глобализацията на икономиката, които налагат изисквания за подобряване на конкурентоспособността на предприятията посредством въвеждането на иновативни технологии и технологии за екологични иновации, енергийна и ресурсна ефективност.</w:t>
      </w:r>
      <w:r w:rsidRPr="005241FC">
        <w:rPr>
          <w:rStyle w:val="FootnoteReference"/>
          <w:rFonts w:ascii="Times New Roman" w:hAnsi="Times New Roman" w:cs="Times New Roman"/>
          <w:lang w:val="bg-BG"/>
        </w:rPr>
        <w:footnoteReference w:id="31"/>
      </w:r>
    </w:p>
    <w:p w14:paraId="13F53CB9" w14:textId="77777777" w:rsidR="00504F77" w:rsidRPr="00B115FD" w:rsidRDefault="00504F77" w:rsidP="00504F77">
      <w:pPr>
        <w:pStyle w:val="NormalWeb"/>
        <w:shd w:val="clear" w:color="auto" w:fill="FFFFFF"/>
        <w:spacing w:before="0" w:beforeAutospacing="0" w:after="0" w:afterAutospacing="0" w:line="235" w:lineRule="atLeast"/>
        <w:rPr>
          <w:b/>
          <w:bCs/>
          <w:color w:val="385623" w:themeColor="accent6" w:themeShade="80"/>
        </w:rPr>
      </w:pPr>
    </w:p>
    <w:p w14:paraId="422740A0" w14:textId="77777777" w:rsidR="00B115FD" w:rsidRPr="005241FC" w:rsidRDefault="00B115FD" w:rsidP="00E21F3C">
      <w:pPr>
        <w:pStyle w:val="Heading2"/>
      </w:pPr>
      <w:bookmarkStart w:id="64" w:name="_Toc72909890"/>
      <w:r w:rsidRPr="005241FC">
        <w:t>Перспективи и препоръки за постигане на целите</w:t>
      </w:r>
      <w:bookmarkEnd w:id="64"/>
      <w:r w:rsidRPr="005241FC">
        <w:t xml:space="preserve"> </w:t>
      </w:r>
    </w:p>
    <w:p w14:paraId="76E71589" w14:textId="77777777" w:rsidR="00BA3B5E" w:rsidRPr="005241FC" w:rsidRDefault="00BA3B5E" w:rsidP="00504F77">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Динамично развиващото се Европейско законодателство и регулации, свързани с управлението на отпадъците и ефективното използване на ресурси е рефлексия на постигания напредък от една страна, но и в отговор на идентифицираните несъответствия между поставените цели и настоящото </w:t>
      </w:r>
      <w:r w:rsidRPr="005241FC">
        <w:rPr>
          <w:rFonts w:ascii="Times New Roman" w:hAnsi="Times New Roman" w:cs="Times New Roman"/>
          <w:lang w:val="bg-BG"/>
        </w:rPr>
        <w:lastRenderedPageBreak/>
        <w:t>състояние</w:t>
      </w:r>
      <w:r w:rsidRPr="005241FC">
        <w:rPr>
          <w:rStyle w:val="FootnoteReference"/>
          <w:rFonts w:ascii="Times New Roman" w:hAnsi="Times New Roman" w:cs="Times New Roman"/>
          <w:lang w:val="bg-BG"/>
        </w:rPr>
        <w:footnoteReference w:id="32"/>
      </w:r>
      <w:r w:rsidRPr="005241FC">
        <w:rPr>
          <w:rFonts w:ascii="Times New Roman" w:hAnsi="Times New Roman" w:cs="Times New Roman"/>
          <w:lang w:val="bg-BG"/>
        </w:rPr>
        <w:t xml:space="preserve">. </w:t>
      </w:r>
      <w:r w:rsidRPr="005241FC">
        <w:rPr>
          <w:rFonts w:ascii="Times New Roman" w:hAnsi="Times New Roman" w:cs="Times New Roman"/>
          <w:b/>
          <w:bCs/>
          <w:lang w:val="bg-BG"/>
        </w:rPr>
        <w:t>Обобщената оценка за ЕС</w:t>
      </w:r>
      <w:r w:rsidRPr="005241FC">
        <w:rPr>
          <w:rFonts w:ascii="Times New Roman" w:hAnsi="Times New Roman" w:cs="Times New Roman"/>
          <w:lang w:val="bg-BG"/>
        </w:rPr>
        <w:t xml:space="preserve"> отбелязва общата положителна тенденция по отношение на кръговото използване на материалите и ресурсна ефективност, както и подобряване на моделите за управление на отпадъците.</w:t>
      </w:r>
      <w:r w:rsidRPr="00504F77">
        <w:rPr>
          <w:rFonts w:ascii="Times New Roman" w:hAnsi="Times New Roman" w:cs="Times New Roman"/>
          <w:sz w:val="24"/>
          <w:szCs w:val="24"/>
          <w:lang w:val="bg-BG"/>
        </w:rPr>
        <w:t xml:space="preserve"> </w:t>
      </w:r>
      <w:r w:rsidRPr="005241FC">
        <w:rPr>
          <w:rFonts w:ascii="Times New Roman" w:hAnsi="Times New Roman" w:cs="Times New Roman"/>
          <w:lang w:val="bg-BG"/>
        </w:rPr>
        <w:t>Перспективите за развитие на сектора до 2030 г. обаче демонстрират по-скоро смесени тенденции.</w:t>
      </w:r>
    </w:p>
    <w:p w14:paraId="1A3219B0" w14:textId="77777777" w:rsidR="00BA3B5E" w:rsidRPr="00AF353F" w:rsidRDefault="00AF353F" w:rsidP="00AF353F">
      <w:pPr>
        <w:pStyle w:val="Caption"/>
        <w:rPr>
          <w:rFonts w:ascii="Times New Roman" w:hAnsi="Times New Roman" w:cs="Times New Roman"/>
          <w:b w:val="0"/>
          <w:i/>
          <w:iCs/>
          <w:color w:val="000000" w:themeColor="text1"/>
          <w:sz w:val="22"/>
          <w:szCs w:val="22"/>
          <w:lang w:val="bg-BG"/>
        </w:rPr>
      </w:pPr>
      <w:bookmarkStart w:id="65" w:name="_Toc72919698"/>
      <w:r w:rsidRPr="00AF353F">
        <w:rPr>
          <w:rFonts w:ascii="Times New Roman" w:hAnsi="Times New Roman" w:cs="Times New Roman"/>
          <w:b w:val="0"/>
          <w:i/>
          <w:iCs/>
          <w:color w:val="000000" w:themeColor="text1"/>
          <w:sz w:val="22"/>
          <w:szCs w:val="22"/>
          <w:lang w:val="bg-BG"/>
        </w:rPr>
        <w:t xml:space="preserve">Фигура </w:t>
      </w:r>
      <w:r w:rsidRPr="00AF353F">
        <w:rPr>
          <w:rFonts w:ascii="Times New Roman" w:hAnsi="Times New Roman" w:cs="Times New Roman"/>
          <w:b w:val="0"/>
          <w:i/>
          <w:iCs/>
          <w:color w:val="000000" w:themeColor="text1"/>
          <w:sz w:val="22"/>
          <w:szCs w:val="22"/>
          <w:lang w:val="bg-BG"/>
        </w:rPr>
        <w:fldChar w:fldCharType="begin"/>
      </w:r>
      <w:r w:rsidRPr="00AF353F">
        <w:rPr>
          <w:rFonts w:ascii="Times New Roman" w:hAnsi="Times New Roman" w:cs="Times New Roman"/>
          <w:b w:val="0"/>
          <w:i/>
          <w:iCs/>
          <w:color w:val="000000" w:themeColor="text1"/>
          <w:sz w:val="22"/>
          <w:szCs w:val="22"/>
          <w:lang w:val="bg-BG"/>
        </w:rPr>
        <w:instrText xml:space="preserve"> SEQ Фигура \* ARABIC </w:instrText>
      </w:r>
      <w:r w:rsidRPr="00AF353F">
        <w:rPr>
          <w:rFonts w:ascii="Times New Roman" w:hAnsi="Times New Roman" w:cs="Times New Roman"/>
          <w:b w:val="0"/>
          <w:i/>
          <w:iCs/>
          <w:color w:val="000000" w:themeColor="text1"/>
          <w:sz w:val="22"/>
          <w:szCs w:val="22"/>
          <w:lang w:val="bg-BG"/>
        </w:rPr>
        <w:fldChar w:fldCharType="separate"/>
      </w:r>
      <w:r w:rsidRPr="00AF353F">
        <w:rPr>
          <w:rFonts w:ascii="Times New Roman" w:hAnsi="Times New Roman" w:cs="Times New Roman"/>
          <w:b w:val="0"/>
          <w:i/>
          <w:iCs/>
          <w:color w:val="000000" w:themeColor="text1"/>
          <w:sz w:val="22"/>
          <w:szCs w:val="22"/>
          <w:lang w:val="bg-BG"/>
        </w:rPr>
        <w:t>17</w:t>
      </w:r>
      <w:r w:rsidRPr="00AF353F">
        <w:rPr>
          <w:rFonts w:ascii="Times New Roman" w:hAnsi="Times New Roman" w:cs="Times New Roman"/>
          <w:b w:val="0"/>
          <w:i/>
          <w:iCs/>
          <w:color w:val="000000" w:themeColor="text1"/>
          <w:sz w:val="22"/>
          <w:szCs w:val="22"/>
          <w:lang w:val="bg-BG"/>
        </w:rPr>
        <w:fldChar w:fldCharType="end"/>
      </w:r>
      <w:r>
        <w:rPr>
          <w:rFonts w:ascii="Times New Roman" w:hAnsi="Times New Roman" w:cs="Times New Roman"/>
          <w:b w:val="0"/>
          <w:i/>
          <w:iCs/>
          <w:color w:val="000000" w:themeColor="text1"/>
          <w:sz w:val="22"/>
          <w:szCs w:val="22"/>
          <w:lang w:val="bg-BG"/>
        </w:rPr>
        <w:t xml:space="preserve"> </w:t>
      </w:r>
      <w:r w:rsidR="00BA3B5E" w:rsidRPr="00AF353F">
        <w:rPr>
          <w:rFonts w:ascii="Times New Roman" w:hAnsi="Times New Roman" w:cs="Times New Roman"/>
          <w:b w:val="0"/>
          <w:i/>
          <w:iCs/>
          <w:color w:val="000000" w:themeColor="text1"/>
          <w:sz w:val="22"/>
          <w:szCs w:val="22"/>
          <w:lang w:val="bg-BG"/>
        </w:rPr>
        <w:t>Тенденции и перспективи за сектор отпадъци, ЕС</w:t>
      </w:r>
      <w:bookmarkEnd w:id="65"/>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7"/>
        <w:gridCol w:w="3302"/>
      </w:tblGrid>
      <w:tr w:rsidR="00BA3B5E" w:rsidRPr="00E34CD7" w14:paraId="47DC10FD" w14:textId="77777777" w:rsidTr="00D27783">
        <w:trPr>
          <w:trHeight w:val="144"/>
        </w:trPr>
        <w:tc>
          <w:tcPr>
            <w:tcW w:w="3116" w:type="dxa"/>
            <w:vMerge w:val="restart"/>
          </w:tcPr>
          <w:p w14:paraId="0F104497"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Област</w:t>
            </w:r>
          </w:p>
        </w:tc>
        <w:tc>
          <w:tcPr>
            <w:tcW w:w="6419" w:type="dxa"/>
            <w:gridSpan w:val="2"/>
          </w:tcPr>
          <w:p w14:paraId="7E240B8D"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Настоящи тенденции и перспективи</w:t>
            </w:r>
          </w:p>
        </w:tc>
      </w:tr>
      <w:tr w:rsidR="00BA3B5E" w:rsidRPr="00E34CD7" w14:paraId="0615A4E1" w14:textId="77777777" w:rsidTr="00D27783">
        <w:trPr>
          <w:trHeight w:val="144"/>
        </w:trPr>
        <w:tc>
          <w:tcPr>
            <w:tcW w:w="3116" w:type="dxa"/>
            <w:vMerge/>
          </w:tcPr>
          <w:p w14:paraId="6084A1FC"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p>
        </w:tc>
        <w:tc>
          <w:tcPr>
            <w:tcW w:w="3117" w:type="dxa"/>
          </w:tcPr>
          <w:p w14:paraId="5B4725D9"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Тенденции през последните 10 – 15 години</w:t>
            </w:r>
          </w:p>
        </w:tc>
        <w:tc>
          <w:tcPr>
            <w:tcW w:w="3302" w:type="dxa"/>
          </w:tcPr>
          <w:p w14:paraId="5383E5D9"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Перспективи до 2030 г.</w:t>
            </w:r>
          </w:p>
        </w:tc>
      </w:tr>
      <w:tr w:rsidR="00BA3B5E" w:rsidRPr="00E34CD7" w14:paraId="040AE3A0" w14:textId="77777777" w:rsidTr="00D27783">
        <w:trPr>
          <w:trHeight w:val="144"/>
        </w:trPr>
        <w:tc>
          <w:tcPr>
            <w:tcW w:w="3116" w:type="dxa"/>
          </w:tcPr>
          <w:p w14:paraId="07630690"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Pr>
                <w:rFonts w:ascii="Times New Roman" w:hAnsi="Times New Roman" w:cs="Times New Roman"/>
                <w:noProof/>
                <w:lang w:val="bg-BG" w:eastAsia="bg-BG"/>
              </w:rPr>
              <mc:AlternateContent>
                <mc:Choice Requires="wps">
                  <w:drawing>
                    <wp:anchor distT="0" distB="0" distL="114300" distR="114300" simplePos="0" relativeHeight="251659264" behindDoc="0" locked="0" layoutInCell="1" allowOverlap="1" wp14:anchorId="5B0BF69E" wp14:editId="7500ECBB">
                      <wp:simplePos x="0" y="0"/>
                      <wp:positionH relativeFrom="column">
                        <wp:posOffset>1896110</wp:posOffset>
                      </wp:positionH>
                      <wp:positionV relativeFrom="paragraph">
                        <wp:posOffset>76835</wp:posOffset>
                      </wp:positionV>
                      <wp:extent cx="310515" cy="159385"/>
                      <wp:effectExtent l="0" t="635" r="12700" b="12700"/>
                      <wp:wrapNone/>
                      <wp:docPr id="17" name="Rectangle 17"/>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chemeClr val="accent6"/>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03F9A" id="Rectangle 17" o:spid="_x0000_s1026" style="position:absolute;margin-left:149.3pt;margin-top:6.05pt;width:24.45pt;height:1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" fillcolor="#70ad47 [3209]" strokecolor="#a8d08d [1945]" strokeweight="1pt"/>
                  </w:pict>
                </mc:Fallback>
              </mc:AlternateContent>
            </w:r>
            <w:r>
              <w:rPr>
                <w:rFonts w:ascii="Times New Roman" w:hAnsi="Times New Roman" w:cs="Times New Roman"/>
                <w:sz w:val="20"/>
                <w:szCs w:val="20"/>
                <w:lang w:val="bg-BG"/>
              </w:rPr>
              <w:t>Кръгово използване</w:t>
            </w:r>
            <w:r w:rsidRPr="00E34CD7">
              <w:rPr>
                <w:rFonts w:ascii="Times New Roman" w:hAnsi="Times New Roman" w:cs="Times New Roman"/>
                <w:sz w:val="20"/>
                <w:szCs w:val="20"/>
                <w:lang w:val="bg-BG"/>
              </w:rPr>
              <w:t xml:space="preserve"> на материали</w:t>
            </w:r>
          </w:p>
        </w:tc>
        <w:tc>
          <w:tcPr>
            <w:tcW w:w="3117" w:type="dxa"/>
          </w:tcPr>
          <w:p w14:paraId="7CFF65FA" w14:textId="77777777" w:rsidR="00BA3B5E" w:rsidRPr="00E34CD7" w:rsidRDefault="00BA3B5E" w:rsidP="00D27783">
            <w:pPr>
              <w:spacing w:before="120" w:after="120" w:line="264" w:lineRule="auto"/>
              <w:ind w:left="280"/>
              <w:jc w:val="both"/>
              <w:rPr>
                <w:rFonts w:ascii="Times New Roman" w:hAnsi="Times New Roman" w:cs="Times New Roman"/>
                <w:sz w:val="17"/>
                <w:szCs w:val="17"/>
                <w:lang w:val="bg-BG"/>
              </w:rPr>
            </w:pPr>
            <w:r>
              <w:rPr>
                <w:rFonts w:ascii="Times New Roman" w:hAnsi="Times New Roman" w:cs="Times New Roman"/>
                <w:noProof/>
                <w:lang w:val="bg-BG" w:eastAsia="bg-BG"/>
              </w:rPr>
              <mc:AlternateContent>
                <mc:Choice Requires="wps">
                  <w:drawing>
                    <wp:anchor distT="0" distB="0" distL="114300" distR="114300" simplePos="0" relativeHeight="251663360" behindDoc="0" locked="0" layoutInCell="1" allowOverlap="1" wp14:anchorId="3F86A849" wp14:editId="2BF2D728">
                      <wp:simplePos x="0" y="0"/>
                      <wp:positionH relativeFrom="column">
                        <wp:posOffset>1886585</wp:posOffset>
                      </wp:positionH>
                      <wp:positionV relativeFrom="paragraph">
                        <wp:posOffset>70485</wp:posOffset>
                      </wp:positionV>
                      <wp:extent cx="310515" cy="159385"/>
                      <wp:effectExtent l="0" t="635" r="12700" b="12700"/>
                      <wp:wrapNone/>
                      <wp:docPr id="24" name="Rectangle 24"/>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A082C" id="Rectangle 24" o:spid="_x0000_s1026" style="position:absolute;margin-left:148.55pt;margin-top:5.55pt;width:24.45pt;height:1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" fillcolor="#ffc000" strokecolor="#ffd966 [1943]" strokeweight="1pt"/>
                  </w:pict>
                </mc:Fallback>
              </mc:AlternateContent>
            </w:r>
            <w:r w:rsidRPr="00E34CD7">
              <w:rPr>
                <w:rFonts w:ascii="Times New Roman" w:hAnsi="Times New Roman" w:cs="Times New Roman"/>
                <w:sz w:val="17"/>
                <w:szCs w:val="17"/>
                <w:lang w:val="bg-BG"/>
              </w:rPr>
              <w:t>Доминират положителни тенденции</w:t>
            </w:r>
          </w:p>
        </w:tc>
        <w:tc>
          <w:tcPr>
            <w:tcW w:w="3302" w:type="dxa"/>
          </w:tcPr>
          <w:p w14:paraId="6CF81357" w14:textId="77777777" w:rsidR="00BA3B5E" w:rsidRPr="00E34CD7" w:rsidRDefault="00BA3B5E" w:rsidP="00D27783">
            <w:pPr>
              <w:spacing w:before="120" w:after="120" w:line="264" w:lineRule="auto"/>
              <w:ind w:firstLine="310"/>
              <w:jc w:val="both"/>
              <w:rPr>
                <w:rFonts w:ascii="Times New Roman" w:hAnsi="Times New Roman" w:cs="Times New Roman"/>
                <w:sz w:val="20"/>
                <w:szCs w:val="20"/>
                <w:lang w:val="bg-BG"/>
              </w:rPr>
            </w:pPr>
            <w:r w:rsidRPr="00E34CD7">
              <w:rPr>
                <w:rFonts w:ascii="Times New Roman" w:hAnsi="Times New Roman" w:cs="Times New Roman"/>
                <w:sz w:val="17"/>
                <w:szCs w:val="17"/>
                <w:lang w:val="bg-BG"/>
              </w:rPr>
              <w:t>Смесени тенденции</w:t>
            </w:r>
          </w:p>
        </w:tc>
      </w:tr>
      <w:tr w:rsidR="00BA3B5E" w:rsidRPr="00E34CD7" w14:paraId="323E7008" w14:textId="77777777" w:rsidTr="00D27783">
        <w:trPr>
          <w:trHeight w:val="144"/>
        </w:trPr>
        <w:tc>
          <w:tcPr>
            <w:tcW w:w="3116" w:type="dxa"/>
          </w:tcPr>
          <w:p w14:paraId="30CB1DB5"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Pr>
                <w:rFonts w:ascii="Times New Roman" w:hAnsi="Times New Roman" w:cs="Times New Roman"/>
                <w:noProof/>
                <w:lang w:val="bg-BG" w:eastAsia="bg-BG"/>
              </w:rPr>
              <mc:AlternateContent>
                <mc:Choice Requires="wps">
                  <w:drawing>
                    <wp:anchor distT="0" distB="0" distL="114300" distR="114300" simplePos="0" relativeHeight="251660288" behindDoc="0" locked="0" layoutInCell="1" allowOverlap="1" wp14:anchorId="1E34DCD2" wp14:editId="6D081C1C">
                      <wp:simplePos x="0" y="0"/>
                      <wp:positionH relativeFrom="column">
                        <wp:posOffset>1896745</wp:posOffset>
                      </wp:positionH>
                      <wp:positionV relativeFrom="paragraph">
                        <wp:posOffset>69215</wp:posOffset>
                      </wp:positionV>
                      <wp:extent cx="310515" cy="159385"/>
                      <wp:effectExtent l="0" t="635" r="12700" b="12700"/>
                      <wp:wrapNone/>
                      <wp:docPr id="21" name="Rectangle 21"/>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chemeClr val="accent6"/>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52E71" id="Rectangle 21" o:spid="_x0000_s1026" style="position:absolute;margin-left:149.35pt;margin-top:5.45pt;width:24.45pt;height:12.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" fillcolor="#70ad47 [3209]" strokecolor="#a8d08d [1945]" strokeweight="1pt"/>
                  </w:pict>
                </mc:Fallback>
              </mc:AlternateContent>
            </w:r>
            <w:r w:rsidRPr="00E34CD7">
              <w:rPr>
                <w:rFonts w:ascii="Times New Roman" w:hAnsi="Times New Roman" w:cs="Times New Roman"/>
                <w:sz w:val="20"/>
                <w:szCs w:val="20"/>
                <w:lang w:val="bg-BG"/>
              </w:rPr>
              <w:t>Ресурсна ефективност</w:t>
            </w:r>
          </w:p>
        </w:tc>
        <w:tc>
          <w:tcPr>
            <w:tcW w:w="3117" w:type="dxa"/>
          </w:tcPr>
          <w:p w14:paraId="7B3F8583" w14:textId="77777777" w:rsidR="00BA3B5E" w:rsidRPr="00E34CD7" w:rsidRDefault="00BA3B5E" w:rsidP="00D27783">
            <w:pPr>
              <w:spacing w:before="120" w:after="120" w:line="264" w:lineRule="auto"/>
              <w:ind w:left="280"/>
              <w:jc w:val="both"/>
              <w:rPr>
                <w:rFonts w:ascii="Times New Roman" w:hAnsi="Times New Roman" w:cs="Times New Roman"/>
                <w:sz w:val="17"/>
                <w:szCs w:val="17"/>
                <w:lang w:val="bg-BG"/>
              </w:rPr>
            </w:pPr>
            <w:r>
              <w:rPr>
                <w:rFonts w:ascii="Times New Roman" w:hAnsi="Times New Roman" w:cs="Times New Roman"/>
                <w:noProof/>
                <w:lang w:val="bg-BG" w:eastAsia="bg-BG"/>
              </w:rPr>
              <mc:AlternateContent>
                <mc:Choice Requires="wps">
                  <w:drawing>
                    <wp:anchor distT="0" distB="0" distL="114300" distR="114300" simplePos="0" relativeHeight="251664384" behindDoc="0" locked="0" layoutInCell="1" allowOverlap="1" wp14:anchorId="6B2B445F" wp14:editId="75EAE76C">
                      <wp:simplePos x="0" y="0"/>
                      <wp:positionH relativeFrom="column">
                        <wp:posOffset>1886585</wp:posOffset>
                      </wp:positionH>
                      <wp:positionV relativeFrom="paragraph">
                        <wp:posOffset>81915</wp:posOffset>
                      </wp:positionV>
                      <wp:extent cx="310515" cy="159385"/>
                      <wp:effectExtent l="0" t="635" r="12700" b="12700"/>
                      <wp:wrapNone/>
                      <wp:docPr id="25" name="Rectangle 25"/>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4695C" id="Rectangle 25" o:spid="_x0000_s1026" style="position:absolute;margin-left:148.55pt;margin-top:6.45pt;width:24.45pt;height:12.5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" fillcolor="#ffc000" strokecolor="#ffd966 [1943]" strokeweight="1pt"/>
                  </w:pict>
                </mc:Fallback>
              </mc:AlternateContent>
            </w:r>
            <w:r w:rsidRPr="00E34CD7">
              <w:rPr>
                <w:rFonts w:ascii="Times New Roman" w:hAnsi="Times New Roman" w:cs="Times New Roman"/>
                <w:sz w:val="17"/>
                <w:szCs w:val="17"/>
                <w:lang w:val="bg-BG"/>
              </w:rPr>
              <w:t>Доминират положителни тенденции</w:t>
            </w:r>
          </w:p>
        </w:tc>
        <w:tc>
          <w:tcPr>
            <w:tcW w:w="3302" w:type="dxa"/>
          </w:tcPr>
          <w:p w14:paraId="4EF1EDD9" w14:textId="77777777" w:rsidR="00BA3B5E" w:rsidRPr="00E34CD7" w:rsidRDefault="00BA3B5E" w:rsidP="00D27783">
            <w:pPr>
              <w:spacing w:before="120" w:after="120" w:line="264" w:lineRule="auto"/>
              <w:ind w:firstLine="310"/>
              <w:jc w:val="both"/>
              <w:rPr>
                <w:rFonts w:ascii="Times New Roman" w:hAnsi="Times New Roman" w:cs="Times New Roman"/>
                <w:sz w:val="20"/>
                <w:szCs w:val="20"/>
                <w:lang w:val="bg-BG"/>
              </w:rPr>
            </w:pPr>
            <w:r w:rsidRPr="00E34CD7">
              <w:rPr>
                <w:rFonts w:ascii="Times New Roman" w:hAnsi="Times New Roman" w:cs="Times New Roman"/>
                <w:sz w:val="17"/>
                <w:szCs w:val="17"/>
                <w:lang w:val="bg-BG"/>
              </w:rPr>
              <w:t>Смесени тенденции</w:t>
            </w:r>
          </w:p>
        </w:tc>
      </w:tr>
      <w:tr w:rsidR="00BA3B5E" w:rsidRPr="00E34CD7" w14:paraId="0EE4667C" w14:textId="77777777" w:rsidTr="00D27783">
        <w:trPr>
          <w:trHeight w:val="144"/>
        </w:trPr>
        <w:tc>
          <w:tcPr>
            <w:tcW w:w="3116" w:type="dxa"/>
          </w:tcPr>
          <w:p w14:paraId="205CA05A"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Pr>
                <w:rFonts w:ascii="Times New Roman" w:hAnsi="Times New Roman" w:cs="Times New Roman"/>
                <w:noProof/>
                <w:lang w:val="bg-BG" w:eastAsia="bg-BG"/>
              </w:rPr>
              <mc:AlternateContent>
                <mc:Choice Requires="wps">
                  <w:drawing>
                    <wp:anchor distT="0" distB="0" distL="114300" distR="114300" simplePos="0" relativeHeight="251661312" behindDoc="0" locked="0" layoutInCell="1" allowOverlap="1" wp14:anchorId="4FBCFE43" wp14:editId="20733D10">
                      <wp:simplePos x="0" y="0"/>
                      <wp:positionH relativeFrom="column">
                        <wp:posOffset>1897380</wp:posOffset>
                      </wp:positionH>
                      <wp:positionV relativeFrom="paragraph">
                        <wp:posOffset>73025</wp:posOffset>
                      </wp:positionV>
                      <wp:extent cx="310515" cy="159385"/>
                      <wp:effectExtent l="0" t="635" r="12700" b="12700"/>
                      <wp:wrapNone/>
                      <wp:docPr id="22" name="Rectangle 22"/>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E9808" id="Rectangle 22" o:spid="_x0000_s1026" style="position:absolute;margin-left:149.4pt;margin-top:5.75pt;width:24.45pt;height:12.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" fillcolor="#ffc000" strokecolor="#ffd966 [1943]" strokeweight="1pt"/>
                  </w:pict>
                </mc:Fallback>
              </mc:AlternateContent>
            </w:r>
            <w:r w:rsidRPr="00E34CD7">
              <w:rPr>
                <w:rFonts w:ascii="Times New Roman" w:hAnsi="Times New Roman" w:cs="Times New Roman"/>
                <w:sz w:val="20"/>
                <w:szCs w:val="20"/>
                <w:lang w:val="bg-BG"/>
              </w:rPr>
              <w:t>Образуване на отпадъци</w:t>
            </w:r>
          </w:p>
        </w:tc>
        <w:tc>
          <w:tcPr>
            <w:tcW w:w="3117" w:type="dxa"/>
          </w:tcPr>
          <w:p w14:paraId="1C804E13" w14:textId="77777777" w:rsidR="00BA3B5E" w:rsidRPr="00E34CD7" w:rsidRDefault="00BA3B5E" w:rsidP="00D27783">
            <w:pPr>
              <w:spacing w:before="120" w:after="120" w:line="264" w:lineRule="auto"/>
              <w:ind w:left="280"/>
              <w:jc w:val="both"/>
              <w:rPr>
                <w:rFonts w:ascii="Times New Roman" w:hAnsi="Times New Roman" w:cs="Times New Roman"/>
                <w:sz w:val="17"/>
                <w:szCs w:val="17"/>
                <w:lang w:val="bg-BG"/>
              </w:rPr>
            </w:pPr>
            <w:r>
              <w:rPr>
                <w:rFonts w:ascii="Times New Roman" w:hAnsi="Times New Roman" w:cs="Times New Roman"/>
                <w:noProof/>
                <w:lang w:val="bg-BG" w:eastAsia="bg-BG"/>
              </w:rPr>
              <mc:AlternateContent>
                <mc:Choice Requires="wps">
                  <w:drawing>
                    <wp:anchor distT="0" distB="0" distL="114300" distR="114300" simplePos="0" relativeHeight="251665408" behindDoc="0" locked="0" layoutInCell="1" allowOverlap="1" wp14:anchorId="7FFA57CA" wp14:editId="4206DD70">
                      <wp:simplePos x="0" y="0"/>
                      <wp:positionH relativeFrom="column">
                        <wp:posOffset>1886585</wp:posOffset>
                      </wp:positionH>
                      <wp:positionV relativeFrom="paragraph">
                        <wp:posOffset>93345</wp:posOffset>
                      </wp:positionV>
                      <wp:extent cx="310515" cy="159385"/>
                      <wp:effectExtent l="0" t="635" r="12700" b="12700"/>
                      <wp:wrapNone/>
                      <wp:docPr id="26" name="Rectangle 26"/>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5E56D9" id="Rectangle 26" o:spid="_x0000_s1026" style="position:absolute;margin-left:148.55pt;margin-top:7.35pt;width:24.45pt;height:12.5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" fillcolor="#ffc000" strokecolor="#ffd966 [1943]" strokeweight="1pt"/>
                  </w:pict>
                </mc:Fallback>
              </mc:AlternateContent>
            </w:r>
            <w:r w:rsidRPr="00E34CD7">
              <w:rPr>
                <w:rFonts w:ascii="Times New Roman" w:hAnsi="Times New Roman" w:cs="Times New Roman"/>
                <w:sz w:val="17"/>
                <w:szCs w:val="17"/>
                <w:lang w:val="bg-BG"/>
              </w:rPr>
              <w:t>Смесени тенденции</w:t>
            </w:r>
          </w:p>
        </w:tc>
        <w:tc>
          <w:tcPr>
            <w:tcW w:w="3302" w:type="dxa"/>
          </w:tcPr>
          <w:p w14:paraId="013FFD48" w14:textId="77777777" w:rsidR="00BA3B5E" w:rsidRPr="00E34CD7" w:rsidRDefault="00BA3B5E" w:rsidP="00D27783">
            <w:pPr>
              <w:spacing w:before="120" w:after="120" w:line="264" w:lineRule="auto"/>
              <w:ind w:firstLine="310"/>
              <w:jc w:val="both"/>
              <w:rPr>
                <w:rFonts w:ascii="Times New Roman" w:hAnsi="Times New Roman" w:cs="Times New Roman"/>
                <w:sz w:val="20"/>
                <w:szCs w:val="20"/>
                <w:lang w:val="bg-BG"/>
              </w:rPr>
            </w:pPr>
            <w:r w:rsidRPr="00E34CD7">
              <w:rPr>
                <w:rFonts w:ascii="Times New Roman" w:hAnsi="Times New Roman" w:cs="Times New Roman"/>
                <w:sz w:val="17"/>
                <w:szCs w:val="17"/>
                <w:lang w:val="bg-BG"/>
              </w:rPr>
              <w:t>Смесени тенденции</w:t>
            </w:r>
          </w:p>
        </w:tc>
      </w:tr>
      <w:tr w:rsidR="00BA3B5E" w:rsidRPr="00E34CD7" w14:paraId="1552663E" w14:textId="77777777" w:rsidTr="00D27783">
        <w:trPr>
          <w:trHeight w:val="144"/>
        </w:trPr>
        <w:tc>
          <w:tcPr>
            <w:tcW w:w="3116" w:type="dxa"/>
          </w:tcPr>
          <w:p w14:paraId="6B3C66C8" w14:textId="77777777" w:rsidR="00BA3B5E" w:rsidRPr="00E34CD7" w:rsidRDefault="00BA3B5E" w:rsidP="00D27783">
            <w:pPr>
              <w:spacing w:before="120" w:after="120" w:line="264" w:lineRule="auto"/>
              <w:jc w:val="both"/>
              <w:rPr>
                <w:rFonts w:ascii="Times New Roman" w:hAnsi="Times New Roman" w:cs="Times New Roman"/>
                <w:sz w:val="20"/>
                <w:szCs w:val="20"/>
                <w:lang w:val="bg-BG"/>
              </w:rPr>
            </w:pPr>
            <w:r>
              <w:rPr>
                <w:rFonts w:ascii="Times New Roman" w:hAnsi="Times New Roman" w:cs="Times New Roman"/>
                <w:noProof/>
                <w:lang w:val="bg-BG" w:eastAsia="bg-BG"/>
              </w:rPr>
              <mc:AlternateContent>
                <mc:Choice Requires="wps">
                  <w:drawing>
                    <wp:anchor distT="0" distB="0" distL="114300" distR="114300" simplePos="0" relativeHeight="251662336" behindDoc="0" locked="0" layoutInCell="1" allowOverlap="1" wp14:anchorId="1C69F1AC" wp14:editId="2769211D">
                      <wp:simplePos x="0" y="0"/>
                      <wp:positionH relativeFrom="column">
                        <wp:posOffset>1897380</wp:posOffset>
                      </wp:positionH>
                      <wp:positionV relativeFrom="paragraph">
                        <wp:posOffset>83820</wp:posOffset>
                      </wp:positionV>
                      <wp:extent cx="310515" cy="159385"/>
                      <wp:effectExtent l="0" t="635" r="12700" b="12700"/>
                      <wp:wrapNone/>
                      <wp:docPr id="23" name="Rectangle 23"/>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chemeClr val="accent6"/>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BF33C" id="Rectangle 23" o:spid="_x0000_s1026" style="position:absolute;margin-left:149.4pt;margin-top:6.6pt;width:24.45pt;height:12.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" fillcolor="#70ad47 [3209]" strokecolor="#a8d08d [1945]" strokeweight="1pt"/>
                  </w:pict>
                </mc:Fallback>
              </mc:AlternateContent>
            </w:r>
            <w:r w:rsidRPr="00E34CD7">
              <w:rPr>
                <w:rFonts w:ascii="Times New Roman" w:hAnsi="Times New Roman" w:cs="Times New Roman"/>
                <w:sz w:val="20"/>
                <w:szCs w:val="20"/>
                <w:lang w:val="bg-BG"/>
              </w:rPr>
              <w:t>Управление на отпадъци</w:t>
            </w:r>
          </w:p>
        </w:tc>
        <w:tc>
          <w:tcPr>
            <w:tcW w:w="3117" w:type="dxa"/>
          </w:tcPr>
          <w:p w14:paraId="073FF3CB" w14:textId="77777777" w:rsidR="00BA3B5E" w:rsidRPr="00E34CD7" w:rsidRDefault="00BA3B5E" w:rsidP="00D27783">
            <w:pPr>
              <w:spacing w:before="120" w:after="120" w:line="264" w:lineRule="auto"/>
              <w:ind w:left="280"/>
              <w:jc w:val="both"/>
              <w:rPr>
                <w:rFonts w:ascii="Times New Roman" w:hAnsi="Times New Roman" w:cs="Times New Roman"/>
                <w:sz w:val="20"/>
                <w:szCs w:val="20"/>
                <w:lang w:val="bg-BG"/>
              </w:rPr>
            </w:pPr>
            <w:r>
              <w:rPr>
                <w:rFonts w:ascii="Times New Roman" w:hAnsi="Times New Roman" w:cs="Times New Roman"/>
                <w:noProof/>
                <w:lang w:val="bg-BG" w:eastAsia="bg-BG"/>
              </w:rPr>
              <mc:AlternateContent>
                <mc:Choice Requires="wps">
                  <w:drawing>
                    <wp:anchor distT="0" distB="0" distL="114300" distR="114300" simplePos="0" relativeHeight="251666432" behindDoc="0" locked="0" layoutInCell="1" allowOverlap="1" wp14:anchorId="07280FE8" wp14:editId="26F6FDDE">
                      <wp:simplePos x="0" y="0"/>
                      <wp:positionH relativeFrom="column">
                        <wp:posOffset>1886585</wp:posOffset>
                      </wp:positionH>
                      <wp:positionV relativeFrom="paragraph">
                        <wp:posOffset>78105</wp:posOffset>
                      </wp:positionV>
                      <wp:extent cx="310515" cy="159385"/>
                      <wp:effectExtent l="0" t="635" r="12700" b="12700"/>
                      <wp:wrapNone/>
                      <wp:docPr id="27" name="Rectangle 27"/>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chemeClr val="accent6"/>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23B8" id="Rectangle 27" o:spid="_x0000_s1026" style="position:absolute;margin-left:148.55pt;margin-top:6.15pt;width:24.45pt;height:12.5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" fillcolor="#70ad47 [3209]" strokecolor="#a8d08d [1945]" strokeweight="1pt"/>
                  </w:pict>
                </mc:Fallback>
              </mc:AlternateContent>
            </w:r>
            <w:r w:rsidRPr="00E34CD7">
              <w:rPr>
                <w:rFonts w:ascii="Times New Roman" w:hAnsi="Times New Roman" w:cs="Times New Roman"/>
                <w:sz w:val="17"/>
                <w:szCs w:val="17"/>
                <w:lang w:val="bg-BG"/>
              </w:rPr>
              <w:t>Доминират положителни тенденции</w:t>
            </w:r>
          </w:p>
        </w:tc>
        <w:tc>
          <w:tcPr>
            <w:tcW w:w="3302" w:type="dxa"/>
          </w:tcPr>
          <w:p w14:paraId="3B78689F" w14:textId="77777777" w:rsidR="00BA3B5E" w:rsidRPr="00E34CD7" w:rsidRDefault="00BA3B5E" w:rsidP="00D27783">
            <w:pPr>
              <w:spacing w:before="120" w:after="120" w:line="264" w:lineRule="auto"/>
              <w:ind w:firstLine="310"/>
              <w:jc w:val="both"/>
              <w:rPr>
                <w:rFonts w:ascii="Times New Roman" w:hAnsi="Times New Roman" w:cs="Times New Roman"/>
                <w:sz w:val="20"/>
                <w:szCs w:val="20"/>
                <w:lang w:val="bg-BG"/>
              </w:rPr>
            </w:pPr>
            <w:r w:rsidRPr="00E34CD7">
              <w:rPr>
                <w:rFonts w:ascii="Times New Roman" w:hAnsi="Times New Roman" w:cs="Times New Roman"/>
                <w:sz w:val="17"/>
                <w:szCs w:val="17"/>
                <w:lang w:val="bg-BG"/>
              </w:rPr>
              <w:t>Доминират положителни тенденции</w:t>
            </w:r>
          </w:p>
        </w:tc>
      </w:tr>
    </w:tbl>
    <w:p w14:paraId="15292122" w14:textId="77777777" w:rsidR="00BA3B5E" w:rsidRPr="005241FC" w:rsidRDefault="00BA3B5E" w:rsidP="005241FC">
      <w:pPr>
        <w:spacing w:before="120" w:after="120" w:line="264" w:lineRule="auto"/>
        <w:jc w:val="both"/>
        <w:rPr>
          <w:rFonts w:ascii="Times New Roman" w:hAnsi="Times New Roman" w:cs="Times New Roman"/>
          <w:i/>
          <w:iCs/>
          <w:lang w:val="bg-BG"/>
        </w:rPr>
      </w:pPr>
      <w:r w:rsidRPr="005241FC">
        <w:rPr>
          <w:rFonts w:ascii="Times New Roman" w:hAnsi="Times New Roman" w:cs="Times New Roman"/>
          <w:i/>
          <w:iCs/>
          <w:lang w:val="bg-BG"/>
        </w:rPr>
        <w:t>Източник: Европейска агенция по околна среда</w:t>
      </w:r>
    </w:p>
    <w:p w14:paraId="65E8C933" w14:textId="77777777" w:rsidR="005647BA" w:rsidRPr="005241FC" w:rsidRDefault="005647BA" w:rsidP="005241FC">
      <w:pPr>
        <w:spacing w:before="120" w:after="120" w:line="264" w:lineRule="auto"/>
        <w:jc w:val="both"/>
        <w:rPr>
          <w:rFonts w:ascii="Times New Roman" w:hAnsi="Times New Roman" w:cs="Times New Roman"/>
          <w:lang w:val="bg-BG"/>
        </w:rPr>
      </w:pPr>
      <w:bookmarkStart w:id="66" w:name="_Hlk71245748"/>
      <w:r w:rsidRPr="005241FC">
        <w:rPr>
          <w:rFonts w:ascii="Times New Roman" w:hAnsi="Times New Roman" w:cs="Times New Roman"/>
          <w:b/>
          <w:bCs/>
          <w:lang w:val="bg-BG"/>
        </w:rPr>
        <w:t>Напредъкът на България</w:t>
      </w:r>
      <w:r w:rsidRPr="005241FC">
        <w:rPr>
          <w:rFonts w:ascii="Times New Roman" w:hAnsi="Times New Roman" w:cs="Times New Roman"/>
          <w:lang w:val="bg-BG"/>
        </w:rPr>
        <w:t xml:space="preserve"> </w:t>
      </w:r>
      <w:r w:rsidRPr="005241FC">
        <w:rPr>
          <w:rFonts w:ascii="Times New Roman" w:hAnsi="Times New Roman" w:cs="Times New Roman"/>
          <w:b/>
          <w:bCs/>
          <w:lang w:val="bg-BG"/>
        </w:rPr>
        <w:t>по постигане на целите за устойчиво развитие</w:t>
      </w:r>
      <w:r w:rsidRPr="005241FC">
        <w:rPr>
          <w:rFonts w:ascii="Times New Roman" w:hAnsi="Times New Roman" w:cs="Times New Roman"/>
          <w:lang w:val="bg-BG"/>
        </w:rPr>
        <w:t xml:space="preserve"> е оценен в Европейския доклад за устойчиво развитие от 2019 г. на Европейския институт за политики по околна среда.</w:t>
      </w:r>
      <w:r w:rsidRPr="005241FC">
        <w:rPr>
          <w:rStyle w:val="FootnoteReference"/>
          <w:rFonts w:ascii="Times New Roman" w:hAnsi="Times New Roman" w:cs="Times New Roman"/>
          <w:lang w:val="bg-BG"/>
        </w:rPr>
        <w:footnoteReference w:id="33"/>
      </w:r>
      <w:r w:rsidRPr="005241FC">
        <w:rPr>
          <w:rFonts w:ascii="Times New Roman" w:hAnsi="Times New Roman" w:cs="Times New Roman"/>
          <w:lang w:val="bg-BG"/>
        </w:rPr>
        <w:t xml:space="preserve"> Докладът отбелязва скромния напредък на страната по отношение постигането на Цел 11 Устойчиви градове и общности, но положителните тенденции по показателя Дял на рециклирани битови отпадъци, като по този показател България се нарежда на 16 място сред страните членки на ЕС. Основна констатация по отношение на Цел 12 Устойчиви модели на потребление и производство е липсата на достатъчно информация, но и липса на напредък по индикатора за вторично използване на материалите.</w:t>
      </w:r>
    </w:p>
    <w:p w14:paraId="2E7B9E0B" w14:textId="77777777" w:rsidR="005647BA" w:rsidRPr="005241FC" w:rsidRDefault="005647BA"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eastAsia="bg-BG"/>
        </w:rPr>
        <w:t xml:space="preserve">В Доклада за България от 2019 г. Преглед на изпълнението на политиките за околната среда се отбелязват следните предизвикателства </w:t>
      </w:r>
      <w:r w:rsidRPr="005241FC">
        <w:rPr>
          <w:rFonts w:ascii="Times New Roman" w:hAnsi="Times New Roman" w:cs="Times New Roman"/>
          <w:lang w:val="bg-BG"/>
        </w:rPr>
        <w:t>при изпълнението на политиката и законодателството на ЕС в областта на прехода към кръгова икономика:</w:t>
      </w:r>
    </w:p>
    <w:p w14:paraId="576AD0C7"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Нисък дял на вторичното използване на материалите;</w:t>
      </w:r>
    </w:p>
    <w:p w14:paraId="37D858C1"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Ниска производителност на ресурсите;</w:t>
      </w:r>
    </w:p>
    <w:p w14:paraId="01D1C4A0"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Липса на всеобхватна програма за прехода към кръгова икономика.</w:t>
      </w:r>
    </w:p>
    <w:p w14:paraId="6770DFCD"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 xml:space="preserve">Ниска степен на ангажираност на частния сектор и други заинтересовани страни в процеса на преход към кръгова икономика – малко на брой продукти с екомаркировка и организации, лицензирани по схемата на Общността за управление по околна среда и одит </w:t>
      </w:r>
      <w:r w:rsidRPr="005241FC">
        <w:rPr>
          <w:rFonts w:ascii="Times New Roman" w:hAnsi="Times New Roman" w:cs="Times New Roman"/>
        </w:rPr>
        <w:t>(EMAS).</w:t>
      </w:r>
    </w:p>
    <w:p w14:paraId="7046A5B8"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Под средния за ЕС процент МСП, които са предприели мерки за ресурсна ефективност или предлагат екологични продукти или услуги.</w:t>
      </w:r>
    </w:p>
    <w:p w14:paraId="61508A6A"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lastRenderedPageBreak/>
        <w:t>Сравнителният доклад за иновации на ЕК за 2018 г. нарежда страната на 27 мо място и като иноватор с шестия най-нисък растеж.</w:t>
      </w:r>
    </w:p>
    <w:p w14:paraId="69DAE709" w14:textId="77777777" w:rsidR="005647BA" w:rsidRPr="005241FC" w:rsidRDefault="005647BA" w:rsidP="005241FC">
      <w:p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По отношение на управлението на отпадъците Докладът за 2019 г. отбелязва следните тенденции за България:</w:t>
      </w:r>
    </w:p>
    <w:p w14:paraId="0DDE3F01"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Намаляване на количеството депонирани отпадъци, увеличаване на дела на компостираните отпадъци и малкото количество отпадъци пренасочени от депониране към изгаряне;</w:t>
      </w:r>
    </w:p>
    <w:p w14:paraId="2223D112"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Увеличаване на дела на рециклираните битови отпадъци, но все още на равнище, значително по-ниско от средното за ЕС;</w:t>
      </w:r>
    </w:p>
    <w:p w14:paraId="531872DC"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Напредък по отношение на закриването на депата за ТБО, които не отговарят на екологичните изисквания, но и предизвикателствата пред мерките за рекултивация;</w:t>
      </w:r>
    </w:p>
    <w:p w14:paraId="6BFB3B29"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Отложеното прилагане на принципа „замърсителят плаща“ по отношение на таксите за събиране на отпадъци от бита;</w:t>
      </w:r>
    </w:p>
    <w:p w14:paraId="20197A8C"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Предприетите законодателни мерки за ограничаване депонирането на отпадъците, включително и биоразградимите такива;</w:t>
      </w:r>
    </w:p>
    <w:p w14:paraId="0C7F2102"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Необходимостта от непрекъснати усилия за предотвратяване на незаконното изхвърляне на отпадъци и замърсяването;</w:t>
      </w:r>
    </w:p>
    <w:p w14:paraId="0421FC88"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Необходимост от подобряване и разширяване на системите за разделно събиране на отпадъци, включително биоотпадъци, чрез определяне на минимални стандарти за разделно събиране, програми в подкрепа на общините;</w:t>
      </w:r>
    </w:p>
    <w:p w14:paraId="26E1A6BA" w14:textId="77777777" w:rsidR="005647BA" w:rsidRPr="005241FC" w:rsidRDefault="005647BA" w:rsidP="005241FC">
      <w:pPr>
        <w:pStyle w:val="ListParagraph"/>
        <w:numPr>
          <w:ilvl w:val="0"/>
          <w:numId w:val="2"/>
        </w:numPr>
        <w:spacing w:before="120" w:after="120" w:line="264" w:lineRule="auto"/>
        <w:jc w:val="both"/>
        <w:rPr>
          <w:rFonts w:ascii="Times New Roman" w:hAnsi="Times New Roman" w:cs="Times New Roman"/>
          <w:lang w:val="bg-BG"/>
        </w:rPr>
      </w:pPr>
      <w:r w:rsidRPr="005241FC">
        <w:rPr>
          <w:rFonts w:ascii="Times New Roman" w:hAnsi="Times New Roman" w:cs="Times New Roman"/>
          <w:lang w:val="bg-BG"/>
        </w:rPr>
        <w:t>Въвеждане на относими икономически инструменти като принципа „замърсителят плаща“.</w:t>
      </w:r>
      <w:r w:rsidRPr="005241FC">
        <w:rPr>
          <w:rStyle w:val="FootnoteReference"/>
          <w:rFonts w:ascii="Times New Roman" w:hAnsi="Times New Roman" w:cs="Times New Roman"/>
          <w:lang w:val="bg-BG"/>
        </w:rPr>
        <w:footnoteReference w:id="34"/>
      </w:r>
    </w:p>
    <w:p w14:paraId="39C605B0" w14:textId="77777777" w:rsidR="00504F77" w:rsidRDefault="00AC7D28" w:rsidP="005241FC">
      <w:pPr>
        <w:spacing w:before="120" w:after="120" w:line="264" w:lineRule="auto"/>
        <w:jc w:val="both"/>
        <w:rPr>
          <w:rFonts w:ascii="Times New Roman" w:hAnsi="Times New Roman" w:cs="Times New Roman"/>
          <w:i/>
          <w:iCs/>
          <w:lang w:val="bg-BG"/>
        </w:rPr>
      </w:pPr>
      <w:r w:rsidRPr="005241FC">
        <w:rPr>
          <w:rFonts w:ascii="Times New Roman" w:hAnsi="Times New Roman" w:cs="Times New Roman"/>
          <w:lang w:val="bg-BG"/>
        </w:rPr>
        <w:t xml:space="preserve">Горепосочените констатации и </w:t>
      </w:r>
      <w:bookmarkStart w:id="67" w:name="_Hlk72862723"/>
      <w:r w:rsidRPr="005241FC">
        <w:rPr>
          <w:rFonts w:ascii="Times New Roman" w:hAnsi="Times New Roman" w:cs="Times New Roman"/>
          <w:lang w:val="bg-BG"/>
        </w:rPr>
        <w:t>и</w:t>
      </w:r>
      <w:r w:rsidR="00504F77" w:rsidRPr="005241FC">
        <w:rPr>
          <w:rFonts w:ascii="Times New Roman" w:hAnsi="Times New Roman" w:cs="Times New Roman"/>
          <w:lang w:val="bg-BG"/>
        </w:rPr>
        <w:t>зследването на взаимодействието Движещи сили – Натиск – Състояние – Въздействие - Отговор по-горе позволява следния анализ за сектор отпадъци в средата на основните елементи на политиките в областта на отпадъците за България:</w:t>
      </w:r>
      <w:bookmarkEnd w:id="67"/>
      <w:r w:rsidR="00504F77" w:rsidRPr="005241FC">
        <w:rPr>
          <w:rFonts w:ascii="Times New Roman" w:hAnsi="Times New Roman" w:cs="Times New Roman"/>
          <w:lang w:val="bg-BG"/>
        </w:rPr>
        <w:br/>
      </w:r>
    </w:p>
    <w:p w14:paraId="7CD4FBCA" w14:textId="77777777" w:rsidR="00504F77" w:rsidRPr="00AF353F" w:rsidRDefault="00AF353F" w:rsidP="00AF353F">
      <w:pPr>
        <w:pStyle w:val="Caption"/>
        <w:rPr>
          <w:rFonts w:ascii="Times New Roman" w:hAnsi="Times New Roman" w:cs="Times New Roman"/>
          <w:b w:val="0"/>
          <w:bCs w:val="0"/>
          <w:i/>
          <w:iCs/>
          <w:color w:val="auto"/>
          <w:sz w:val="22"/>
          <w:szCs w:val="22"/>
          <w:lang w:val="bg-BG"/>
        </w:rPr>
      </w:pPr>
      <w:bookmarkStart w:id="68" w:name="_Toc72919672"/>
      <w:bookmarkStart w:id="69" w:name="_Hlk71245872"/>
      <w:bookmarkStart w:id="70" w:name="_Hlk72862766"/>
      <w:bookmarkEnd w:id="66"/>
      <w:r w:rsidRPr="00AF353F">
        <w:rPr>
          <w:rFonts w:ascii="Times New Roman" w:hAnsi="Times New Roman" w:cs="Times New Roman"/>
          <w:b w:val="0"/>
          <w:bCs w:val="0"/>
          <w:i/>
          <w:iCs/>
          <w:color w:val="auto"/>
          <w:sz w:val="22"/>
          <w:szCs w:val="22"/>
          <w:lang w:val="bg-BG"/>
        </w:rPr>
        <w:t xml:space="preserve">Таблица </w:t>
      </w:r>
      <w:r w:rsidRPr="00AF353F">
        <w:rPr>
          <w:rFonts w:ascii="Times New Roman" w:hAnsi="Times New Roman" w:cs="Times New Roman"/>
          <w:b w:val="0"/>
          <w:bCs w:val="0"/>
          <w:i/>
          <w:iCs/>
          <w:color w:val="auto"/>
          <w:sz w:val="22"/>
          <w:szCs w:val="22"/>
          <w:lang w:val="bg-BG"/>
        </w:rPr>
        <w:fldChar w:fldCharType="begin"/>
      </w:r>
      <w:r w:rsidRPr="00AF353F">
        <w:rPr>
          <w:rFonts w:ascii="Times New Roman" w:hAnsi="Times New Roman" w:cs="Times New Roman"/>
          <w:b w:val="0"/>
          <w:bCs w:val="0"/>
          <w:i/>
          <w:iCs/>
          <w:color w:val="auto"/>
          <w:sz w:val="22"/>
          <w:szCs w:val="22"/>
          <w:lang w:val="bg-BG"/>
        </w:rPr>
        <w:instrText xml:space="preserve"> SEQ Таблица \* ARABIC </w:instrText>
      </w:r>
      <w:r w:rsidRPr="00AF353F">
        <w:rPr>
          <w:rFonts w:ascii="Times New Roman" w:hAnsi="Times New Roman" w:cs="Times New Roman"/>
          <w:b w:val="0"/>
          <w:bCs w:val="0"/>
          <w:i/>
          <w:iCs/>
          <w:color w:val="auto"/>
          <w:sz w:val="22"/>
          <w:szCs w:val="22"/>
          <w:lang w:val="bg-BG"/>
        </w:rPr>
        <w:fldChar w:fldCharType="separate"/>
      </w:r>
      <w:r w:rsidRPr="00AF353F">
        <w:rPr>
          <w:rFonts w:ascii="Times New Roman" w:hAnsi="Times New Roman" w:cs="Times New Roman"/>
          <w:b w:val="0"/>
          <w:bCs w:val="0"/>
          <w:i/>
          <w:iCs/>
          <w:color w:val="auto"/>
          <w:sz w:val="22"/>
          <w:szCs w:val="22"/>
          <w:lang w:val="bg-BG"/>
        </w:rPr>
        <w:t>13</w:t>
      </w:r>
      <w:r w:rsidRPr="00AF353F">
        <w:rPr>
          <w:rFonts w:ascii="Times New Roman" w:hAnsi="Times New Roman" w:cs="Times New Roman"/>
          <w:b w:val="0"/>
          <w:bCs w:val="0"/>
          <w:i/>
          <w:iCs/>
          <w:color w:val="auto"/>
          <w:sz w:val="22"/>
          <w:szCs w:val="22"/>
          <w:lang w:val="bg-BG"/>
        </w:rPr>
        <w:fldChar w:fldCharType="end"/>
      </w:r>
      <w:r w:rsidRPr="00AF353F">
        <w:rPr>
          <w:rFonts w:ascii="Times New Roman" w:hAnsi="Times New Roman" w:cs="Times New Roman"/>
          <w:b w:val="0"/>
          <w:bCs w:val="0"/>
          <w:i/>
          <w:iCs/>
          <w:color w:val="auto"/>
          <w:sz w:val="22"/>
          <w:szCs w:val="22"/>
          <w:lang w:val="bg-BG"/>
        </w:rPr>
        <w:t xml:space="preserve"> </w:t>
      </w:r>
      <w:r w:rsidR="00504F77" w:rsidRPr="00AF353F">
        <w:rPr>
          <w:rFonts w:ascii="Times New Roman" w:hAnsi="Times New Roman" w:cs="Times New Roman"/>
          <w:b w:val="0"/>
          <w:bCs w:val="0"/>
          <w:i/>
          <w:iCs/>
          <w:color w:val="auto"/>
          <w:sz w:val="22"/>
          <w:szCs w:val="22"/>
          <w:lang w:val="bg-BG"/>
        </w:rPr>
        <w:t>Тенденции и перспективи за сектор отпадъци, България</w:t>
      </w:r>
      <w:bookmarkEnd w:id="68"/>
    </w:p>
    <w:tbl>
      <w:tblPr>
        <w:tblStyle w:val="TableGrid"/>
        <w:tblW w:w="0" w:type="auto"/>
        <w:tblLook w:val="04A0" w:firstRow="1" w:lastRow="0" w:firstColumn="1" w:lastColumn="0" w:noHBand="0" w:noVBand="1"/>
      </w:tblPr>
      <w:tblGrid>
        <w:gridCol w:w="2335"/>
        <w:gridCol w:w="360"/>
        <w:gridCol w:w="6655"/>
      </w:tblGrid>
      <w:tr w:rsidR="00504F77" w:rsidRPr="0033306F" w14:paraId="68853423" w14:textId="77777777" w:rsidTr="000C08BF">
        <w:tc>
          <w:tcPr>
            <w:tcW w:w="9350" w:type="dxa"/>
            <w:gridSpan w:val="3"/>
          </w:tcPr>
          <w:p w14:paraId="11CC5FD5" w14:textId="77777777" w:rsidR="00504F77" w:rsidRPr="00536E7C" w:rsidRDefault="00504F77" w:rsidP="00D27783">
            <w:pPr>
              <w:spacing w:after="120" w:line="276" w:lineRule="auto"/>
              <w:jc w:val="both"/>
              <w:rPr>
                <w:rFonts w:ascii="Times New Roman" w:hAnsi="Times New Roman" w:cs="Times New Roman"/>
                <w:sz w:val="20"/>
                <w:szCs w:val="20"/>
                <w:lang w:val="bg-BG"/>
              </w:rPr>
            </w:pPr>
            <w:bookmarkStart w:id="71" w:name="_Hlk71245964"/>
            <w:bookmarkEnd w:id="69"/>
            <w:r w:rsidRPr="00536E7C">
              <w:rPr>
                <w:rFonts w:ascii="Times New Roman" w:hAnsi="Times New Roman" w:cs="Times New Roman"/>
                <w:sz w:val="20"/>
                <w:szCs w:val="20"/>
                <w:lang w:val="bg-BG"/>
              </w:rPr>
              <w:t>Кръгово (вторично) използване на материалите</w:t>
            </w:r>
          </w:p>
        </w:tc>
      </w:tr>
      <w:tr w:rsidR="00504F77" w:rsidRPr="0033306F" w14:paraId="76E36C51" w14:textId="77777777" w:rsidTr="000C08BF">
        <w:tc>
          <w:tcPr>
            <w:tcW w:w="2335" w:type="dxa"/>
          </w:tcPr>
          <w:p w14:paraId="592E00AC" w14:textId="77777777" w:rsidR="00504F77" w:rsidRDefault="00504F77" w:rsidP="00D27783">
            <w:pPr>
              <w:spacing w:after="120" w:line="276" w:lineRule="auto"/>
              <w:jc w:val="both"/>
              <w:rPr>
                <w:rFonts w:ascii="Times New Roman" w:hAnsi="Times New Roman" w:cs="Times New Roman"/>
                <w:sz w:val="20"/>
                <w:szCs w:val="20"/>
                <w:lang w:val="bg-BG"/>
              </w:rPr>
            </w:pPr>
            <w:r w:rsidRPr="00536E7C">
              <w:rPr>
                <w:rFonts w:ascii="Times New Roman" w:hAnsi="Times New Roman" w:cs="Times New Roman"/>
                <w:sz w:val="20"/>
                <w:szCs w:val="20"/>
                <w:lang w:val="bg-BG"/>
              </w:rPr>
              <w:t xml:space="preserve">Тенденции </w:t>
            </w:r>
            <w:r>
              <w:rPr>
                <w:rFonts w:ascii="Times New Roman" w:hAnsi="Times New Roman" w:cs="Times New Roman"/>
                <w:sz w:val="20"/>
                <w:szCs w:val="20"/>
                <w:lang w:val="bg-BG"/>
              </w:rPr>
              <w:t>през последните 10 години</w:t>
            </w:r>
          </w:p>
          <w:p w14:paraId="54DCBE25" w14:textId="77777777" w:rsidR="00504F77" w:rsidRPr="00536E7C"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33776E5B" w14:textId="77777777" w:rsidR="00504F77" w:rsidRPr="00536E7C" w:rsidRDefault="00504F77" w:rsidP="00D27783">
            <w:pPr>
              <w:spacing w:after="120" w:line="276" w:lineRule="auto"/>
              <w:jc w:val="both"/>
              <w:rPr>
                <w:rFonts w:ascii="Times New Roman" w:hAnsi="Times New Roman" w:cs="Times New Roman"/>
                <w:sz w:val="20"/>
                <w:szCs w:val="20"/>
                <w:lang w:val="bg-BG"/>
              </w:rPr>
            </w:pPr>
          </w:p>
        </w:tc>
        <w:tc>
          <w:tcPr>
            <w:tcW w:w="6655" w:type="dxa"/>
          </w:tcPr>
          <w:p w14:paraId="07D15588" w14:textId="77777777" w:rsidR="00F47F90" w:rsidRPr="00F47F90" w:rsidRDefault="00F47F90" w:rsidP="00F47F90">
            <w:pPr>
              <w:spacing w:after="120" w:line="224" w:lineRule="atLeast"/>
              <w:jc w:val="both"/>
              <w:rPr>
                <w:rFonts w:ascii="Times New Roman" w:hAnsi="Times New Roman" w:cs="Times New Roman"/>
                <w:b/>
                <w:bCs/>
                <w:color w:val="ED7D31" w:themeColor="accent2"/>
                <w:sz w:val="20"/>
                <w:szCs w:val="20"/>
              </w:rPr>
            </w:pPr>
            <w:r w:rsidRPr="00F47F90">
              <w:rPr>
                <w:rFonts w:ascii="Times New Roman" w:eastAsia="Times New Roman" w:hAnsi="Times New Roman" w:cs="Times New Roman"/>
                <w:b/>
                <w:bCs/>
                <w:color w:val="ED7D31" w:themeColor="accent2"/>
                <w:sz w:val="20"/>
                <w:szCs w:val="20"/>
                <w:lang w:val="bg-BG"/>
              </w:rPr>
              <w:t>Тенденциите / промените представят нееднородна картина</w:t>
            </w:r>
          </w:p>
          <w:p w14:paraId="04CAE5ED" w14:textId="77777777" w:rsidR="00504F77" w:rsidRPr="00536E7C" w:rsidRDefault="00504F77" w:rsidP="00D27783">
            <w:pPr>
              <w:spacing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Ръстът на Нормата на кръгово (вторично) използване на ресурсите е незначителен, с противоречиви тенденции и далеч под средната норма за ЕС.</w:t>
            </w:r>
            <w:r>
              <w:rPr>
                <w:rFonts w:ascii="Times New Roman" w:hAnsi="Times New Roman" w:cs="Times New Roman"/>
                <w:sz w:val="20"/>
                <w:szCs w:val="20"/>
              </w:rPr>
              <w:t xml:space="preserve"> </w:t>
            </w:r>
            <w:r>
              <w:rPr>
                <w:rFonts w:ascii="Times New Roman" w:hAnsi="Times New Roman" w:cs="Times New Roman"/>
                <w:sz w:val="20"/>
                <w:szCs w:val="20"/>
                <w:lang w:val="bg-BG"/>
              </w:rPr>
              <w:t>Тенденция към нарастване на количеството директно влагани материали.</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60"/>
        <w:gridCol w:w="6655"/>
      </w:tblGrid>
      <w:tr w:rsidR="00504F77" w:rsidRPr="0033306F" w14:paraId="1125727A" w14:textId="77777777" w:rsidTr="000C08BF">
        <w:tc>
          <w:tcPr>
            <w:tcW w:w="2335" w:type="dxa"/>
          </w:tcPr>
          <w:p w14:paraId="0DBF5A9C" w14:textId="77777777" w:rsidR="00504F77" w:rsidRDefault="00504F77" w:rsidP="000C08BF">
            <w:pPr>
              <w:spacing w:after="120" w:line="276" w:lineRule="auto"/>
              <w:jc w:val="both"/>
              <w:rPr>
                <w:rFonts w:ascii="Times New Roman" w:hAnsi="Times New Roman" w:cs="Times New Roman"/>
                <w:sz w:val="20"/>
                <w:szCs w:val="20"/>
                <w:lang w:val="bg-BG"/>
              </w:rPr>
            </w:pPr>
            <w:r w:rsidRPr="00536E7C">
              <w:rPr>
                <w:rFonts w:ascii="Times New Roman" w:hAnsi="Times New Roman" w:cs="Times New Roman"/>
                <w:sz w:val="20"/>
                <w:szCs w:val="20"/>
                <w:lang w:val="bg-BG"/>
              </w:rPr>
              <w:t>Перспективи за 2030 г.</w:t>
            </w:r>
          </w:p>
          <w:p w14:paraId="0103DDD4" w14:textId="77777777" w:rsidR="00504F77" w:rsidRPr="00536E7C"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0C61C89D" w14:textId="77777777" w:rsidR="00504F77" w:rsidRPr="00536E7C" w:rsidRDefault="00504F77" w:rsidP="00D27783">
            <w:pPr>
              <w:spacing w:after="120" w:line="276" w:lineRule="auto"/>
              <w:jc w:val="both"/>
              <w:rPr>
                <w:rFonts w:ascii="Times New Roman" w:hAnsi="Times New Roman" w:cs="Times New Roman"/>
                <w:sz w:val="20"/>
                <w:szCs w:val="20"/>
                <w:lang w:val="bg-BG"/>
              </w:rPr>
            </w:pPr>
          </w:p>
        </w:tc>
        <w:tc>
          <w:tcPr>
            <w:tcW w:w="6655" w:type="dxa"/>
          </w:tcPr>
          <w:p w14:paraId="1E59E42A" w14:textId="77777777" w:rsidR="00F47F90" w:rsidRPr="00F47F90" w:rsidRDefault="00F47F90" w:rsidP="00F47F90">
            <w:pPr>
              <w:spacing w:after="120" w:line="224" w:lineRule="atLeast"/>
              <w:jc w:val="both"/>
              <w:rPr>
                <w:rFonts w:ascii="Times New Roman" w:hAnsi="Times New Roman" w:cs="Times New Roman"/>
                <w:b/>
                <w:bCs/>
                <w:color w:val="ED7D31" w:themeColor="accent2"/>
                <w:sz w:val="20"/>
                <w:szCs w:val="20"/>
              </w:rPr>
            </w:pPr>
            <w:r w:rsidRPr="00F47F90">
              <w:rPr>
                <w:rFonts w:ascii="Times New Roman" w:eastAsia="Times New Roman" w:hAnsi="Times New Roman" w:cs="Times New Roman"/>
                <w:b/>
                <w:bCs/>
                <w:color w:val="ED7D31" w:themeColor="accent2"/>
                <w:sz w:val="20"/>
                <w:szCs w:val="20"/>
                <w:lang w:val="bg-BG"/>
              </w:rPr>
              <w:t>Тенденциите / промените представят нееднородна картина</w:t>
            </w:r>
          </w:p>
          <w:p w14:paraId="7992D5EA" w14:textId="77777777" w:rsidR="00504F77" w:rsidRPr="00536E7C" w:rsidRDefault="00504F77" w:rsidP="00DD315B">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Разработването и прилагането на стратегическа рамка в областта на кръговата икономика очаквано ще допринесе за стимулиране на положителна промяна. Липсата на достатъчна и надеждна информация обаче не позволява по-задълбочна оценка на тенденциите.</w:t>
            </w:r>
          </w:p>
        </w:tc>
      </w:tr>
      <w:bookmarkEnd w:id="71"/>
    </w:tbl>
    <w:p w14:paraId="64A562F2" w14:textId="77777777" w:rsidR="00504F77" w:rsidRDefault="00504F77" w:rsidP="00504F77">
      <w:pPr>
        <w:spacing w:after="120" w:line="276" w:lineRule="auto"/>
        <w:jc w:val="both"/>
        <w:rPr>
          <w:rFonts w:ascii="Times New Roman" w:hAnsi="Times New Roman" w:cs="Times New Roman"/>
          <w:sz w:val="24"/>
          <w:szCs w:val="24"/>
          <w:lang w:val="bg-BG"/>
        </w:rPr>
      </w:pPr>
    </w:p>
    <w:tbl>
      <w:tblPr>
        <w:tblStyle w:val="TableGrid"/>
        <w:tblW w:w="0" w:type="auto"/>
        <w:tblLook w:val="04A0" w:firstRow="1" w:lastRow="0" w:firstColumn="1" w:lastColumn="0" w:noHBand="0" w:noVBand="1"/>
      </w:tblPr>
      <w:tblGrid>
        <w:gridCol w:w="2335"/>
        <w:gridCol w:w="360"/>
        <w:gridCol w:w="6655"/>
      </w:tblGrid>
      <w:tr w:rsidR="00504F77" w:rsidRPr="00E34CD7" w14:paraId="08995E34" w14:textId="77777777" w:rsidTr="00D27783">
        <w:tc>
          <w:tcPr>
            <w:tcW w:w="9350" w:type="dxa"/>
            <w:gridSpan w:val="3"/>
          </w:tcPr>
          <w:p w14:paraId="37D1D9B2" w14:textId="77777777" w:rsidR="00504F77" w:rsidRPr="00E34CD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Ресурсна ефективност</w:t>
            </w:r>
          </w:p>
        </w:tc>
      </w:tr>
      <w:tr w:rsidR="00504F77" w:rsidRPr="00E34CD7" w14:paraId="45621D9B" w14:textId="77777777" w:rsidTr="00D27783">
        <w:tc>
          <w:tcPr>
            <w:tcW w:w="2335" w:type="dxa"/>
          </w:tcPr>
          <w:p w14:paraId="7EBFB0E0"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lastRenderedPageBreak/>
              <w:t xml:space="preserve">Тенденции </w:t>
            </w:r>
            <w:r>
              <w:rPr>
                <w:rFonts w:ascii="Times New Roman" w:hAnsi="Times New Roman" w:cs="Times New Roman"/>
                <w:sz w:val="20"/>
                <w:szCs w:val="20"/>
                <w:lang w:val="bg-BG"/>
              </w:rPr>
              <w:t>през последните 10 години</w:t>
            </w:r>
          </w:p>
          <w:p w14:paraId="1AF1863A"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3EB7147F"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109A132C" w14:textId="77777777" w:rsidR="00F47F90" w:rsidRPr="00F47F90" w:rsidRDefault="00F47F90" w:rsidP="00F47F90">
            <w:pPr>
              <w:spacing w:after="120" w:line="224" w:lineRule="atLeast"/>
              <w:jc w:val="both"/>
              <w:rPr>
                <w:rFonts w:ascii="Times New Roman" w:hAnsi="Times New Roman" w:cs="Times New Roman"/>
                <w:b/>
                <w:bCs/>
                <w:color w:val="ED7D31" w:themeColor="accent2"/>
                <w:sz w:val="20"/>
                <w:szCs w:val="20"/>
              </w:rPr>
            </w:pPr>
            <w:r w:rsidRPr="00F47F90">
              <w:rPr>
                <w:rFonts w:ascii="Times New Roman" w:eastAsia="Times New Roman" w:hAnsi="Times New Roman" w:cs="Times New Roman"/>
                <w:b/>
                <w:bCs/>
                <w:color w:val="ED7D31" w:themeColor="accent2"/>
                <w:sz w:val="20"/>
                <w:szCs w:val="20"/>
                <w:lang w:val="bg-BG"/>
              </w:rPr>
              <w:t>Тенденциите / промените представят нееднородна картина</w:t>
            </w:r>
          </w:p>
          <w:p w14:paraId="01DE39F5" w14:textId="77777777" w:rsidR="00504F77" w:rsidRPr="00E34CD7" w:rsidRDefault="00504F77" w:rsidP="00D27783">
            <w:pPr>
              <w:spacing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Незначителни тенденции на повишаване на показателя „производителност на ресурсите“, нисък интерес към екоиновации и нисък процент на предприятията, които предприемат мерки за ресурсна ефективност. Висока степен на ресурсоемкост на икономиката.</w:t>
            </w:r>
          </w:p>
        </w:tc>
      </w:tr>
      <w:tr w:rsidR="00504F77" w:rsidRPr="00E34CD7" w14:paraId="78BE8DAD" w14:textId="77777777" w:rsidTr="00D27783">
        <w:tc>
          <w:tcPr>
            <w:tcW w:w="2335" w:type="dxa"/>
          </w:tcPr>
          <w:p w14:paraId="6016A697"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Перспективи за 2030 г.</w:t>
            </w:r>
          </w:p>
          <w:p w14:paraId="6001D32F"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410F943B"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0DB67354" w14:textId="77777777" w:rsidR="00F47F90" w:rsidRPr="00F47F90" w:rsidRDefault="00F47F90" w:rsidP="00F47F90">
            <w:pPr>
              <w:spacing w:after="120" w:line="224" w:lineRule="atLeast"/>
              <w:jc w:val="both"/>
              <w:rPr>
                <w:rFonts w:ascii="Times New Roman" w:hAnsi="Times New Roman" w:cs="Times New Roman"/>
                <w:b/>
                <w:bCs/>
                <w:color w:val="ED7D31" w:themeColor="accent2"/>
                <w:sz w:val="20"/>
                <w:szCs w:val="20"/>
              </w:rPr>
            </w:pPr>
            <w:r w:rsidRPr="00F47F90">
              <w:rPr>
                <w:rFonts w:ascii="Times New Roman" w:eastAsia="Times New Roman" w:hAnsi="Times New Roman" w:cs="Times New Roman"/>
                <w:b/>
                <w:bCs/>
                <w:color w:val="ED7D31" w:themeColor="accent2"/>
                <w:sz w:val="20"/>
                <w:szCs w:val="20"/>
                <w:lang w:val="bg-BG"/>
              </w:rPr>
              <w:t>Тенденциите / промените представят нееднородна картина</w:t>
            </w:r>
          </w:p>
          <w:p w14:paraId="2B731377" w14:textId="77777777" w:rsidR="00504F77" w:rsidRPr="00E34CD7" w:rsidRDefault="00504F77" w:rsidP="00D27783">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Разработването и прилагането на стратегическа рамка в областта на кръговата икономика очаквано ще допринесе за стимулиране на положителна промяна. Липсата на достатъчна и надеждна информация обаче не позволява по-задълбочна оценка на тенденциите.</w:t>
            </w:r>
          </w:p>
        </w:tc>
      </w:tr>
    </w:tbl>
    <w:p w14:paraId="414E10B2" w14:textId="77777777" w:rsidR="00504F77" w:rsidRDefault="00504F77" w:rsidP="00504F77">
      <w:pPr>
        <w:spacing w:after="120" w:line="276" w:lineRule="auto"/>
        <w:jc w:val="both"/>
        <w:rPr>
          <w:rFonts w:ascii="Times New Roman" w:hAnsi="Times New Roman" w:cs="Times New Roman"/>
          <w:sz w:val="24"/>
          <w:szCs w:val="24"/>
          <w:lang w:val="bg-BG"/>
        </w:rPr>
      </w:pPr>
    </w:p>
    <w:tbl>
      <w:tblPr>
        <w:tblStyle w:val="TableGrid"/>
        <w:tblW w:w="0" w:type="auto"/>
        <w:tblLook w:val="04A0" w:firstRow="1" w:lastRow="0" w:firstColumn="1" w:lastColumn="0" w:noHBand="0" w:noVBand="1"/>
      </w:tblPr>
      <w:tblGrid>
        <w:gridCol w:w="2335"/>
        <w:gridCol w:w="360"/>
        <w:gridCol w:w="6655"/>
      </w:tblGrid>
      <w:tr w:rsidR="00504F77" w:rsidRPr="00E34CD7" w14:paraId="2E9CE2FC" w14:textId="77777777" w:rsidTr="00D27783">
        <w:tc>
          <w:tcPr>
            <w:tcW w:w="9350" w:type="dxa"/>
            <w:gridSpan w:val="3"/>
          </w:tcPr>
          <w:p w14:paraId="6AE35766" w14:textId="77777777" w:rsidR="00504F77" w:rsidRPr="00E34CD7" w:rsidRDefault="00504F77" w:rsidP="00D27783">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Образуване на отпадъци</w:t>
            </w:r>
          </w:p>
        </w:tc>
      </w:tr>
      <w:tr w:rsidR="00504F77" w:rsidRPr="00E34CD7" w14:paraId="4550B5E1" w14:textId="77777777" w:rsidTr="00D27783">
        <w:tc>
          <w:tcPr>
            <w:tcW w:w="2335" w:type="dxa"/>
          </w:tcPr>
          <w:p w14:paraId="53BCABFF"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 xml:space="preserve">Тенденции </w:t>
            </w:r>
            <w:r>
              <w:rPr>
                <w:rFonts w:ascii="Times New Roman" w:hAnsi="Times New Roman" w:cs="Times New Roman"/>
                <w:sz w:val="20"/>
                <w:szCs w:val="20"/>
                <w:lang w:val="bg-BG"/>
              </w:rPr>
              <w:t>през последните 10 години</w:t>
            </w:r>
          </w:p>
          <w:p w14:paraId="081F364C"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70AD47" w:themeFill="accent6"/>
          </w:tcPr>
          <w:p w14:paraId="3072C13A"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3D6B89B7" w14:textId="77777777" w:rsidR="00D56D09" w:rsidRPr="000120B1" w:rsidRDefault="00D56D09" w:rsidP="000120B1">
            <w:pPr>
              <w:spacing w:before="120" w:line="276" w:lineRule="auto"/>
              <w:jc w:val="both"/>
              <w:rPr>
                <w:rStyle w:val="a1"/>
                <w:rFonts w:ascii="Times New Roman" w:eastAsia="Calibri" w:hAnsi="Times New Roman" w:cs="Times New Roman"/>
                <w:b/>
                <w:bCs/>
                <w:color w:val="538135" w:themeColor="accent6" w:themeShade="BF"/>
                <w:sz w:val="20"/>
                <w:szCs w:val="20"/>
              </w:rPr>
            </w:pPr>
            <w:proofErr w:type="spellStart"/>
            <w:r w:rsidRPr="000120B1">
              <w:rPr>
                <w:rStyle w:val="a1"/>
                <w:rFonts w:ascii="Times New Roman" w:eastAsia="Calibri" w:hAnsi="Times New Roman" w:cs="Times New Roman"/>
                <w:b/>
                <w:bCs/>
                <w:color w:val="538135" w:themeColor="accent6" w:themeShade="BF"/>
                <w:sz w:val="20"/>
                <w:szCs w:val="20"/>
              </w:rPr>
              <w:t>Тенденциите</w:t>
            </w:r>
            <w:proofErr w:type="spellEnd"/>
            <w:r w:rsidRPr="000120B1">
              <w:rPr>
                <w:rStyle w:val="a1"/>
                <w:rFonts w:ascii="Times New Roman" w:eastAsia="Calibri" w:hAnsi="Times New Roman" w:cs="Times New Roman"/>
                <w:b/>
                <w:bCs/>
                <w:color w:val="538135" w:themeColor="accent6" w:themeShade="BF"/>
                <w:sz w:val="20"/>
                <w:szCs w:val="20"/>
              </w:rPr>
              <w:t xml:space="preserve"> / </w:t>
            </w:r>
            <w:proofErr w:type="spellStart"/>
            <w:r w:rsidRPr="000120B1">
              <w:rPr>
                <w:rStyle w:val="a1"/>
                <w:rFonts w:ascii="Times New Roman" w:eastAsia="Calibri" w:hAnsi="Times New Roman" w:cs="Times New Roman"/>
                <w:b/>
                <w:bCs/>
                <w:color w:val="538135" w:themeColor="accent6" w:themeShade="BF"/>
                <w:sz w:val="20"/>
                <w:szCs w:val="20"/>
              </w:rPr>
              <w:t>промените</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към</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подобрение</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преобладават</w:t>
            </w:r>
            <w:proofErr w:type="spellEnd"/>
            <w:r w:rsidRPr="000120B1">
              <w:rPr>
                <w:rStyle w:val="a1"/>
                <w:rFonts w:ascii="Times New Roman" w:eastAsia="Calibri" w:hAnsi="Times New Roman" w:cs="Times New Roman"/>
                <w:b/>
                <w:bCs/>
                <w:color w:val="538135" w:themeColor="accent6" w:themeShade="BF"/>
                <w:sz w:val="20"/>
                <w:szCs w:val="20"/>
              </w:rPr>
              <w:t xml:space="preserve"> </w:t>
            </w:r>
          </w:p>
          <w:p w14:paraId="618EFB6F" w14:textId="77777777" w:rsidR="00504F77" w:rsidRPr="00E34CD7" w:rsidRDefault="00504F77" w:rsidP="000120B1">
            <w:pPr>
              <w:spacing w:before="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Доминират положителни тенденции на намаляване на отпадъците от бита и производствените отпадъци</w:t>
            </w:r>
          </w:p>
        </w:tc>
      </w:tr>
      <w:tr w:rsidR="00504F77" w:rsidRPr="00E34CD7" w14:paraId="0F759F54" w14:textId="77777777" w:rsidTr="00D27783">
        <w:tc>
          <w:tcPr>
            <w:tcW w:w="2335" w:type="dxa"/>
          </w:tcPr>
          <w:p w14:paraId="445E4970"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Перспективи за 2030 г.</w:t>
            </w:r>
          </w:p>
          <w:p w14:paraId="70341936"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19B8306B"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4A263FD4" w14:textId="77777777" w:rsidR="004C5987" w:rsidRPr="00F47F90" w:rsidRDefault="004C5987" w:rsidP="00F47F90">
            <w:pPr>
              <w:spacing w:after="120" w:line="224" w:lineRule="atLeast"/>
              <w:jc w:val="both"/>
              <w:rPr>
                <w:rFonts w:ascii="Times New Roman" w:eastAsia="Times New Roman" w:hAnsi="Times New Roman" w:cs="Times New Roman"/>
                <w:b/>
                <w:bCs/>
                <w:color w:val="ED7D31" w:themeColor="accent2"/>
                <w:sz w:val="20"/>
                <w:szCs w:val="20"/>
                <w:lang w:val="bg-BG"/>
              </w:rPr>
            </w:pPr>
            <w:r w:rsidRPr="00F47F90">
              <w:rPr>
                <w:rFonts w:ascii="Times New Roman" w:eastAsia="Times New Roman" w:hAnsi="Times New Roman" w:cs="Times New Roman"/>
                <w:b/>
                <w:bCs/>
                <w:color w:val="ED7D31" w:themeColor="accent2"/>
                <w:sz w:val="20"/>
                <w:szCs w:val="20"/>
                <w:lang w:val="bg-BG"/>
              </w:rPr>
              <w:t xml:space="preserve">Тенденциите/промените представят нееднородна картина </w:t>
            </w:r>
          </w:p>
          <w:p w14:paraId="386B8261" w14:textId="77777777" w:rsidR="00504F77" w:rsidRPr="00E34CD7" w:rsidRDefault="00504F77" w:rsidP="00D27783">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Оценката на ефектите от настоящите положителни тенденции е неясна, предвид неясната перспектива за технологичната модернизация на някои икономически сектори, увеличаване на количествата на някои видове отпадъци и устойчиви консуматорски модели.</w:t>
            </w:r>
          </w:p>
        </w:tc>
      </w:tr>
    </w:tbl>
    <w:p w14:paraId="2E6E160F" w14:textId="77777777" w:rsidR="00504F77" w:rsidRDefault="00504F77" w:rsidP="00504F77">
      <w:pPr>
        <w:spacing w:after="120" w:line="276" w:lineRule="auto"/>
        <w:jc w:val="both"/>
        <w:rPr>
          <w:rFonts w:ascii="Times New Roman" w:hAnsi="Times New Roman" w:cs="Times New Roman"/>
          <w:b/>
          <w:bCs/>
          <w:sz w:val="24"/>
          <w:szCs w:val="24"/>
          <w:lang w:val="bg-BG"/>
        </w:rPr>
      </w:pPr>
    </w:p>
    <w:tbl>
      <w:tblPr>
        <w:tblStyle w:val="TableGrid"/>
        <w:tblW w:w="0" w:type="auto"/>
        <w:tblLook w:val="04A0" w:firstRow="1" w:lastRow="0" w:firstColumn="1" w:lastColumn="0" w:noHBand="0" w:noVBand="1"/>
      </w:tblPr>
      <w:tblGrid>
        <w:gridCol w:w="2335"/>
        <w:gridCol w:w="360"/>
        <w:gridCol w:w="6655"/>
      </w:tblGrid>
      <w:tr w:rsidR="00504F77" w:rsidRPr="00E34CD7" w14:paraId="509E5313" w14:textId="77777777" w:rsidTr="00D27783">
        <w:tc>
          <w:tcPr>
            <w:tcW w:w="9350" w:type="dxa"/>
            <w:gridSpan w:val="3"/>
          </w:tcPr>
          <w:p w14:paraId="50510E4C" w14:textId="77777777" w:rsidR="00504F77" w:rsidRPr="00E34CD7" w:rsidRDefault="00504F77" w:rsidP="00D27783">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Управление на отпадъци</w:t>
            </w:r>
          </w:p>
        </w:tc>
      </w:tr>
      <w:tr w:rsidR="00504F77" w:rsidRPr="00E34CD7" w14:paraId="466DDDC7" w14:textId="77777777" w:rsidTr="00D27783">
        <w:tc>
          <w:tcPr>
            <w:tcW w:w="2335" w:type="dxa"/>
          </w:tcPr>
          <w:p w14:paraId="64E5D518"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 xml:space="preserve">Тенденции </w:t>
            </w:r>
            <w:r>
              <w:rPr>
                <w:rFonts w:ascii="Times New Roman" w:hAnsi="Times New Roman" w:cs="Times New Roman"/>
                <w:sz w:val="20"/>
                <w:szCs w:val="20"/>
                <w:lang w:val="bg-BG"/>
              </w:rPr>
              <w:t>през последните 10 години</w:t>
            </w:r>
          </w:p>
          <w:p w14:paraId="602CE7B6"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70AD47" w:themeFill="accent6"/>
          </w:tcPr>
          <w:p w14:paraId="35C223D5"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73E57FBD" w14:textId="77777777" w:rsidR="00D56D09" w:rsidRPr="000120B1" w:rsidRDefault="00D56D09" w:rsidP="000120B1">
            <w:pPr>
              <w:spacing w:after="120" w:line="276" w:lineRule="auto"/>
              <w:jc w:val="both"/>
              <w:rPr>
                <w:rStyle w:val="a1"/>
                <w:rFonts w:ascii="Times New Roman" w:eastAsia="Calibri" w:hAnsi="Times New Roman" w:cs="Times New Roman"/>
                <w:b/>
                <w:bCs/>
                <w:color w:val="538135" w:themeColor="accent6" w:themeShade="BF"/>
                <w:sz w:val="20"/>
                <w:szCs w:val="20"/>
              </w:rPr>
            </w:pPr>
            <w:proofErr w:type="spellStart"/>
            <w:r w:rsidRPr="000120B1">
              <w:rPr>
                <w:rStyle w:val="a1"/>
                <w:rFonts w:ascii="Times New Roman" w:eastAsia="Calibri" w:hAnsi="Times New Roman" w:cs="Times New Roman"/>
                <w:b/>
                <w:bCs/>
                <w:color w:val="538135" w:themeColor="accent6" w:themeShade="BF"/>
                <w:sz w:val="20"/>
                <w:szCs w:val="20"/>
              </w:rPr>
              <w:t>Тенденциите</w:t>
            </w:r>
            <w:proofErr w:type="spellEnd"/>
            <w:r w:rsidRPr="000120B1">
              <w:rPr>
                <w:rStyle w:val="a1"/>
                <w:rFonts w:ascii="Times New Roman" w:eastAsia="Calibri" w:hAnsi="Times New Roman" w:cs="Times New Roman"/>
                <w:b/>
                <w:bCs/>
                <w:color w:val="538135" w:themeColor="accent6" w:themeShade="BF"/>
                <w:sz w:val="20"/>
                <w:szCs w:val="20"/>
              </w:rPr>
              <w:t xml:space="preserve"> / </w:t>
            </w:r>
            <w:proofErr w:type="spellStart"/>
            <w:r w:rsidRPr="000120B1">
              <w:rPr>
                <w:rStyle w:val="a1"/>
                <w:rFonts w:ascii="Times New Roman" w:eastAsia="Calibri" w:hAnsi="Times New Roman" w:cs="Times New Roman"/>
                <w:b/>
                <w:bCs/>
                <w:color w:val="538135" w:themeColor="accent6" w:themeShade="BF"/>
                <w:sz w:val="20"/>
                <w:szCs w:val="20"/>
              </w:rPr>
              <w:t>промените</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към</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подобрение</w:t>
            </w:r>
            <w:proofErr w:type="spellEnd"/>
            <w:r w:rsidRPr="000120B1">
              <w:rPr>
                <w:rStyle w:val="a1"/>
                <w:rFonts w:ascii="Times New Roman" w:eastAsia="Calibri" w:hAnsi="Times New Roman" w:cs="Times New Roman"/>
                <w:b/>
                <w:bCs/>
                <w:color w:val="538135" w:themeColor="accent6" w:themeShade="BF"/>
                <w:sz w:val="20"/>
                <w:szCs w:val="20"/>
              </w:rPr>
              <w:t xml:space="preserve"> </w:t>
            </w:r>
            <w:proofErr w:type="spellStart"/>
            <w:r w:rsidRPr="000120B1">
              <w:rPr>
                <w:rStyle w:val="a1"/>
                <w:rFonts w:ascii="Times New Roman" w:eastAsia="Calibri" w:hAnsi="Times New Roman" w:cs="Times New Roman"/>
                <w:b/>
                <w:bCs/>
                <w:color w:val="538135" w:themeColor="accent6" w:themeShade="BF"/>
                <w:sz w:val="20"/>
                <w:szCs w:val="20"/>
              </w:rPr>
              <w:t>преобладават</w:t>
            </w:r>
            <w:proofErr w:type="spellEnd"/>
            <w:r w:rsidRPr="000120B1">
              <w:rPr>
                <w:rStyle w:val="a1"/>
                <w:rFonts w:ascii="Times New Roman" w:eastAsia="Calibri" w:hAnsi="Times New Roman" w:cs="Times New Roman"/>
                <w:b/>
                <w:bCs/>
                <w:color w:val="538135" w:themeColor="accent6" w:themeShade="BF"/>
                <w:sz w:val="20"/>
                <w:szCs w:val="20"/>
              </w:rPr>
              <w:t xml:space="preserve"> </w:t>
            </w:r>
          </w:p>
          <w:p w14:paraId="46625BF0" w14:textId="77777777" w:rsidR="00504F77" w:rsidRPr="00E34CD7" w:rsidRDefault="00504F77" w:rsidP="000120B1">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Доминират положителни тенденции: инвестиции и модернизация в инфраструктурата за управление на отпадъците, добър обхват на системите за събиране, постигнати национални цели за рециклиране и оползотворяване на някои видове отпадъци.</w:t>
            </w:r>
          </w:p>
        </w:tc>
      </w:tr>
      <w:tr w:rsidR="00504F77" w:rsidRPr="00E34CD7" w14:paraId="6114647F" w14:textId="77777777" w:rsidTr="00D27783">
        <w:tc>
          <w:tcPr>
            <w:tcW w:w="2335" w:type="dxa"/>
          </w:tcPr>
          <w:p w14:paraId="7FE20217" w14:textId="77777777" w:rsidR="00504F77" w:rsidRDefault="00504F77" w:rsidP="00D27783">
            <w:pPr>
              <w:spacing w:after="120" w:line="276" w:lineRule="auto"/>
              <w:jc w:val="both"/>
              <w:rPr>
                <w:rFonts w:ascii="Times New Roman" w:hAnsi="Times New Roman" w:cs="Times New Roman"/>
                <w:sz w:val="20"/>
                <w:szCs w:val="20"/>
                <w:lang w:val="bg-BG"/>
              </w:rPr>
            </w:pPr>
            <w:r w:rsidRPr="00E34CD7">
              <w:rPr>
                <w:rFonts w:ascii="Times New Roman" w:hAnsi="Times New Roman" w:cs="Times New Roman"/>
                <w:sz w:val="20"/>
                <w:szCs w:val="20"/>
                <w:lang w:val="bg-BG"/>
              </w:rPr>
              <w:t>Перспективи за 2030 г.</w:t>
            </w:r>
          </w:p>
          <w:p w14:paraId="1C7734A7" w14:textId="77777777" w:rsidR="00504F77" w:rsidRPr="00E34CD7" w:rsidRDefault="00504F77" w:rsidP="00D27783">
            <w:pPr>
              <w:spacing w:after="120" w:line="276" w:lineRule="auto"/>
              <w:jc w:val="both"/>
              <w:rPr>
                <w:rFonts w:ascii="Times New Roman" w:hAnsi="Times New Roman" w:cs="Times New Roman"/>
                <w:sz w:val="4"/>
                <w:szCs w:val="4"/>
                <w:lang w:val="bg-BG"/>
              </w:rPr>
            </w:pPr>
          </w:p>
        </w:tc>
        <w:tc>
          <w:tcPr>
            <w:tcW w:w="360" w:type="dxa"/>
            <w:shd w:val="clear" w:color="auto" w:fill="FFC000"/>
          </w:tcPr>
          <w:p w14:paraId="242BADBB" w14:textId="77777777" w:rsidR="00504F77" w:rsidRPr="00E34CD7" w:rsidRDefault="00504F77" w:rsidP="00D27783">
            <w:pPr>
              <w:spacing w:after="120" w:line="276" w:lineRule="auto"/>
              <w:jc w:val="both"/>
              <w:rPr>
                <w:rFonts w:ascii="Times New Roman" w:hAnsi="Times New Roman" w:cs="Times New Roman"/>
                <w:sz w:val="20"/>
                <w:szCs w:val="20"/>
                <w:lang w:val="bg-BG"/>
              </w:rPr>
            </w:pPr>
          </w:p>
        </w:tc>
        <w:tc>
          <w:tcPr>
            <w:tcW w:w="6655" w:type="dxa"/>
          </w:tcPr>
          <w:p w14:paraId="3AB4A837" w14:textId="77777777" w:rsidR="004C5987" w:rsidRPr="00F47F90" w:rsidRDefault="004C5987" w:rsidP="00F47F90">
            <w:pPr>
              <w:spacing w:after="120" w:line="224" w:lineRule="atLeast"/>
              <w:jc w:val="both"/>
              <w:rPr>
                <w:rFonts w:ascii="Times New Roman" w:eastAsia="Times New Roman" w:hAnsi="Times New Roman" w:cs="Times New Roman"/>
                <w:b/>
                <w:bCs/>
                <w:color w:val="ED7D31" w:themeColor="accent2"/>
                <w:sz w:val="20"/>
                <w:szCs w:val="20"/>
                <w:lang w:val="bg-BG"/>
              </w:rPr>
            </w:pPr>
            <w:r w:rsidRPr="00F47F90">
              <w:rPr>
                <w:rFonts w:ascii="Times New Roman" w:eastAsia="Times New Roman" w:hAnsi="Times New Roman" w:cs="Times New Roman"/>
                <w:b/>
                <w:bCs/>
                <w:color w:val="ED7D31" w:themeColor="accent2"/>
                <w:sz w:val="20"/>
                <w:szCs w:val="20"/>
                <w:lang w:val="bg-BG"/>
              </w:rPr>
              <w:t xml:space="preserve">Тенденциите/промените представят нееднородна картина </w:t>
            </w:r>
          </w:p>
          <w:p w14:paraId="3FA6122F" w14:textId="77777777" w:rsidR="00504F77" w:rsidRPr="00E34CD7" w:rsidRDefault="00504F77" w:rsidP="00D27783">
            <w:pPr>
              <w:spacing w:after="120" w:line="276" w:lineRule="auto"/>
              <w:jc w:val="both"/>
              <w:rPr>
                <w:rFonts w:ascii="Times New Roman" w:hAnsi="Times New Roman" w:cs="Times New Roman"/>
                <w:sz w:val="20"/>
                <w:szCs w:val="20"/>
                <w:lang w:val="bg-BG"/>
              </w:rPr>
            </w:pPr>
            <w:r>
              <w:rPr>
                <w:rFonts w:ascii="Times New Roman" w:hAnsi="Times New Roman" w:cs="Times New Roman"/>
                <w:sz w:val="20"/>
                <w:szCs w:val="20"/>
                <w:lang w:val="bg-BG"/>
              </w:rPr>
              <w:t>Перспективата за устойчивост на идентифицираните положителни тенденции не може да бъде ясно оценена, поради редица ключови предизвикателства: бавни темпове на промяна на модела на управление на отпадъците от депониране към подготовка за повторна употреба/ рециклиране и оползотворяване, въвеждане на ефективни системи за разделно събиране на някои видове отпадъци, включително биоотпадъци, прилагане на принципа „замърсителят плаща“.</w:t>
            </w:r>
          </w:p>
        </w:tc>
      </w:tr>
      <w:bookmarkEnd w:id="70"/>
    </w:tbl>
    <w:p w14:paraId="66604AA7" w14:textId="77777777" w:rsidR="00504F77" w:rsidRDefault="00504F77" w:rsidP="00504F77">
      <w:pPr>
        <w:spacing w:after="120" w:line="276" w:lineRule="auto"/>
        <w:jc w:val="both"/>
        <w:rPr>
          <w:rFonts w:ascii="Times New Roman" w:hAnsi="Times New Roman" w:cs="Times New Roman"/>
          <w:b/>
          <w:bCs/>
          <w:sz w:val="24"/>
          <w:szCs w:val="24"/>
          <w:lang w:val="bg-BG"/>
        </w:rPr>
      </w:pPr>
    </w:p>
    <w:p w14:paraId="171CE5CD" w14:textId="77777777" w:rsidR="005647BA" w:rsidRPr="005241FC" w:rsidRDefault="005647BA" w:rsidP="00504F77">
      <w:pPr>
        <w:spacing w:after="120" w:line="276" w:lineRule="auto"/>
        <w:jc w:val="both"/>
        <w:rPr>
          <w:rFonts w:ascii="Times New Roman" w:hAnsi="Times New Roman" w:cs="Times New Roman"/>
          <w:lang w:val="bg-BG"/>
        </w:rPr>
      </w:pPr>
      <w:r w:rsidRPr="005241FC">
        <w:rPr>
          <w:rFonts w:ascii="Times New Roman" w:hAnsi="Times New Roman" w:cs="Times New Roman"/>
          <w:lang w:val="bg-BG"/>
        </w:rPr>
        <w:t xml:space="preserve">Постигането на целите в областта на устойчивото управление на отпадъците и ресурсната ефективност на национално ниво изискват </w:t>
      </w:r>
      <w:r w:rsidR="00784019" w:rsidRPr="005241FC">
        <w:rPr>
          <w:rFonts w:ascii="Times New Roman" w:hAnsi="Times New Roman" w:cs="Times New Roman"/>
          <w:lang w:val="bg-BG"/>
        </w:rPr>
        <w:t>синергични усилия в няколко посоки:</w:t>
      </w:r>
    </w:p>
    <w:p w14:paraId="4AA8A9FC" w14:textId="77777777" w:rsidR="00784019" w:rsidRPr="005241FC" w:rsidRDefault="00784019" w:rsidP="00784019">
      <w:pPr>
        <w:pStyle w:val="ListParagraph"/>
        <w:numPr>
          <w:ilvl w:val="0"/>
          <w:numId w:val="2"/>
        </w:numPr>
        <w:spacing w:after="120" w:line="276" w:lineRule="auto"/>
        <w:jc w:val="both"/>
        <w:rPr>
          <w:rFonts w:ascii="Times New Roman" w:hAnsi="Times New Roman" w:cs="Times New Roman"/>
          <w:lang w:val="bg-BG"/>
        </w:rPr>
      </w:pPr>
      <w:r w:rsidRPr="005241FC">
        <w:rPr>
          <w:rFonts w:ascii="Times New Roman" w:hAnsi="Times New Roman" w:cs="Times New Roman"/>
          <w:lang w:val="bg-BG"/>
        </w:rPr>
        <w:lastRenderedPageBreak/>
        <w:t>Разработване и прилагане на комплексни програми за преход към кръгова икономика, която обвързва различни нива на планиране – национално, регионално и местно;</w:t>
      </w:r>
    </w:p>
    <w:p w14:paraId="438E1172" w14:textId="77777777" w:rsidR="00784019" w:rsidRPr="005241FC" w:rsidRDefault="00784019" w:rsidP="00784019">
      <w:pPr>
        <w:pStyle w:val="ListParagraph"/>
        <w:numPr>
          <w:ilvl w:val="0"/>
          <w:numId w:val="2"/>
        </w:numPr>
        <w:spacing w:after="120" w:line="276" w:lineRule="auto"/>
        <w:jc w:val="both"/>
        <w:rPr>
          <w:rFonts w:ascii="Times New Roman" w:hAnsi="Times New Roman" w:cs="Times New Roman"/>
          <w:lang w:val="bg-BG"/>
        </w:rPr>
      </w:pPr>
      <w:r w:rsidRPr="005241FC">
        <w:rPr>
          <w:rFonts w:ascii="Times New Roman" w:hAnsi="Times New Roman" w:cs="Times New Roman"/>
          <w:lang w:val="bg-BG"/>
        </w:rPr>
        <w:t>Мобилизиране на потенциала за партньорство с частния сектор, чрез прилагане на подходящи инструменти за стимулиране на технологичната модернизация и прилагане на иновации;</w:t>
      </w:r>
    </w:p>
    <w:p w14:paraId="3C4027A5" w14:textId="77777777" w:rsidR="00784019" w:rsidRPr="005241FC" w:rsidRDefault="00784019" w:rsidP="00784019">
      <w:pPr>
        <w:pStyle w:val="ListParagraph"/>
        <w:numPr>
          <w:ilvl w:val="0"/>
          <w:numId w:val="2"/>
        </w:numPr>
        <w:spacing w:after="120" w:line="276" w:lineRule="auto"/>
        <w:jc w:val="both"/>
        <w:rPr>
          <w:rFonts w:ascii="Times New Roman" w:hAnsi="Times New Roman" w:cs="Times New Roman"/>
          <w:lang w:val="bg-BG"/>
        </w:rPr>
      </w:pPr>
      <w:r w:rsidRPr="005241FC">
        <w:rPr>
          <w:rFonts w:ascii="Times New Roman" w:hAnsi="Times New Roman" w:cs="Times New Roman"/>
          <w:lang w:val="bg-BG"/>
        </w:rPr>
        <w:t>Целенасочени усилия върху контрола и прилагането на законодателството в областта на отпадъците;</w:t>
      </w:r>
    </w:p>
    <w:p w14:paraId="043DA7A2" w14:textId="77777777" w:rsidR="00784019" w:rsidRPr="005241FC" w:rsidRDefault="00784019" w:rsidP="00784019">
      <w:pPr>
        <w:pStyle w:val="ListParagraph"/>
        <w:numPr>
          <w:ilvl w:val="0"/>
          <w:numId w:val="2"/>
        </w:numPr>
        <w:spacing w:after="120" w:line="276" w:lineRule="auto"/>
        <w:jc w:val="both"/>
        <w:rPr>
          <w:rFonts w:ascii="Times New Roman" w:hAnsi="Times New Roman" w:cs="Times New Roman"/>
          <w:lang w:val="bg-BG"/>
        </w:rPr>
      </w:pPr>
      <w:r w:rsidRPr="005241FC">
        <w:rPr>
          <w:rFonts w:ascii="Times New Roman" w:hAnsi="Times New Roman" w:cs="Times New Roman"/>
          <w:lang w:val="bg-BG"/>
        </w:rPr>
        <w:t>Осигуряване на адекватни и навременни ресурси за ускоряване процеса на изграждане на инфраструктура и ресурси за управление на отпадъците;</w:t>
      </w:r>
    </w:p>
    <w:p w14:paraId="4C54984A" w14:textId="77777777" w:rsidR="00784019" w:rsidRPr="005241FC" w:rsidRDefault="00784019" w:rsidP="00784019">
      <w:pPr>
        <w:pStyle w:val="ListParagraph"/>
        <w:numPr>
          <w:ilvl w:val="0"/>
          <w:numId w:val="2"/>
        </w:numPr>
        <w:spacing w:after="120" w:line="276" w:lineRule="auto"/>
        <w:jc w:val="both"/>
        <w:rPr>
          <w:rFonts w:ascii="Times New Roman" w:hAnsi="Times New Roman" w:cs="Times New Roman"/>
          <w:lang w:val="bg-BG"/>
        </w:rPr>
      </w:pPr>
      <w:r w:rsidRPr="005241FC">
        <w:rPr>
          <w:rFonts w:ascii="Times New Roman" w:hAnsi="Times New Roman" w:cs="Times New Roman"/>
          <w:lang w:val="bg-BG"/>
        </w:rPr>
        <w:t xml:space="preserve">Промяна на моделите на потребление, чрез информираност и активно </w:t>
      </w:r>
      <w:r w:rsidR="007578C8" w:rsidRPr="005241FC">
        <w:rPr>
          <w:rFonts w:ascii="Times New Roman" w:hAnsi="Times New Roman" w:cs="Times New Roman"/>
          <w:lang w:val="bg-BG"/>
        </w:rPr>
        <w:t>въвличане на общности и заинтересовани страни.</w:t>
      </w:r>
    </w:p>
    <w:p w14:paraId="64632FB0" w14:textId="77777777" w:rsidR="007578C8" w:rsidRDefault="007578C8" w:rsidP="007578C8">
      <w:pPr>
        <w:spacing w:after="120" w:line="276" w:lineRule="auto"/>
        <w:jc w:val="both"/>
        <w:rPr>
          <w:rFonts w:ascii="Times New Roman" w:hAnsi="Times New Roman" w:cs="Times New Roman"/>
          <w:lang w:val="bg-BG"/>
        </w:rPr>
      </w:pPr>
      <w:bookmarkStart w:id="72" w:name="_Hlk72812449"/>
      <w:bookmarkStart w:id="73" w:name="_Hlk72863285"/>
      <w:r w:rsidRPr="005241FC">
        <w:rPr>
          <w:rFonts w:ascii="Times New Roman" w:hAnsi="Times New Roman" w:cs="Times New Roman"/>
          <w:lang w:val="bg-BG"/>
        </w:rPr>
        <w:t xml:space="preserve">Резултатите от анализа на настоящото състояние, тенценции и перспективи </w:t>
      </w:r>
      <w:r w:rsidR="001569BD" w:rsidRPr="005241FC">
        <w:rPr>
          <w:rFonts w:ascii="Times New Roman" w:hAnsi="Times New Roman" w:cs="Times New Roman"/>
          <w:lang w:val="bg-BG"/>
        </w:rPr>
        <w:t>в сектор отпадъци са разгледани в контекста на възможните решения и препоръки по-долу:</w:t>
      </w:r>
    </w:p>
    <w:p w14:paraId="4C2966DA" w14:textId="77777777" w:rsidR="005241FC" w:rsidRPr="005241FC" w:rsidRDefault="005241FC" w:rsidP="007578C8">
      <w:pPr>
        <w:spacing w:after="120" w:line="276" w:lineRule="auto"/>
        <w:jc w:val="both"/>
        <w:rPr>
          <w:rFonts w:ascii="Times New Roman" w:hAnsi="Times New Roman" w:cs="Times New Roman"/>
          <w:lang w:val="bg-BG"/>
        </w:rPr>
      </w:pPr>
    </w:p>
    <w:tbl>
      <w:tblPr>
        <w:tblW w:w="9576" w:type="dxa"/>
        <w:tblCellMar>
          <w:left w:w="10" w:type="dxa"/>
          <w:right w:w="10" w:type="dxa"/>
        </w:tblCellMar>
        <w:tblLook w:val="04A0" w:firstRow="1" w:lastRow="0" w:firstColumn="1" w:lastColumn="0" w:noHBand="0" w:noVBand="1"/>
      </w:tblPr>
      <w:tblGrid>
        <w:gridCol w:w="4135"/>
        <w:gridCol w:w="5441"/>
      </w:tblGrid>
      <w:tr w:rsidR="007578C8" w:rsidRPr="00AC4E7D" w14:paraId="3321B212" w14:textId="77777777" w:rsidTr="006279C2">
        <w:tc>
          <w:tcPr>
            <w:tcW w:w="9576" w:type="dxa"/>
            <w:gridSpan w:val="2"/>
            <w:tcBorders>
              <w:top w:val="doub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6B5B92F5" w14:textId="77777777" w:rsidR="007578C8" w:rsidRPr="00AC4E7D" w:rsidRDefault="007578C8" w:rsidP="00C04BF9">
            <w:pPr>
              <w:pStyle w:val="a"/>
              <w:numPr>
                <w:ilvl w:val="0"/>
                <w:numId w:val="0"/>
              </w:numPr>
              <w:spacing w:after="120" w:line="276" w:lineRule="auto"/>
              <w:ind w:left="360" w:hanging="360"/>
              <w:textAlignment w:val="auto"/>
              <w:rPr>
                <w:b/>
                <w:bCs/>
                <w:sz w:val="20"/>
                <w:szCs w:val="20"/>
                <w:lang w:val="bg-BG"/>
              </w:rPr>
            </w:pPr>
            <w:bookmarkStart w:id="74" w:name="_Hlk72812420"/>
            <w:bookmarkEnd w:id="72"/>
            <w:r w:rsidRPr="00AC4E7D">
              <w:rPr>
                <w:b/>
                <w:bCs/>
                <w:sz w:val="20"/>
                <w:szCs w:val="20"/>
                <w:lang w:val="bg-BG"/>
              </w:rPr>
              <w:t>Кръгово (вторично) използване на материалите</w:t>
            </w:r>
            <w:r w:rsidR="00344BD9" w:rsidRPr="00AC4E7D">
              <w:rPr>
                <w:b/>
                <w:bCs/>
                <w:sz w:val="20"/>
                <w:szCs w:val="20"/>
                <w:lang w:val="bg-BG"/>
              </w:rPr>
              <w:t xml:space="preserve"> и ресурсна ефективност</w:t>
            </w:r>
          </w:p>
        </w:tc>
      </w:tr>
      <w:tr w:rsidR="007578C8" w:rsidRPr="00AC4E7D" w14:paraId="43858A91"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2EB93A20" w14:textId="77777777" w:rsidR="007578C8" w:rsidRPr="00AC4E7D" w:rsidRDefault="007578C8" w:rsidP="00C04BF9">
            <w:pPr>
              <w:pStyle w:val="a"/>
              <w:numPr>
                <w:ilvl w:val="0"/>
                <w:numId w:val="0"/>
              </w:numPr>
              <w:spacing w:after="120" w:line="276" w:lineRule="auto"/>
              <w:ind w:left="360" w:hanging="360"/>
              <w:textAlignment w:val="auto"/>
              <w:rPr>
                <w:b/>
                <w:bCs/>
                <w:sz w:val="20"/>
                <w:szCs w:val="20"/>
                <w:lang w:val="bg-BG"/>
              </w:rPr>
            </w:pPr>
            <w:r w:rsidRPr="00AC4E7D">
              <w:rPr>
                <w:b/>
                <w:bCs/>
                <w:sz w:val="20"/>
                <w:szCs w:val="20"/>
                <w:lang w:val="bg-BG"/>
              </w:rPr>
              <w:t>Предизвик</w:t>
            </w:r>
            <w:r w:rsidR="006279C2" w:rsidRPr="00AC4E7D">
              <w:rPr>
                <w:b/>
                <w:bCs/>
                <w:sz w:val="20"/>
                <w:szCs w:val="20"/>
                <w:lang w:val="bg-BG"/>
              </w:rPr>
              <w:t>а</w:t>
            </w:r>
            <w:r w:rsidRPr="00AC4E7D">
              <w:rPr>
                <w:b/>
                <w:bCs/>
                <w:sz w:val="20"/>
                <w:szCs w:val="20"/>
                <w:lang w:val="bg-BG"/>
              </w:rPr>
              <w:t>телства</w:t>
            </w:r>
          </w:p>
        </w:tc>
        <w:tc>
          <w:tcPr>
            <w:tcW w:w="5441"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tcPr>
          <w:p w14:paraId="12F7B272" w14:textId="77777777" w:rsidR="007578C8" w:rsidRPr="00AC4E7D" w:rsidRDefault="00AC4E7D" w:rsidP="00C04BF9">
            <w:pPr>
              <w:pStyle w:val="a"/>
              <w:numPr>
                <w:ilvl w:val="0"/>
                <w:numId w:val="0"/>
              </w:numPr>
              <w:spacing w:after="120" w:line="276" w:lineRule="auto"/>
              <w:ind w:left="360" w:hanging="360"/>
              <w:textAlignment w:val="auto"/>
              <w:rPr>
                <w:b/>
                <w:sz w:val="20"/>
                <w:szCs w:val="20"/>
                <w:lang w:val="bg-BG"/>
              </w:rPr>
            </w:pPr>
            <w:r>
              <w:rPr>
                <w:b/>
                <w:sz w:val="20"/>
                <w:szCs w:val="20"/>
                <w:lang w:val="bg-BG"/>
              </w:rPr>
              <w:t xml:space="preserve">Препоръки </w:t>
            </w:r>
          </w:p>
        </w:tc>
      </w:tr>
      <w:tr w:rsidR="00AC4E7D" w:rsidRPr="00AC4E7D" w14:paraId="3651412E"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1BDA1" w14:textId="77777777" w:rsidR="00AC4E7D" w:rsidRPr="00AC4E7D" w:rsidRDefault="00AC4E7D" w:rsidP="00C04BF9">
            <w:pPr>
              <w:spacing w:after="120" w:line="276" w:lineRule="auto"/>
              <w:jc w:val="both"/>
              <w:rPr>
                <w:rFonts w:ascii="Times New Roman" w:hAnsi="Times New Roman" w:cs="Times New Roman"/>
                <w:color w:val="FF0000"/>
                <w:sz w:val="20"/>
                <w:szCs w:val="20"/>
              </w:rPr>
            </w:pPr>
            <w:r w:rsidRPr="00AC4E7D">
              <w:rPr>
                <w:rFonts w:ascii="Times New Roman" w:hAnsi="Times New Roman" w:cs="Times New Roman"/>
                <w:sz w:val="20"/>
                <w:szCs w:val="20"/>
                <w:lang w:val="bg-BG"/>
              </w:rPr>
              <w:t>Повишаване производителността на ресурсите и нормата на кръговото (вторично) използване на материалите в икономиката на България.</w:t>
            </w:r>
          </w:p>
        </w:tc>
        <w:tc>
          <w:tcPr>
            <w:tcW w:w="54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A74CB57" w14:textId="77777777" w:rsidR="00AC4E7D" w:rsidRPr="00AC4E7D" w:rsidRDefault="00AC4E7D" w:rsidP="00C04BF9">
            <w:pPr>
              <w:pStyle w:val="a"/>
              <w:numPr>
                <w:ilvl w:val="0"/>
                <w:numId w:val="0"/>
              </w:numPr>
              <w:spacing w:after="120" w:line="276" w:lineRule="auto"/>
              <w:textAlignment w:val="auto"/>
              <w:rPr>
                <w:sz w:val="20"/>
                <w:szCs w:val="20"/>
                <w:lang w:val="bg-BG"/>
              </w:rPr>
            </w:pPr>
            <w:r w:rsidRPr="00AC4E7D">
              <w:rPr>
                <w:sz w:val="20"/>
                <w:szCs w:val="20"/>
                <w:lang w:val="bg-BG"/>
              </w:rPr>
              <w:t>Въвеждане на механизми</w:t>
            </w:r>
            <w:r>
              <w:rPr>
                <w:sz w:val="20"/>
                <w:szCs w:val="20"/>
                <w:lang w:val="bg-BG"/>
              </w:rPr>
              <w:t xml:space="preserve"> (нормативни и икономически)</w:t>
            </w:r>
            <w:r w:rsidRPr="00AC4E7D">
              <w:rPr>
                <w:sz w:val="20"/>
                <w:szCs w:val="20"/>
                <w:lang w:val="bg-BG"/>
              </w:rPr>
              <w:t xml:space="preserve"> за стимулиране производството на устойчиви продукти, с по-дълъг полезен живот, по-лесни за повторна употреба, ремонт и рециклиране, с възможно най-голямо съдържание на рециклирани суровини </w:t>
            </w:r>
          </w:p>
          <w:p w14:paraId="5DA99A33" w14:textId="77777777" w:rsidR="00AC4E7D" w:rsidRPr="00AC4E7D" w:rsidRDefault="00AC4E7D" w:rsidP="00C04BF9">
            <w:pPr>
              <w:pStyle w:val="a"/>
              <w:numPr>
                <w:ilvl w:val="0"/>
                <w:numId w:val="0"/>
              </w:numPr>
              <w:spacing w:after="120" w:line="276" w:lineRule="auto"/>
              <w:textAlignment w:val="auto"/>
              <w:rPr>
                <w:sz w:val="20"/>
                <w:szCs w:val="20"/>
                <w:lang w:val="bg-BG"/>
              </w:rPr>
            </w:pPr>
            <w:r w:rsidRPr="00AC4E7D">
              <w:rPr>
                <w:sz w:val="20"/>
                <w:szCs w:val="20"/>
                <w:lang w:val="bg-BG"/>
              </w:rPr>
              <w:t>Въвеждане на информационна и система за мониторинг на кръговото използване на материалите</w:t>
            </w:r>
            <w:r>
              <w:rPr>
                <w:sz w:val="20"/>
                <w:szCs w:val="20"/>
                <w:lang w:val="bg-BG"/>
              </w:rPr>
              <w:t>.</w:t>
            </w:r>
          </w:p>
          <w:p w14:paraId="4E8D8F50" w14:textId="77777777" w:rsidR="00AC4E7D" w:rsidRDefault="00AC4E7D" w:rsidP="00C04BF9">
            <w:pPr>
              <w:pStyle w:val="a"/>
              <w:numPr>
                <w:ilvl w:val="0"/>
                <w:numId w:val="0"/>
              </w:numPr>
              <w:spacing w:after="120" w:line="276" w:lineRule="auto"/>
              <w:textAlignment w:val="auto"/>
              <w:rPr>
                <w:sz w:val="20"/>
                <w:szCs w:val="20"/>
                <w:lang w:val="bg-BG"/>
              </w:rPr>
            </w:pPr>
            <w:r w:rsidRPr="00AC4E7D">
              <w:rPr>
                <w:sz w:val="20"/>
                <w:szCs w:val="20"/>
                <w:lang w:val="bg-BG"/>
              </w:rPr>
              <w:t>Въвеждане на критерия „ресурсна ефективност“ при оценка, подбор и финансиране с публични средства на проекти за технологична модернизация на предприятия с фокус МСП.</w:t>
            </w:r>
          </w:p>
          <w:p w14:paraId="27BFC269" w14:textId="77777777" w:rsidR="00AC4E7D" w:rsidRDefault="00AC4E7D" w:rsidP="00C04BF9">
            <w:pPr>
              <w:pStyle w:val="a"/>
              <w:numPr>
                <w:ilvl w:val="0"/>
                <w:numId w:val="0"/>
              </w:numPr>
              <w:spacing w:after="120" w:line="276" w:lineRule="auto"/>
              <w:textAlignment w:val="auto"/>
              <w:rPr>
                <w:sz w:val="20"/>
                <w:szCs w:val="20"/>
                <w:lang w:val="bg-BG"/>
              </w:rPr>
            </w:pPr>
            <w:r>
              <w:rPr>
                <w:sz w:val="20"/>
                <w:szCs w:val="20"/>
                <w:lang w:val="bg-BG"/>
              </w:rPr>
              <w:t>Програми за осигуряване на връзката научни изследвания – бизнес за разработване и прилагане на иновативни решения за ресурсна ефективност.</w:t>
            </w:r>
          </w:p>
          <w:p w14:paraId="02920187" w14:textId="77777777" w:rsidR="009B7AA4" w:rsidRPr="00025AFD" w:rsidRDefault="009B7AA4" w:rsidP="00C04BF9">
            <w:pPr>
              <w:pStyle w:val="a"/>
              <w:numPr>
                <w:ilvl w:val="0"/>
                <w:numId w:val="0"/>
              </w:numPr>
              <w:spacing w:after="120" w:line="276" w:lineRule="auto"/>
              <w:textAlignment w:val="auto"/>
              <w:rPr>
                <w:sz w:val="20"/>
                <w:szCs w:val="20"/>
                <w:lang w:val="bg-BG"/>
              </w:rPr>
            </w:pPr>
            <w:r>
              <w:rPr>
                <w:sz w:val="20"/>
                <w:szCs w:val="20"/>
                <w:lang w:val="bg-BG"/>
              </w:rPr>
              <w:t xml:space="preserve">Информационни кампании за популяризиране на възможностите на схемата на Общността за управление </w:t>
            </w:r>
            <w:r w:rsidR="00025AFD">
              <w:rPr>
                <w:sz w:val="20"/>
                <w:szCs w:val="20"/>
                <w:lang w:val="bg-BG"/>
              </w:rPr>
              <w:t>по</w:t>
            </w:r>
            <w:r>
              <w:rPr>
                <w:sz w:val="20"/>
                <w:szCs w:val="20"/>
                <w:lang w:val="bg-BG"/>
              </w:rPr>
              <w:t xml:space="preserve"> околна среда и одит </w:t>
            </w:r>
            <w:r w:rsidR="00025AFD">
              <w:rPr>
                <w:sz w:val="20"/>
                <w:szCs w:val="20"/>
                <w:lang w:val="en-US"/>
              </w:rPr>
              <w:t>EMAS</w:t>
            </w:r>
            <w:r w:rsidR="00025AFD">
              <w:rPr>
                <w:sz w:val="20"/>
                <w:szCs w:val="20"/>
                <w:lang w:val="bg-BG"/>
              </w:rPr>
              <w:t>.</w:t>
            </w:r>
          </w:p>
        </w:tc>
      </w:tr>
      <w:tr w:rsidR="00AC4E7D" w:rsidRPr="00AC4E7D" w14:paraId="1FB1D984" w14:textId="77777777" w:rsidTr="00710B61">
        <w:tc>
          <w:tcPr>
            <w:tcW w:w="413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63E50D6" w14:textId="77777777" w:rsidR="00AC4E7D" w:rsidRPr="00AC4E7D" w:rsidRDefault="00AC4E7D" w:rsidP="00C04BF9">
            <w:pPr>
              <w:pStyle w:val="a"/>
              <w:numPr>
                <w:ilvl w:val="0"/>
                <w:numId w:val="0"/>
              </w:numPr>
              <w:spacing w:after="120" w:line="276" w:lineRule="auto"/>
              <w:textAlignment w:val="auto"/>
              <w:rPr>
                <w:b/>
                <w:sz w:val="20"/>
                <w:szCs w:val="20"/>
              </w:rPr>
            </w:pPr>
            <w:r w:rsidRPr="00AC4E7D">
              <w:rPr>
                <w:sz w:val="20"/>
                <w:szCs w:val="20"/>
                <w:lang w:val="bg-BG"/>
              </w:rPr>
              <w:t>Повишаване активността на българските предприятия по отношение на прилагането на принципа на кръгова икономика и внедряването на екоиновационни дейности.</w:t>
            </w:r>
          </w:p>
        </w:tc>
        <w:tc>
          <w:tcPr>
            <w:tcW w:w="5441"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FB00B63" w14:textId="77777777" w:rsidR="00AC4E7D" w:rsidRPr="00AC4E7D" w:rsidRDefault="00AC4E7D" w:rsidP="00C04BF9">
            <w:pPr>
              <w:pStyle w:val="a"/>
              <w:numPr>
                <w:ilvl w:val="0"/>
                <w:numId w:val="0"/>
              </w:numPr>
              <w:spacing w:after="120" w:line="276" w:lineRule="auto"/>
              <w:textAlignment w:val="auto"/>
              <w:rPr>
                <w:sz w:val="20"/>
                <w:szCs w:val="20"/>
                <w:lang w:val="bg-BG"/>
              </w:rPr>
            </w:pPr>
          </w:p>
        </w:tc>
      </w:tr>
      <w:tr w:rsidR="00AC4E7D" w:rsidRPr="00AC4E7D" w14:paraId="47319317" w14:textId="77777777" w:rsidTr="00710B61">
        <w:tc>
          <w:tcPr>
            <w:tcW w:w="413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25CDF" w14:textId="77777777" w:rsidR="00AC4E7D" w:rsidRPr="00AC4E7D" w:rsidRDefault="00AC4E7D" w:rsidP="00C04BF9">
            <w:pPr>
              <w:spacing w:after="120" w:line="276" w:lineRule="auto"/>
              <w:rPr>
                <w:rFonts w:ascii="Times New Roman" w:hAnsi="Times New Roman" w:cs="Times New Roman"/>
                <w:sz w:val="20"/>
                <w:szCs w:val="20"/>
              </w:rPr>
            </w:pPr>
            <w:r w:rsidRPr="00AC4E7D">
              <w:rPr>
                <w:rFonts w:ascii="Times New Roman" w:hAnsi="Times New Roman" w:cs="Times New Roman"/>
                <w:sz w:val="20"/>
                <w:szCs w:val="20"/>
                <w:lang w:val="bg-BG"/>
              </w:rPr>
              <w:t>Повишаване дела на българските предприятия, които инвестират за повишаване на ресурсната ефективност.</w:t>
            </w:r>
          </w:p>
        </w:tc>
        <w:tc>
          <w:tcPr>
            <w:tcW w:w="5441" w:type="dxa"/>
            <w:vMerge/>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1882A" w14:textId="77777777" w:rsidR="00AC4E7D" w:rsidRPr="00AC4E7D" w:rsidRDefault="00AC4E7D" w:rsidP="00C04BF9">
            <w:pPr>
              <w:pStyle w:val="a0"/>
              <w:spacing w:after="120" w:line="276" w:lineRule="auto"/>
              <w:rPr>
                <w:sz w:val="20"/>
                <w:szCs w:val="20"/>
              </w:rPr>
            </w:pPr>
          </w:p>
        </w:tc>
      </w:tr>
      <w:tr w:rsidR="007578C8" w:rsidRPr="00AC4E7D" w14:paraId="098FE1C2" w14:textId="77777777" w:rsidTr="00F834BF">
        <w:tc>
          <w:tcPr>
            <w:tcW w:w="9576"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53E4BF68" w14:textId="77777777" w:rsidR="007578C8" w:rsidRPr="00AC4E7D" w:rsidRDefault="007578C8" w:rsidP="00C04BF9">
            <w:pPr>
              <w:pStyle w:val="a"/>
              <w:numPr>
                <w:ilvl w:val="0"/>
                <w:numId w:val="0"/>
              </w:numPr>
              <w:spacing w:after="120" w:line="276" w:lineRule="auto"/>
              <w:ind w:left="360" w:hanging="360"/>
              <w:textAlignment w:val="auto"/>
              <w:rPr>
                <w:b/>
                <w:bCs/>
                <w:sz w:val="20"/>
                <w:szCs w:val="20"/>
              </w:rPr>
            </w:pPr>
            <w:bookmarkStart w:id="75" w:name="_Hlk72782995"/>
            <w:r w:rsidRPr="00AC4E7D">
              <w:rPr>
                <w:b/>
                <w:bCs/>
                <w:sz w:val="20"/>
                <w:szCs w:val="20"/>
                <w:lang w:val="bg-BG"/>
              </w:rPr>
              <w:t xml:space="preserve">Образуване </w:t>
            </w:r>
            <w:r w:rsidR="00980EED" w:rsidRPr="00AC4E7D">
              <w:rPr>
                <w:b/>
                <w:bCs/>
                <w:sz w:val="20"/>
                <w:szCs w:val="20"/>
                <w:lang w:val="bg-BG"/>
              </w:rPr>
              <w:t xml:space="preserve">и управление </w:t>
            </w:r>
            <w:r w:rsidRPr="00AC4E7D">
              <w:rPr>
                <w:b/>
                <w:bCs/>
                <w:sz w:val="20"/>
                <w:szCs w:val="20"/>
                <w:lang w:val="bg-BG"/>
              </w:rPr>
              <w:t>на отпадъци</w:t>
            </w:r>
            <w:r w:rsidR="001945EE" w:rsidRPr="00AC4E7D">
              <w:rPr>
                <w:b/>
                <w:bCs/>
                <w:sz w:val="20"/>
                <w:szCs w:val="20"/>
                <w:lang w:val="bg-BG"/>
              </w:rPr>
              <w:t>те</w:t>
            </w:r>
          </w:p>
        </w:tc>
      </w:tr>
      <w:tr w:rsidR="007578C8" w:rsidRPr="00AC4E7D" w14:paraId="09CCD9BE"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6FD4954F" w14:textId="77777777" w:rsidR="007578C8" w:rsidRPr="00AC4E7D" w:rsidRDefault="007578C8" w:rsidP="00C04BF9">
            <w:pPr>
              <w:pStyle w:val="a0"/>
              <w:spacing w:after="120" w:line="276" w:lineRule="auto"/>
              <w:rPr>
                <w:b/>
                <w:sz w:val="20"/>
                <w:szCs w:val="20"/>
              </w:rPr>
            </w:pPr>
            <w:r w:rsidRPr="00AC4E7D">
              <w:rPr>
                <w:b/>
                <w:sz w:val="20"/>
                <w:szCs w:val="20"/>
              </w:rPr>
              <w:t>Предизвикателства</w:t>
            </w:r>
          </w:p>
        </w:tc>
        <w:tc>
          <w:tcPr>
            <w:tcW w:w="5441"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4970DCA1" w14:textId="77777777" w:rsidR="007578C8" w:rsidRPr="00AC4E7D" w:rsidRDefault="00AC4E7D" w:rsidP="00C04BF9">
            <w:pPr>
              <w:pStyle w:val="a"/>
              <w:numPr>
                <w:ilvl w:val="0"/>
                <w:numId w:val="0"/>
              </w:numPr>
              <w:spacing w:after="120" w:line="276" w:lineRule="auto"/>
              <w:ind w:left="360" w:hanging="360"/>
              <w:textAlignment w:val="auto"/>
              <w:rPr>
                <w:b/>
                <w:sz w:val="20"/>
                <w:szCs w:val="20"/>
                <w:lang w:val="bg-BG"/>
              </w:rPr>
            </w:pPr>
            <w:r>
              <w:rPr>
                <w:b/>
                <w:sz w:val="20"/>
                <w:szCs w:val="20"/>
                <w:lang w:val="bg-BG"/>
              </w:rPr>
              <w:t xml:space="preserve">Препоръки </w:t>
            </w:r>
          </w:p>
        </w:tc>
      </w:tr>
      <w:tr w:rsidR="007578C8" w:rsidRPr="00AC4E7D" w14:paraId="6FFFAC7F"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A0BEB" w14:textId="77777777" w:rsidR="00105CA9" w:rsidRPr="00AC4E7D" w:rsidRDefault="00105CA9" w:rsidP="00C04BF9">
            <w:pPr>
              <w:pStyle w:val="a0"/>
              <w:spacing w:after="120" w:line="276" w:lineRule="auto"/>
              <w:rPr>
                <w:sz w:val="20"/>
                <w:szCs w:val="20"/>
              </w:rPr>
            </w:pPr>
            <w:r w:rsidRPr="00AC4E7D">
              <w:rPr>
                <w:sz w:val="20"/>
                <w:szCs w:val="20"/>
              </w:rPr>
              <w:t>Намаляване на количествата образувани производствени отпадъци чрез мерки за технологична модернизация и подобряване производителността на труда.</w:t>
            </w:r>
          </w:p>
          <w:p w14:paraId="6C37EB31" w14:textId="77777777" w:rsidR="007578C8" w:rsidRPr="00AC4E7D" w:rsidRDefault="007578C8" w:rsidP="00C04BF9">
            <w:pPr>
              <w:pStyle w:val="a0"/>
              <w:spacing w:after="120" w:line="276" w:lineRule="auto"/>
              <w:rPr>
                <w:sz w:val="20"/>
                <w:szCs w:val="20"/>
              </w:rPr>
            </w:pP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6B92D" w14:textId="77777777" w:rsidR="007578C8" w:rsidRPr="00AC4E7D" w:rsidRDefault="002C4BCE" w:rsidP="00C04BF9">
            <w:pPr>
              <w:pStyle w:val="a0"/>
              <w:spacing w:after="120" w:line="276" w:lineRule="auto"/>
              <w:rPr>
                <w:sz w:val="20"/>
                <w:szCs w:val="20"/>
              </w:rPr>
            </w:pPr>
            <w:r w:rsidRPr="00AC4E7D">
              <w:rPr>
                <w:sz w:val="20"/>
                <w:szCs w:val="20"/>
              </w:rPr>
              <w:t>Идентифициране на критични за икономиката на страната суровини и въвеждане на мерки за предотвратяване на превръщането им в отпадък</w:t>
            </w:r>
            <w:r w:rsidR="00AC4E7D">
              <w:rPr>
                <w:sz w:val="20"/>
                <w:szCs w:val="20"/>
              </w:rPr>
              <w:t>.</w:t>
            </w:r>
          </w:p>
          <w:p w14:paraId="0C3ACF4A" w14:textId="77777777" w:rsidR="00AC4E7D" w:rsidRDefault="007B4871"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Прилагане на икономически мерки и бизнес модели за насърчаване на производствени процеси с нулев отпадък.</w:t>
            </w:r>
            <w:r w:rsidR="00AC4E7D">
              <w:rPr>
                <w:rFonts w:ascii="Times New Roman" w:hAnsi="Times New Roman" w:cs="Times New Roman"/>
                <w:sz w:val="20"/>
                <w:szCs w:val="20"/>
                <w:lang w:val="bg-BG" w:eastAsia="bg-BG"/>
              </w:rPr>
              <w:t xml:space="preserve"> </w:t>
            </w:r>
          </w:p>
          <w:p w14:paraId="472EF87D" w14:textId="77777777" w:rsidR="00CF07D6" w:rsidRPr="00AC4E7D" w:rsidRDefault="00CF07D6"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lastRenderedPageBreak/>
              <w:t>Подобряване на капацитета за сътрудничество с браншовите организации и бизнеса в областта на превенцията на отпадъците</w:t>
            </w:r>
          </w:p>
        </w:tc>
      </w:tr>
      <w:tr w:rsidR="001A7523" w:rsidRPr="00AC4E7D" w14:paraId="0C0251E6"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98337" w14:textId="77777777" w:rsidR="001A7523" w:rsidRPr="00AC4E7D" w:rsidRDefault="001A7523" w:rsidP="00C04BF9">
            <w:pPr>
              <w:pStyle w:val="a0"/>
              <w:spacing w:after="120" w:line="276" w:lineRule="auto"/>
              <w:rPr>
                <w:sz w:val="20"/>
                <w:szCs w:val="20"/>
              </w:rPr>
            </w:pPr>
            <w:r w:rsidRPr="00AC4E7D">
              <w:rPr>
                <w:sz w:val="20"/>
                <w:szCs w:val="20"/>
              </w:rPr>
              <w:lastRenderedPageBreak/>
              <w:t xml:space="preserve">Намаляване на количествата образувани </w:t>
            </w:r>
            <w:r w:rsidR="002C4BCE" w:rsidRPr="00AC4E7D">
              <w:rPr>
                <w:sz w:val="20"/>
                <w:szCs w:val="20"/>
              </w:rPr>
              <w:t xml:space="preserve">битови отпадъци, в това число </w:t>
            </w:r>
            <w:r w:rsidRPr="00AC4E7D">
              <w:rPr>
                <w:sz w:val="20"/>
                <w:szCs w:val="20"/>
              </w:rPr>
              <w:t>пластмасови отпадъци</w:t>
            </w: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B138" w14:textId="77777777" w:rsidR="002C4BCE" w:rsidRPr="00AC4E7D" w:rsidRDefault="002C4BCE" w:rsidP="00C04BF9">
            <w:pPr>
              <w:pStyle w:val="a0"/>
              <w:spacing w:after="120" w:line="276" w:lineRule="auto"/>
              <w:rPr>
                <w:sz w:val="20"/>
                <w:szCs w:val="20"/>
              </w:rPr>
            </w:pPr>
            <w:r w:rsidRPr="00AC4E7D">
              <w:rPr>
                <w:sz w:val="20"/>
                <w:szCs w:val="20"/>
              </w:rPr>
              <w:t>Мерки за насърчаване на проектирането, производството и употребата на трайни продукти, които могат да бъдат ремонтирани, повторно употребявани и рециклирани.</w:t>
            </w:r>
          </w:p>
          <w:p w14:paraId="704A7BD2" w14:textId="77777777" w:rsidR="001A7523" w:rsidRPr="00AC4E7D" w:rsidRDefault="001A7523" w:rsidP="00C04BF9">
            <w:pPr>
              <w:pStyle w:val="a0"/>
              <w:spacing w:after="120" w:line="276" w:lineRule="auto"/>
              <w:rPr>
                <w:bCs/>
                <w:sz w:val="20"/>
                <w:szCs w:val="20"/>
              </w:rPr>
            </w:pPr>
            <w:r w:rsidRPr="00AC4E7D">
              <w:rPr>
                <w:sz w:val="20"/>
                <w:szCs w:val="20"/>
              </w:rPr>
              <w:t xml:space="preserve">Разработване и изпълнение на конкретни програми от мерки за </w:t>
            </w:r>
            <w:r w:rsidR="002C4BCE" w:rsidRPr="00AC4E7D">
              <w:rPr>
                <w:sz w:val="20"/>
                <w:szCs w:val="20"/>
              </w:rPr>
              <w:t xml:space="preserve">намаляване на употребата на тънки пластмасови торбички, пластмасови продукти за еднократна употреба, </w:t>
            </w:r>
            <w:r w:rsidR="002C4BCE" w:rsidRPr="00AC4E7D">
              <w:rPr>
                <w:bCs/>
                <w:sz w:val="20"/>
                <w:szCs w:val="20"/>
              </w:rPr>
              <w:t>продукти, изработени от оксо-разградима пластмаса.</w:t>
            </w:r>
          </w:p>
          <w:p w14:paraId="747D1641" w14:textId="77777777" w:rsidR="007B4871" w:rsidRPr="00AC4E7D" w:rsidRDefault="007B4871"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Разработване и прилагане на икономически инструменти за предотвратяване образуването на МРО, включително изисквания за разделно събиране и рециклиране</w:t>
            </w:r>
            <w:r w:rsidR="00F74B3B">
              <w:rPr>
                <w:rFonts w:ascii="Times New Roman" w:hAnsi="Times New Roman" w:cs="Times New Roman"/>
                <w:sz w:val="20"/>
                <w:szCs w:val="20"/>
                <w:lang w:val="bg-BG" w:eastAsia="bg-BG"/>
              </w:rPr>
              <w:t xml:space="preserve"> в партньорство с бизнеса</w:t>
            </w:r>
            <w:r w:rsidRPr="00AC4E7D">
              <w:rPr>
                <w:rFonts w:ascii="Times New Roman" w:hAnsi="Times New Roman" w:cs="Times New Roman"/>
                <w:sz w:val="20"/>
                <w:szCs w:val="20"/>
                <w:lang w:val="bg-BG" w:eastAsia="bg-BG"/>
              </w:rPr>
              <w:t>.</w:t>
            </w:r>
          </w:p>
          <w:p w14:paraId="7DCBBC43" w14:textId="77777777" w:rsidR="007B4871" w:rsidRPr="00AC4E7D" w:rsidRDefault="007B4871"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 xml:space="preserve">Механизми за ефективен контрол на изпълнението на законодателството </w:t>
            </w:r>
            <w:r w:rsidR="00CF07D6" w:rsidRPr="00AC4E7D">
              <w:rPr>
                <w:rFonts w:ascii="Times New Roman" w:hAnsi="Times New Roman" w:cs="Times New Roman"/>
                <w:sz w:val="20"/>
                <w:szCs w:val="20"/>
                <w:lang w:val="bg-BG" w:eastAsia="bg-BG"/>
              </w:rPr>
              <w:t>в областта на отпадъците.</w:t>
            </w:r>
          </w:p>
        </w:tc>
      </w:tr>
      <w:tr w:rsidR="00AC4E7D" w:rsidRPr="00AC4E7D" w14:paraId="6B025EBD"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CAC43" w14:textId="77777777" w:rsidR="00AC4E7D" w:rsidRPr="00AC4E7D" w:rsidRDefault="00AC4E7D" w:rsidP="00C04BF9">
            <w:pPr>
              <w:pStyle w:val="a0"/>
              <w:spacing w:after="120" w:line="276" w:lineRule="auto"/>
              <w:rPr>
                <w:sz w:val="20"/>
                <w:szCs w:val="20"/>
              </w:rPr>
            </w:pPr>
            <w:r w:rsidRPr="00AC4E7D">
              <w:rPr>
                <w:sz w:val="20"/>
                <w:szCs w:val="20"/>
              </w:rPr>
              <w:t>Намаляване на количествата депонирани отпадъци, депонирането.</w:t>
            </w:r>
          </w:p>
          <w:p w14:paraId="113959AA" w14:textId="77777777" w:rsidR="00AC4E7D" w:rsidRPr="00AC4E7D" w:rsidRDefault="00AC4E7D" w:rsidP="00C04BF9">
            <w:pPr>
              <w:pStyle w:val="a0"/>
              <w:spacing w:after="120" w:line="276" w:lineRule="auto"/>
              <w:rPr>
                <w:sz w:val="20"/>
                <w:szCs w:val="20"/>
              </w:rPr>
            </w:pPr>
            <w:r w:rsidRPr="00AC4E7D">
              <w:rPr>
                <w:sz w:val="20"/>
                <w:szCs w:val="20"/>
              </w:rPr>
              <w:t>Осигурване на капацитет за управление и финансиране на дейностите за управление на отпадъците на ниво регионална система.</w:t>
            </w:r>
          </w:p>
          <w:p w14:paraId="603181A2" w14:textId="77777777" w:rsidR="00AC4E7D" w:rsidRPr="00AC4E7D" w:rsidRDefault="00AC4E7D" w:rsidP="00C04BF9">
            <w:pPr>
              <w:pStyle w:val="a0"/>
              <w:spacing w:after="120" w:line="276" w:lineRule="auto"/>
              <w:rPr>
                <w:sz w:val="20"/>
                <w:szCs w:val="20"/>
              </w:rPr>
            </w:pPr>
            <w:r w:rsidRPr="00AC4E7D">
              <w:rPr>
                <w:sz w:val="20"/>
                <w:szCs w:val="20"/>
              </w:rPr>
              <w:t>Ускоряване на процеса по изграждане на съоръжения за третиране в съотвествие с йерархията за управление на отпадъците.</w:t>
            </w: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70A80" w14:textId="77777777" w:rsidR="00AC4E7D" w:rsidRPr="0010518D" w:rsidRDefault="00AC4E7D" w:rsidP="00C04BF9">
            <w:pPr>
              <w:pStyle w:val="a0"/>
              <w:spacing w:after="120" w:line="276" w:lineRule="auto"/>
              <w:rPr>
                <w:sz w:val="20"/>
                <w:szCs w:val="20"/>
              </w:rPr>
            </w:pPr>
            <w:r w:rsidRPr="0010518D">
              <w:rPr>
                <w:sz w:val="20"/>
                <w:szCs w:val="20"/>
              </w:rPr>
              <w:t>Мобилизиране на ресурси и целенасочени инвестиции за доизграждане/надграждане на регионалните системи за управление на отпадъците</w:t>
            </w:r>
            <w:r w:rsidR="00F74B3B" w:rsidRPr="0010518D">
              <w:rPr>
                <w:sz w:val="20"/>
                <w:szCs w:val="20"/>
              </w:rPr>
              <w:t>.</w:t>
            </w:r>
          </w:p>
          <w:p w14:paraId="4E6ACADB" w14:textId="77777777" w:rsidR="00AC4E7D" w:rsidRPr="0010518D" w:rsidRDefault="00AC4E7D" w:rsidP="00C04BF9">
            <w:pPr>
              <w:pStyle w:val="a0"/>
              <w:spacing w:after="120" w:line="276" w:lineRule="auto"/>
              <w:rPr>
                <w:sz w:val="20"/>
                <w:szCs w:val="20"/>
              </w:rPr>
            </w:pPr>
            <w:r w:rsidRPr="0010518D">
              <w:rPr>
                <w:sz w:val="20"/>
                <w:szCs w:val="20"/>
              </w:rPr>
              <w:t>Разработване и прилагане на устойчиви механизми за финансиране на дейностите по закриване и рекултивация на общинските депа за битови отпадъци</w:t>
            </w:r>
            <w:r w:rsidR="00F74B3B" w:rsidRPr="0010518D">
              <w:rPr>
                <w:sz w:val="20"/>
                <w:szCs w:val="20"/>
              </w:rPr>
              <w:t>.</w:t>
            </w:r>
          </w:p>
          <w:p w14:paraId="71F52526" w14:textId="77777777" w:rsidR="00AC4E7D" w:rsidRPr="0010518D" w:rsidRDefault="00AC4E7D" w:rsidP="00C04BF9">
            <w:pPr>
              <w:pStyle w:val="a0"/>
              <w:spacing w:after="120" w:line="276" w:lineRule="auto"/>
              <w:rPr>
                <w:sz w:val="20"/>
                <w:szCs w:val="20"/>
              </w:rPr>
            </w:pPr>
            <w:r w:rsidRPr="0010518D">
              <w:rPr>
                <w:sz w:val="20"/>
                <w:szCs w:val="20"/>
              </w:rPr>
              <w:t>Програми за стимулиране на иновации и високотехнологични решения за оптимизиране на производствените процеси, екодизайн, използването на суровини и промишлена симбиоза</w:t>
            </w:r>
            <w:r w:rsidR="00F74B3B" w:rsidRPr="0010518D">
              <w:rPr>
                <w:sz w:val="20"/>
                <w:szCs w:val="20"/>
              </w:rPr>
              <w:t>.</w:t>
            </w:r>
          </w:p>
          <w:p w14:paraId="649F0ABA" w14:textId="77777777" w:rsidR="00AC4E7D" w:rsidRPr="0010518D" w:rsidRDefault="00AC4E7D" w:rsidP="00C04BF9">
            <w:pPr>
              <w:pStyle w:val="a0"/>
              <w:spacing w:after="120" w:line="276" w:lineRule="auto"/>
              <w:rPr>
                <w:sz w:val="20"/>
                <w:szCs w:val="20"/>
              </w:rPr>
            </w:pPr>
            <w:r w:rsidRPr="0010518D">
              <w:rPr>
                <w:sz w:val="20"/>
                <w:szCs w:val="20"/>
              </w:rPr>
              <w:t>Подкрепа за изпълнение на  проекти за научни изследвания и разработване на технологични решения за намаляване на количеството на най-широко генерираните производствени, в т.ч. опасни отпадъци</w:t>
            </w:r>
            <w:r w:rsidR="00025AFD" w:rsidRPr="0010518D">
              <w:rPr>
                <w:sz w:val="20"/>
                <w:szCs w:val="20"/>
              </w:rPr>
              <w:t>.</w:t>
            </w:r>
          </w:p>
          <w:p w14:paraId="446B7F60" w14:textId="77777777" w:rsidR="00AC4E7D" w:rsidRPr="0010518D" w:rsidRDefault="00025AFD" w:rsidP="00C04BF9">
            <w:pPr>
              <w:spacing w:after="120" w:line="276" w:lineRule="auto"/>
              <w:rPr>
                <w:rFonts w:ascii="Times New Roman" w:hAnsi="Times New Roman" w:cs="Times New Roman"/>
                <w:sz w:val="20"/>
                <w:szCs w:val="20"/>
              </w:rPr>
            </w:pPr>
            <w:r w:rsidRPr="0010518D">
              <w:rPr>
                <w:rFonts w:ascii="Times New Roman" w:hAnsi="Times New Roman" w:cs="Times New Roman"/>
                <w:sz w:val="20"/>
                <w:szCs w:val="20"/>
                <w:lang w:val="bg-BG" w:eastAsia="bg-BG"/>
              </w:rPr>
              <w:t xml:space="preserve">Ефективни действия в областта на мониторинга и контрола върху трафика на отпадъци, включително системи за проследяване и сътрудничество със страните </w:t>
            </w:r>
            <w:r w:rsidR="0010518D" w:rsidRPr="0010518D">
              <w:rPr>
                <w:rFonts w:ascii="Times New Roman" w:hAnsi="Times New Roman" w:cs="Times New Roman"/>
                <w:sz w:val="20"/>
                <w:szCs w:val="20"/>
                <w:lang w:val="bg-BG" w:eastAsia="bg-BG"/>
              </w:rPr>
              <w:t>в рамките на Базелската конвенция.</w:t>
            </w:r>
          </w:p>
        </w:tc>
      </w:tr>
      <w:tr w:rsidR="007578C8" w:rsidRPr="00AC4E7D" w14:paraId="70D74E69"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962D5" w14:textId="77777777" w:rsidR="00105CA9" w:rsidRPr="00AC4E7D" w:rsidRDefault="00105CA9" w:rsidP="00C04BF9">
            <w:pPr>
              <w:pStyle w:val="a0"/>
              <w:spacing w:after="120" w:line="276" w:lineRule="auto"/>
              <w:rPr>
                <w:sz w:val="20"/>
                <w:szCs w:val="20"/>
              </w:rPr>
            </w:pPr>
            <w:r w:rsidRPr="00AC4E7D">
              <w:rPr>
                <w:sz w:val="20"/>
                <w:szCs w:val="20"/>
              </w:rPr>
              <w:t>Повишаване дела на количествата рециклирани и оползотворени битови отпадъци.</w:t>
            </w:r>
          </w:p>
          <w:p w14:paraId="7E516E0D" w14:textId="77777777" w:rsidR="00105CA9" w:rsidRPr="00AC4E7D" w:rsidRDefault="00105CA9"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Осигуряване на достатъчен капацитет на инфраструктурата за рециклиране и оползотворяване.</w:t>
            </w:r>
          </w:p>
          <w:p w14:paraId="14F7DF69" w14:textId="77777777" w:rsidR="007578C8" w:rsidRPr="00AC4E7D" w:rsidRDefault="007578C8" w:rsidP="00C04BF9">
            <w:pPr>
              <w:pStyle w:val="a0"/>
              <w:spacing w:after="120" w:line="276" w:lineRule="auto"/>
              <w:rPr>
                <w:sz w:val="20"/>
                <w:szCs w:val="20"/>
              </w:rPr>
            </w:pP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28E33" w14:textId="77777777" w:rsidR="007578C8" w:rsidRPr="00AC4E7D" w:rsidRDefault="0029304E" w:rsidP="00C04BF9">
            <w:pPr>
              <w:pStyle w:val="a0"/>
              <w:spacing w:after="120" w:line="276" w:lineRule="auto"/>
              <w:rPr>
                <w:sz w:val="20"/>
                <w:szCs w:val="20"/>
              </w:rPr>
            </w:pPr>
            <w:r w:rsidRPr="00AC4E7D">
              <w:rPr>
                <w:sz w:val="20"/>
                <w:szCs w:val="20"/>
              </w:rPr>
              <w:t>Изграждане на инфраструктура за безвъзмездно предаване на разделно събрани отпадъци от домакинства</w:t>
            </w:r>
            <w:r w:rsidR="00F74B3B">
              <w:rPr>
                <w:sz w:val="20"/>
                <w:szCs w:val="20"/>
              </w:rPr>
              <w:t xml:space="preserve"> в големите общини.</w:t>
            </w:r>
          </w:p>
          <w:p w14:paraId="0855DFD8" w14:textId="77777777" w:rsidR="0029304E" w:rsidRPr="00AC4E7D" w:rsidRDefault="0029304E" w:rsidP="00C04BF9">
            <w:pPr>
              <w:spacing w:after="120" w:line="276" w:lineRule="auto"/>
              <w:rPr>
                <w:rFonts w:ascii="Times New Roman" w:eastAsia="Times New Roman" w:hAnsi="Times New Roman" w:cs="Times New Roman"/>
                <w:sz w:val="20"/>
                <w:szCs w:val="20"/>
                <w:lang w:eastAsia="bg-BG"/>
              </w:rPr>
            </w:pPr>
            <w:proofErr w:type="spellStart"/>
            <w:r w:rsidRPr="00AC4E7D">
              <w:rPr>
                <w:rFonts w:ascii="Times New Roman" w:eastAsia="Times New Roman" w:hAnsi="Times New Roman" w:cs="Times New Roman"/>
                <w:sz w:val="20"/>
                <w:szCs w:val="20"/>
                <w:lang w:eastAsia="bg-BG"/>
              </w:rPr>
              <w:t>Създаване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центрове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за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подготовка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за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повторна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употреба</w:t>
            </w:r>
            <w:proofErr w:type="spellEnd"/>
            <w:r w:rsidRPr="00AC4E7D">
              <w:rPr>
                <w:rFonts w:ascii="Times New Roman" w:eastAsia="Times New Roman" w:hAnsi="Times New Roman" w:cs="Times New Roman"/>
                <w:sz w:val="20"/>
                <w:szCs w:val="20"/>
                <w:lang w:eastAsia="bg-BG"/>
              </w:rPr>
              <w:t xml:space="preserve"> и </w:t>
            </w:r>
            <w:proofErr w:type="spellStart"/>
            <w:r w:rsidRPr="00AC4E7D">
              <w:rPr>
                <w:rFonts w:ascii="Times New Roman" w:eastAsia="Times New Roman" w:hAnsi="Times New Roman" w:cs="Times New Roman"/>
                <w:sz w:val="20"/>
                <w:szCs w:val="20"/>
                <w:lang w:eastAsia="bg-BG"/>
              </w:rPr>
              <w:t>поправка</w:t>
            </w:r>
            <w:proofErr w:type="spellEnd"/>
            <w:r w:rsidRPr="00AC4E7D">
              <w:rPr>
                <w:rFonts w:ascii="Times New Roman" w:eastAsia="Times New Roman" w:hAnsi="Times New Roman" w:cs="Times New Roman"/>
                <w:sz w:val="20"/>
                <w:szCs w:val="20"/>
                <w:lang w:eastAsia="bg-BG"/>
              </w:rPr>
              <w:t>, и/</w:t>
            </w:r>
            <w:proofErr w:type="spellStart"/>
            <w:r w:rsidRPr="00AC4E7D">
              <w:rPr>
                <w:rFonts w:ascii="Times New Roman" w:eastAsia="Times New Roman" w:hAnsi="Times New Roman" w:cs="Times New Roman"/>
                <w:sz w:val="20"/>
                <w:szCs w:val="20"/>
                <w:lang w:eastAsia="bg-BG"/>
              </w:rPr>
              <w:t>или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друг</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начин</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за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предотвратяване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отпадъците</w:t>
            </w:r>
            <w:proofErr w:type="spellEnd"/>
            <w:r w:rsidR="00F74B3B">
              <w:rPr>
                <w:rFonts w:ascii="Times New Roman" w:eastAsia="Times New Roman" w:hAnsi="Times New Roman" w:cs="Times New Roman"/>
                <w:sz w:val="20"/>
                <w:szCs w:val="20"/>
                <w:lang w:val="bg-BG" w:eastAsia="bg-BG"/>
              </w:rPr>
              <w:t>.</w:t>
            </w:r>
            <w:r w:rsidRPr="00AC4E7D">
              <w:rPr>
                <w:rFonts w:ascii="Times New Roman" w:eastAsia="Times New Roman" w:hAnsi="Times New Roman" w:cs="Times New Roman"/>
                <w:sz w:val="20"/>
                <w:szCs w:val="20"/>
                <w:lang w:eastAsia="bg-BG"/>
              </w:rPr>
              <w:t xml:space="preserve">    </w:t>
            </w:r>
          </w:p>
          <w:p w14:paraId="6179267A" w14:textId="77777777" w:rsidR="0029304E" w:rsidRPr="00F74B3B" w:rsidRDefault="0029304E" w:rsidP="00C04BF9">
            <w:pPr>
              <w:spacing w:after="120" w:line="276" w:lineRule="auto"/>
              <w:rPr>
                <w:rFonts w:ascii="Times New Roman" w:eastAsia="Times New Roman" w:hAnsi="Times New Roman" w:cs="Times New Roman"/>
                <w:sz w:val="20"/>
                <w:szCs w:val="20"/>
                <w:lang w:val="bg-BG" w:eastAsia="bg-BG"/>
              </w:rPr>
            </w:pPr>
            <w:proofErr w:type="spellStart"/>
            <w:r w:rsidRPr="00AC4E7D">
              <w:rPr>
                <w:rFonts w:ascii="Times New Roman" w:eastAsia="Times New Roman" w:hAnsi="Times New Roman" w:cs="Times New Roman"/>
                <w:sz w:val="20"/>
                <w:szCs w:val="20"/>
                <w:lang w:eastAsia="bg-BG"/>
              </w:rPr>
              <w:lastRenderedPageBreak/>
              <w:t>Изграждане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инсталации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за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рециклиране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разделно</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събрани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отпадъци</w:t>
            </w:r>
            <w:proofErr w:type="spellEnd"/>
            <w:r w:rsidR="00F74B3B">
              <w:rPr>
                <w:rFonts w:ascii="Times New Roman" w:eastAsia="Times New Roman" w:hAnsi="Times New Roman" w:cs="Times New Roman"/>
                <w:sz w:val="20"/>
                <w:szCs w:val="20"/>
                <w:lang w:val="bg-BG" w:eastAsia="bg-BG"/>
              </w:rPr>
              <w:t>.</w:t>
            </w:r>
          </w:p>
          <w:p w14:paraId="7FC5FB52" w14:textId="77777777" w:rsidR="0029304E" w:rsidRPr="00AC4E7D" w:rsidRDefault="0029304E" w:rsidP="00C04BF9">
            <w:pPr>
              <w:spacing w:after="120" w:line="276" w:lineRule="auto"/>
              <w:rPr>
                <w:rFonts w:ascii="Times New Roman" w:eastAsia="Times New Roman" w:hAnsi="Times New Roman" w:cs="Times New Roman"/>
                <w:sz w:val="20"/>
                <w:szCs w:val="20"/>
                <w:lang w:val="bg-BG" w:eastAsia="bg-BG"/>
              </w:rPr>
            </w:pPr>
            <w:r w:rsidRPr="00AC4E7D">
              <w:rPr>
                <w:rFonts w:ascii="Times New Roman" w:eastAsia="Times New Roman" w:hAnsi="Times New Roman" w:cs="Times New Roman"/>
                <w:sz w:val="20"/>
                <w:szCs w:val="20"/>
                <w:lang w:val="bg-BG" w:eastAsia="bg-BG"/>
              </w:rPr>
              <w:t>Разширяване на обхвата и капацитета на системите за разделно събиране на отпадъци от бита</w:t>
            </w:r>
            <w:r w:rsidR="00F74B3B">
              <w:rPr>
                <w:rFonts w:ascii="Times New Roman" w:eastAsia="Times New Roman" w:hAnsi="Times New Roman" w:cs="Times New Roman"/>
                <w:sz w:val="20"/>
                <w:szCs w:val="20"/>
                <w:lang w:val="bg-BG" w:eastAsia="bg-BG"/>
              </w:rPr>
              <w:t>.</w:t>
            </w:r>
          </w:p>
          <w:p w14:paraId="6947734B" w14:textId="77777777" w:rsidR="00F72830" w:rsidRDefault="00F72830" w:rsidP="00C04BF9">
            <w:pPr>
              <w:spacing w:after="120" w:line="276" w:lineRule="auto"/>
              <w:rPr>
                <w:rFonts w:ascii="Times New Roman" w:eastAsia="Times New Roman" w:hAnsi="Times New Roman" w:cs="Times New Roman"/>
                <w:sz w:val="20"/>
                <w:szCs w:val="20"/>
                <w:lang w:val="bg-BG" w:eastAsia="bg-BG"/>
              </w:rPr>
            </w:pPr>
            <w:r w:rsidRPr="00AC4E7D">
              <w:rPr>
                <w:rFonts w:ascii="Times New Roman" w:eastAsia="Times New Roman" w:hAnsi="Times New Roman" w:cs="Times New Roman"/>
                <w:sz w:val="20"/>
                <w:szCs w:val="20"/>
                <w:lang w:val="bg-BG" w:eastAsia="bg-BG"/>
              </w:rPr>
              <w:t>Мерки за предотвратяване, разделно събиране и контрол върху управлението на отпадъците от опаковки</w:t>
            </w:r>
            <w:r w:rsidR="00F74B3B">
              <w:rPr>
                <w:rFonts w:ascii="Times New Roman" w:eastAsia="Times New Roman" w:hAnsi="Times New Roman" w:cs="Times New Roman"/>
                <w:sz w:val="20"/>
                <w:szCs w:val="20"/>
                <w:lang w:val="bg-BG" w:eastAsia="bg-BG"/>
              </w:rPr>
              <w:t>.</w:t>
            </w:r>
          </w:p>
          <w:p w14:paraId="751F03D9" w14:textId="77777777" w:rsidR="00AC7D28" w:rsidRPr="00AC4E7D" w:rsidRDefault="00AC7D28" w:rsidP="00C04BF9">
            <w:pPr>
              <w:spacing w:after="120" w:line="276" w:lineRule="auto"/>
              <w:rPr>
                <w:rFonts w:ascii="Times New Roman" w:eastAsia="Times New Roman" w:hAnsi="Times New Roman" w:cs="Times New Roman"/>
                <w:sz w:val="20"/>
                <w:szCs w:val="20"/>
                <w:lang w:val="bg-BG" w:eastAsia="bg-BG"/>
              </w:rPr>
            </w:pPr>
            <w:r>
              <w:rPr>
                <w:rFonts w:ascii="Times New Roman" w:eastAsia="Times New Roman" w:hAnsi="Times New Roman" w:cs="Times New Roman"/>
                <w:sz w:val="20"/>
                <w:szCs w:val="20"/>
                <w:lang w:val="bg-BG" w:eastAsia="bg-BG"/>
              </w:rPr>
              <w:t>Разширяване на обхвата на схемата за разширена отговорност на производителя по отношение на други специфични потоци отпадъци (текстил).</w:t>
            </w:r>
          </w:p>
          <w:p w14:paraId="41E3827C" w14:textId="77777777" w:rsidR="0029304E" w:rsidRPr="00AC4E7D" w:rsidRDefault="0029304E"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 xml:space="preserve">Разработване и прилагане на интелигентни системи за управление на </w:t>
            </w:r>
            <w:r w:rsidR="00293566" w:rsidRPr="00AC4E7D">
              <w:rPr>
                <w:rFonts w:ascii="Times New Roman" w:hAnsi="Times New Roman" w:cs="Times New Roman"/>
                <w:sz w:val="20"/>
                <w:szCs w:val="20"/>
                <w:lang w:val="bg-BG" w:eastAsia="bg-BG"/>
              </w:rPr>
              <w:t>отпадъците, включително системите за разделно събиране</w:t>
            </w:r>
            <w:r w:rsidR="00F74B3B">
              <w:rPr>
                <w:rFonts w:ascii="Times New Roman" w:hAnsi="Times New Roman" w:cs="Times New Roman"/>
                <w:sz w:val="20"/>
                <w:szCs w:val="20"/>
                <w:lang w:val="bg-BG" w:eastAsia="bg-BG"/>
              </w:rPr>
              <w:t>.</w:t>
            </w:r>
          </w:p>
          <w:p w14:paraId="5011A331" w14:textId="77777777" w:rsidR="00293566" w:rsidRPr="00AC4E7D" w:rsidRDefault="00293566"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Мерки за осигуряване на информираност и контрол относно нормативните изисквания за разделно събиране на рециклируеми отпадъци на всички нива – национално и общинско</w:t>
            </w:r>
          </w:p>
          <w:p w14:paraId="4FAE67F7" w14:textId="77777777" w:rsidR="00293566" w:rsidRPr="00AC4E7D" w:rsidRDefault="00293566"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Прилагане на изискванията на ЗМДТ относно формиране на такса битови отпадъци от общините при прилагане на принципа „замърсителят плаща“</w:t>
            </w:r>
          </w:p>
        </w:tc>
      </w:tr>
      <w:tr w:rsidR="007578C8" w:rsidRPr="00AC4E7D" w14:paraId="6E8AEAD2"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810A0" w14:textId="77777777" w:rsidR="007578C8" w:rsidRPr="00AC4E7D" w:rsidRDefault="00105CA9" w:rsidP="00C04BF9">
            <w:pPr>
              <w:spacing w:after="120" w:line="276" w:lineRule="auto"/>
              <w:rPr>
                <w:rFonts w:ascii="Times New Roman" w:hAnsi="Times New Roman" w:cs="Times New Roman"/>
                <w:sz w:val="20"/>
                <w:szCs w:val="20"/>
              </w:rPr>
            </w:pPr>
            <w:r w:rsidRPr="00AC4E7D">
              <w:rPr>
                <w:rFonts w:ascii="Times New Roman" w:eastAsia="Times New Roman" w:hAnsi="Times New Roman" w:cs="Times New Roman"/>
                <w:sz w:val="20"/>
                <w:szCs w:val="20"/>
                <w:lang w:val="bg-BG"/>
              </w:rPr>
              <w:lastRenderedPageBreak/>
              <w:t>Прилагане на</w:t>
            </w:r>
            <w:r w:rsidR="001945EE" w:rsidRPr="00AC4E7D">
              <w:rPr>
                <w:rFonts w:ascii="Times New Roman" w:eastAsia="Times New Roman" w:hAnsi="Times New Roman" w:cs="Times New Roman"/>
                <w:sz w:val="20"/>
                <w:szCs w:val="20"/>
                <w:lang w:val="bg-BG"/>
              </w:rPr>
              <w:t xml:space="preserve"> решения за оползотворяване</w:t>
            </w:r>
            <w:r w:rsidRPr="00AC4E7D">
              <w:rPr>
                <w:rFonts w:ascii="Times New Roman" w:eastAsia="Times New Roman" w:hAnsi="Times New Roman" w:cs="Times New Roman"/>
                <w:sz w:val="20"/>
                <w:szCs w:val="20"/>
                <w:lang w:val="bg-BG"/>
              </w:rPr>
              <w:t xml:space="preserve"> на утайките от ГПСОВ</w:t>
            </w:r>
            <w:r w:rsidR="001945EE" w:rsidRPr="00AC4E7D">
              <w:rPr>
                <w:rFonts w:ascii="Times New Roman" w:eastAsia="Times New Roman" w:hAnsi="Times New Roman" w:cs="Times New Roman"/>
                <w:sz w:val="20"/>
                <w:szCs w:val="20"/>
                <w:lang w:val="bg-BG"/>
              </w:rPr>
              <w:t xml:space="preserve"> като енергиен ресурс.</w:t>
            </w: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294FA" w14:textId="77777777" w:rsidR="007578C8" w:rsidRPr="009B7AA4" w:rsidRDefault="001E14BD" w:rsidP="00C04BF9">
            <w:pPr>
              <w:pStyle w:val="a0"/>
              <w:spacing w:after="120" w:line="276" w:lineRule="auto"/>
              <w:rPr>
                <w:sz w:val="20"/>
                <w:szCs w:val="20"/>
              </w:rPr>
            </w:pPr>
            <w:r w:rsidRPr="009B7AA4">
              <w:rPr>
                <w:sz w:val="20"/>
                <w:szCs w:val="20"/>
              </w:rPr>
              <w:t>Разработване и изпълнение на проекти за реконструкция и надграждане на съществуващи инсталации за третиране на утайки от ГПСОВ с цел стабилизиране и когенерация.</w:t>
            </w:r>
          </w:p>
          <w:p w14:paraId="64AA2644" w14:textId="77777777" w:rsidR="009B7AA4" w:rsidRPr="009B7AA4" w:rsidRDefault="001E14BD" w:rsidP="00C04BF9">
            <w:pPr>
              <w:spacing w:after="120" w:line="276" w:lineRule="auto"/>
              <w:rPr>
                <w:rFonts w:ascii="Times New Roman" w:hAnsi="Times New Roman" w:cs="Times New Roman"/>
                <w:sz w:val="20"/>
                <w:szCs w:val="20"/>
                <w:lang w:val="bg-BG" w:eastAsia="bg-BG"/>
              </w:rPr>
            </w:pPr>
            <w:r w:rsidRPr="009B7AA4">
              <w:rPr>
                <w:rFonts w:ascii="Times New Roman" w:hAnsi="Times New Roman" w:cs="Times New Roman"/>
                <w:sz w:val="20"/>
                <w:szCs w:val="20"/>
                <w:lang w:val="bg-BG" w:eastAsia="bg-BG"/>
              </w:rPr>
              <w:t>Приложение на технологии за съвместно изгаряне на утайки в съществуващи инсталации</w:t>
            </w:r>
            <w:r w:rsidR="009B7AA4" w:rsidRPr="009B7AA4">
              <w:rPr>
                <w:rFonts w:ascii="Times New Roman" w:hAnsi="Times New Roman" w:cs="Times New Roman"/>
                <w:sz w:val="20"/>
                <w:szCs w:val="20"/>
                <w:lang w:val="bg-BG" w:eastAsia="bg-BG"/>
              </w:rPr>
              <w:t>.</w:t>
            </w:r>
          </w:p>
        </w:tc>
      </w:tr>
      <w:tr w:rsidR="007578C8" w:rsidRPr="00AC4E7D" w14:paraId="2C76E744"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F7E9C" w14:textId="77777777" w:rsidR="007578C8" w:rsidRPr="00AC4E7D" w:rsidRDefault="00F74B3B" w:rsidP="00C04BF9">
            <w:pPr>
              <w:pStyle w:val="a3"/>
              <w:spacing w:after="120" w:line="276" w:lineRule="auto"/>
              <w:ind w:left="0"/>
              <w:textAlignment w:val="auto"/>
              <w:rPr>
                <w:iCs/>
                <w:sz w:val="20"/>
                <w:szCs w:val="20"/>
              </w:rPr>
            </w:pPr>
            <w:r>
              <w:rPr>
                <w:iCs/>
                <w:sz w:val="20"/>
                <w:szCs w:val="20"/>
              </w:rPr>
              <w:t>Р</w:t>
            </w:r>
            <w:r w:rsidR="001945EE" w:rsidRPr="00AC4E7D">
              <w:rPr>
                <w:iCs/>
                <w:sz w:val="20"/>
                <w:szCs w:val="20"/>
              </w:rPr>
              <w:t>азделно събиране и оползотворяване на биоразградими отпадъци.</w:t>
            </w: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91E7C" w14:textId="77777777" w:rsidR="007578C8" w:rsidRPr="00AC4E7D" w:rsidRDefault="00CF07D6" w:rsidP="00C04BF9">
            <w:pPr>
              <w:pStyle w:val="a0"/>
              <w:spacing w:after="120" w:line="276" w:lineRule="auto"/>
              <w:rPr>
                <w:sz w:val="20"/>
                <w:szCs w:val="20"/>
              </w:rPr>
            </w:pPr>
            <w:r w:rsidRPr="00AC4E7D">
              <w:rPr>
                <w:sz w:val="20"/>
                <w:szCs w:val="20"/>
              </w:rPr>
              <w:t>Мерки за насърчаване на компостирането от домакинствата</w:t>
            </w:r>
            <w:r w:rsidR="00F74B3B">
              <w:rPr>
                <w:sz w:val="20"/>
                <w:szCs w:val="20"/>
              </w:rPr>
              <w:t>.</w:t>
            </w:r>
          </w:p>
          <w:p w14:paraId="1B633F89" w14:textId="77777777" w:rsidR="00F74B3B" w:rsidRDefault="0029304E" w:rsidP="00C04BF9">
            <w:pPr>
              <w:spacing w:after="120" w:line="276" w:lineRule="auto"/>
              <w:rPr>
                <w:rFonts w:ascii="Times New Roman" w:eastAsia="Times New Roman" w:hAnsi="Times New Roman" w:cs="Times New Roman"/>
                <w:sz w:val="20"/>
                <w:szCs w:val="20"/>
                <w:lang w:val="bg-BG" w:eastAsia="bg-BG"/>
              </w:rPr>
            </w:pPr>
            <w:r w:rsidRPr="00AC4E7D">
              <w:rPr>
                <w:rFonts w:ascii="Times New Roman" w:hAnsi="Times New Roman" w:cs="Times New Roman"/>
                <w:sz w:val="20"/>
                <w:szCs w:val="20"/>
                <w:lang w:val="bg-BG" w:eastAsia="bg-BG"/>
              </w:rPr>
              <w:t xml:space="preserve">Надграждане на РСУО и осигуряване на </w:t>
            </w:r>
            <w:proofErr w:type="spellStart"/>
            <w:r w:rsidRPr="00AC4E7D">
              <w:rPr>
                <w:rFonts w:ascii="Times New Roman" w:eastAsia="Times New Roman" w:hAnsi="Times New Roman" w:cs="Times New Roman"/>
                <w:sz w:val="20"/>
                <w:szCs w:val="20"/>
                <w:lang w:eastAsia="bg-BG"/>
              </w:rPr>
              <w:t>необходима</w:t>
            </w:r>
            <w:proofErr w:type="spellEnd"/>
            <w:r w:rsidRPr="00AC4E7D">
              <w:rPr>
                <w:rFonts w:ascii="Times New Roman" w:eastAsia="Times New Roman" w:hAnsi="Times New Roman" w:cs="Times New Roman"/>
                <w:sz w:val="20"/>
                <w:szCs w:val="20"/>
                <w:lang w:val="bg-BG" w:eastAsia="bg-BG"/>
              </w:rPr>
              <w:t>та</w:t>
            </w:r>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инфраструктура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за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предварително</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третиране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смесено</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събрани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битови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отпадъци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със</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стабилизиране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биоразградимата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фракция</w:t>
            </w:r>
            <w:proofErr w:type="spellEnd"/>
            <w:r w:rsidRPr="00AC4E7D">
              <w:rPr>
                <w:rFonts w:ascii="Times New Roman" w:eastAsia="Times New Roman" w:hAnsi="Times New Roman" w:cs="Times New Roman"/>
                <w:sz w:val="20"/>
                <w:szCs w:val="20"/>
                <w:lang w:eastAsia="bg-BG"/>
              </w:rPr>
              <w:t xml:space="preserve"> и </w:t>
            </w:r>
            <w:proofErr w:type="spellStart"/>
            <w:r w:rsidRPr="00AC4E7D">
              <w:rPr>
                <w:rFonts w:ascii="Times New Roman" w:eastAsia="Times New Roman" w:hAnsi="Times New Roman" w:cs="Times New Roman"/>
                <w:sz w:val="20"/>
                <w:szCs w:val="20"/>
                <w:lang w:eastAsia="bg-BG"/>
              </w:rPr>
              <w:t>рециклиране</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на</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разделно</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събрани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битови</w:t>
            </w:r>
            <w:proofErr w:type="spellEnd"/>
            <w:r w:rsidRPr="00AC4E7D">
              <w:rPr>
                <w:rFonts w:ascii="Times New Roman" w:eastAsia="Times New Roman" w:hAnsi="Times New Roman" w:cs="Times New Roman"/>
                <w:sz w:val="20"/>
                <w:szCs w:val="20"/>
                <w:lang w:eastAsia="bg-BG"/>
              </w:rPr>
              <w:t xml:space="preserve"> </w:t>
            </w:r>
            <w:proofErr w:type="spellStart"/>
            <w:r w:rsidRPr="00AC4E7D">
              <w:rPr>
                <w:rFonts w:ascii="Times New Roman" w:eastAsia="Times New Roman" w:hAnsi="Times New Roman" w:cs="Times New Roman"/>
                <w:sz w:val="20"/>
                <w:szCs w:val="20"/>
                <w:lang w:eastAsia="bg-BG"/>
              </w:rPr>
              <w:t>отпадъци</w:t>
            </w:r>
            <w:proofErr w:type="spellEnd"/>
            <w:r w:rsidR="00F74B3B">
              <w:rPr>
                <w:rFonts w:ascii="Times New Roman" w:eastAsia="Times New Roman" w:hAnsi="Times New Roman" w:cs="Times New Roman"/>
                <w:sz w:val="20"/>
                <w:szCs w:val="20"/>
                <w:lang w:val="bg-BG" w:eastAsia="bg-BG"/>
              </w:rPr>
              <w:t>.</w:t>
            </w:r>
          </w:p>
          <w:p w14:paraId="49891EFF" w14:textId="77777777" w:rsidR="0029304E" w:rsidRPr="00AC4E7D" w:rsidRDefault="00F74B3B" w:rsidP="00C04BF9">
            <w:pPr>
              <w:spacing w:after="120" w:line="276" w:lineRule="auto"/>
              <w:rPr>
                <w:rFonts w:ascii="Times New Roman" w:hAnsi="Times New Roman" w:cs="Times New Roman"/>
                <w:sz w:val="20"/>
                <w:szCs w:val="20"/>
                <w:lang w:val="bg-BG" w:eastAsia="bg-BG"/>
              </w:rPr>
            </w:pPr>
            <w:r>
              <w:rPr>
                <w:rFonts w:ascii="Times New Roman" w:eastAsia="Times New Roman" w:hAnsi="Times New Roman" w:cs="Times New Roman"/>
                <w:sz w:val="20"/>
                <w:szCs w:val="20"/>
                <w:lang w:val="bg-BG" w:eastAsia="bg-BG"/>
              </w:rPr>
              <w:t xml:space="preserve">Въвеждане на системи за </w:t>
            </w:r>
            <w:r w:rsidR="0029304E" w:rsidRPr="00AC4E7D">
              <w:rPr>
                <w:rFonts w:ascii="Times New Roman" w:eastAsia="Times New Roman" w:hAnsi="Times New Roman" w:cs="Times New Roman"/>
                <w:sz w:val="20"/>
                <w:szCs w:val="20"/>
                <w:lang w:eastAsia="bg-BG"/>
              </w:rPr>
              <w:t xml:space="preserve"> </w:t>
            </w:r>
            <w:proofErr w:type="spellStart"/>
            <w:r w:rsidRPr="00AC4E7D">
              <w:rPr>
                <w:rFonts w:ascii="Times New Roman" w:hAnsi="Times New Roman" w:cs="Times New Roman"/>
                <w:iCs/>
                <w:sz w:val="20"/>
                <w:szCs w:val="20"/>
              </w:rPr>
              <w:t>задължително</w:t>
            </w:r>
            <w:proofErr w:type="spellEnd"/>
            <w:r w:rsidRPr="00AC4E7D">
              <w:rPr>
                <w:rFonts w:ascii="Times New Roman" w:hAnsi="Times New Roman" w:cs="Times New Roman"/>
                <w:iCs/>
                <w:sz w:val="20"/>
                <w:szCs w:val="20"/>
              </w:rPr>
              <w:t xml:space="preserve"> </w:t>
            </w:r>
            <w:proofErr w:type="spellStart"/>
            <w:r w:rsidRPr="00AC4E7D">
              <w:rPr>
                <w:rFonts w:ascii="Times New Roman" w:hAnsi="Times New Roman" w:cs="Times New Roman"/>
                <w:iCs/>
                <w:sz w:val="20"/>
                <w:szCs w:val="20"/>
              </w:rPr>
              <w:t>разделно</w:t>
            </w:r>
            <w:proofErr w:type="spellEnd"/>
            <w:r w:rsidRPr="00AC4E7D">
              <w:rPr>
                <w:rFonts w:ascii="Times New Roman" w:hAnsi="Times New Roman" w:cs="Times New Roman"/>
                <w:iCs/>
                <w:sz w:val="20"/>
                <w:szCs w:val="20"/>
              </w:rPr>
              <w:t xml:space="preserve"> </w:t>
            </w:r>
            <w:proofErr w:type="spellStart"/>
            <w:r w:rsidRPr="00AC4E7D">
              <w:rPr>
                <w:rFonts w:ascii="Times New Roman" w:hAnsi="Times New Roman" w:cs="Times New Roman"/>
                <w:iCs/>
                <w:sz w:val="20"/>
                <w:szCs w:val="20"/>
              </w:rPr>
              <w:t>събиране</w:t>
            </w:r>
            <w:proofErr w:type="spellEnd"/>
            <w:r w:rsidRPr="00AC4E7D">
              <w:rPr>
                <w:rFonts w:ascii="Times New Roman" w:hAnsi="Times New Roman" w:cs="Times New Roman"/>
                <w:iCs/>
                <w:sz w:val="20"/>
                <w:szCs w:val="20"/>
              </w:rPr>
              <w:t xml:space="preserve"> и </w:t>
            </w:r>
            <w:proofErr w:type="spellStart"/>
            <w:r w:rsidRPr="00AC4E7D">
              <w:rPr>
                <w:rFonts w:ascii="Times New Roman" w:hAnsi="Times New Roman" w:cs="Times New Roman"/>
                <w:iCs/>
                <w:sz w:val="20"/>
                <w:szCs w:val="20"/>
              </w:rPr>
              <w:t>оползотворяване</w:t>
            </w:r>
            <w:proofErr w:type="spellEnd"/>
            <w:r w:rsidRPr="00AC4E7D">
              <w:rPr>
                <w:rFonts w:ascii="Times New Roman" w:hAnsi="Times New Roman" w:cs="Times New Roman"/>
                <w:iCs/>
                <w:sz w:val="20"/>
                <w:szCs w:val="20"/>
              </w:rPr>
              <w:t xml:space="preserve"> </w:t>
            </w:r>
            <w:proofErr w:type="spellStart"/>
            <w:r w:rsidRPr="00AC4E7D">
              <w:rPr>
                <w:rFonts w:ascii="Times New Roman" w:hAnsi="Times New Roman" w:cs="Times New Roman"/>
                <w:iCs/>
                <w:sz w:val="20"/>
                <w:szCs w:val="20"/>
              </w:rPr>
              <w:t>на</w:t>
            </w:r>
            <w:proofErr w:type="spellEnd"/>
            <w:r w:rsidRPr="00AC4E7D">
              <w:rPr>
                <w:rFonts w:ascii="Times New Roman" w:hAnsi="Times New Roman" w:cs="Times New Roman"/>
                <w:iCs/>
                <w:sz w:val="20"/>
                <w:szCs w:val="20"/>
              </w:rPr>
              <w:t xml:space="preserve"> </w:t>
            </w:r>
            <w:proofErr w:type="spellStart"/>
            <w:r w:rsidRPr="00AC4E7D">
              <w:rPr>
                <w:rFonts w:ascii="Times New Roman" w:hAnsi="Times New Roman" w:cs="Times New Roman"/>
                <w:iCs/>
                <w:sz w:val="20"/>
                <w:szCs w:val="20"/>
              </w:rPr>
              <w:t>биоразградими</w:t>
            </w:r>
            <w:proofErr w:type="spellEnd"/>
            <w:r w:rsidRPr="00AC4E7D">
              <w:rPr>
                <w:rFonts w:ascii="Times New Roman" w:hAnsi="Times New Roman" w:cs="Times New Roman"/>
                <w:iCs/>
                <w:sz w:val="20"/>
                <w:szCs w:val="20"/>
              </w:rPr>
              <w:t xml:space="preserve"> </w:t>
            </w:r>
            <w:proofErr w:type="spellStart"/>
            <w:r w:rsidRPr="00AC4E7D">
              <w:rPr>
                <w:rFonts w:ascii="Times New Roman" w:hAnsi="Times New Roman" w:cs="Times New Roman"/>
                <w:iCs/>
                <w:sz w:val="20"/>
                <w:szCs w:val="20"/>
              </w:rPr>
              <w:t>отпадъци</w:t>
            </w:r>
            <w:proofErr w:type="spellEnd"/>
            <w:r w:rsidRPr="00AC4E7D">
              <w:rPr>
                <w:rFonts w:ascii="Times New Roman" w:hAnsi="Times New Roman" w:cs="Times New Roman"/>
                <w:iCs/>
                <w:sz w:val="20"/>
                <w:szCs w:val="20"/>
              </w:rPr>
              <w:t>.</w:t>
            </w:r>
          </w:p>
        </w:tc>
      </w:tr>
      <w:tr w:rsidR="007578C8" w:rsidRPr="00AC4E7D" w14:paraId="69983DEE" w14:textId="77777777" w:rsidTr="00710B61">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2F23E" w14:textId="77777777" w:rsidR="007578C8" w:rsidRPr="00C13DB8" w:rsidRDefault="000C502B" w:rsidP="00C04BF9">
            <w:pPr>
              <w:pStyle w:val="a0"/>
              <w:spacing w:after="120" w:line="276" w:lineRule="auto"/>
              <w:rPr>
                <w:sz w:val="20"/>
                <w:szCs w:val="20"/>
                <w:lang w:val="en-US"/>
              </w:rPr>
            </w:pPr>
            <w:r w:rsidRPr="00AC4E7D">
              <w:rPr>
                <w:sz w:val="20"/>
                <w:szCs w:val="20"/>
              </w:rPr>
              <w:t xml:space="preserve">Промяна на модела на управление на отпадъците, </w:t>
            </w:r>
            <w:r w:rsidRPr="00AC4E7D">
              <w:rPr>
                <w:color w:val="000000" w:themeColor="text1"/>
                <w:sz w:val="20"/>
                <w:szCs w:val="20"/>
              </w:rPr>
              <w:t xml:space="preserve">основан на </w:t>
            </w:r>
            <w:r w:rsidR="00C13DB8">
              <w:rPr>
                <w:color w:val="000000" w:themeColor="text1"/>
                <w:sz w:val="20"/>
                <w:szCs w:val="20"/>
              </w:rPr>
              <w:t>концепцията за ресурсна ефективност, предотвратяване на образуването и по</w:t>
            </w:r>
            <w:r w:rsidR="001E14BD">
              <w:rPr>
                <w:color w:val="000000" w:themeColor="text1"/>
                <w:sz w:val="20"/>
                <w:szCs w:val="20"/>
                <w:lang w:val="en-US"/>
              </w:rPr>
              <w:t>-</w:t>
            </w:r>
            <w:r w:rsidR="00C13DB8">
              <w:rPr>
                <w:color w:val="000000" w:themeColor="text1"/>
                <w:sz w:val="20"/>
                <w:szCs w:val="20"/>
              </w:rPr>
              <w:t>доб</w:t>
            </w:r>
            <w:r w:rsidR="001E14BD">
              <w:rPr>
                <w:color w:val="000000" w:themeColor="text1"/>
                <w:sz w:val="20"/>
                <w:szCs w:val="20"/>
              </w:rPr>
              <w:t>р</w:t>
            </w:r>
            <w:r w:rsidR="00C13DB8">
              <w:rPr>
                <w:color w:val="000000" w:themeColor="text1"/>
                <w:sz w:val="20"/>
                <w:szCs w:val="20"/>
              </w:rPr>
              <w:t>о управление на отпадъците</w:t>
            </w:r>
          </w:p>
        </w:tc>
        <w:tc>
          <w:tcPr>
            <w:tcW w:w="5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42CDB" w14:textId="77777777" w:rsidR="007578C8" w:rsidRPr="00AC4E7D" w:rsidRDefault="00A62234" w:rsidP="00C04BF9">
            <w:pPr>
              <w:pStyle w:val="a0"/>
              <w:spacing w:after="120" w:line="276" w:lineRule="auto"/>
              <w:rPr>
                <w:sz w:val="20"/>
                <w:szCs w:val="20"/>
              </w:rPr>
            </w:pPr>
            <w:r w:rsidRPr="00AC4E7D">
              <w:rPr>
                <w:sz w:val="20"/>
                <w:szCs w:val="20"/>
              </w:rPr>
              <w:t>Програми и кампании за предотвратяване на образуването на отпадъци, насърчаване на повторната употреба на продукти и популяризиране на дейностите по ремонт с цел повторна употреба</w:t>
            </w:r>
          </w:p>
          <w:p w14:paraId="6619C2D2" w14:textId="77777777" w:rsidR="00CF07D6" w:rsidRPr="00AC4E7D" w:rsidRDefault="00CF07D6"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Програми за подкрепа на занаяти, свързани с услуги за поправка и ремонт на продукти</w:t>
            </w:r>
          </w:p>
          <w:p w14:paraId="0553D666" w14:textId="77777777" w:rsidR="00A62234" w:rsidRPr="00AC4E7D" w:rsidRDefault="00A62234"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lastRenderedPageBreak/>
              <w:t>Осигуряване на достъп до надеждна информация за потребителите</w:t>
            </w:r>
            <w:r w:rsidR="000958BA" w:rsidRPr="00AC4E7D">
              <w:rPr>
                <w:rFonts w:ascii="Times New Roman" w:hAnsi="Times New Roman" w:cs="Times New Roman"/>
                <w:sz w:val="20"/>
                <w:szCs w:val="20"/>
                <w:lang w:val="bg-BG" w:eastAsia="bg-BG"/>
              </w:rPr>
              <w:t xml:space="preserve"> за трайността и възможностите за повторна употреба на продуктите.</w:t>
            </w:r>
          </w:p>
          <w:p w14:paraId="7C54ADF0" w14:textId="77777777" w:rsidR="00CF07D6" w:rsidRPr="00AC4E7D" w:rsidRDefault="00CF07D6"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 xml:space="preserve">Осигуряване на </w:t>
            </w:r>
            <w:r w:rsidR="0031578C" w:rsidRPr="00AC4E7D">
              <w:rPr>
                <w:rFonts w:ascii="Times New Roman" w:hAnsi="Times New Roman" w:cs="Times New Roman"/>
                <w:sz w:val="20"/>
                <w:szCs w:val="20"/>
                <w:lang w:val="bg-BG" w:eastAsia="bg-BG"/>
              </w:rPr>
              <w:t xml:space="preserve">надеждна информация за количествата образувани хранителни отпадъци, </w:t>
            </w:r>
            <w:r w:rsidRPr="00AC4E7D">
              <w:rPr>
                <w:rFonts w:ascii="Times New Roman" w:hAnsi="Times New Roman" w:cs="Times New Roman"/>
                <w:sz w:val="20"/>
                <w:szCs w:val="20"/>
                <w:lang w:val="bg-BG" w:eastAsia="bg-BG"/>
              </w:rPr>
              <w:t>достъп до информация за добри практики</w:t>
            </w:r>
            <w:r w:rsidR="0031578C" w:rsidRPr="00AC4E7D">
              <w:rPr>
                <w:rFonts w:ascii="Times New Roman" w:hAnsi="Times New Roman" w:cs="Times New Roman"/>
                <w:sz w:val="20"/>
                <w:szCs w:val="20"/>
                <w:lang w:val="bg-BG" w:eastAsia="bg-BG"/>
              </w:rPr>
              <w:t xml:space="preserve"> за намал</w:t>
            </w:r>
            <w:r w:rsidR="00C13DB8">
              <w:rPr>
                <w:rFonts w:ascii="Times New Roman" w:hAnsi="Times New Roman" w:cs="Times New Roman"/>
                <w:sz w:val="20"/>
                <w:szCs w:val="20"/>
                <w:lang w:val="bg-BG" w:eastAsia="bg-BG"/>
              </w:rPr>
              <w:t>я</w:t>
            </w:r>
            <w:r w:rsidR="0031578C" w:rsidRPr="00AC4E7D">
              <w:rPr>
                <w:rFonts w:ascii="Times New Roman" w:hAnsi="Times New Roman" w:cs="Times New Roman"/>
                <w:sz w:val="20"/>
                <w:szCs w:val="20"/>
                <w:lang w:val="bg-BG" w:eastAsia="bg-BG"/>
              </w:rPr>
              <w:t>ване на хранителните отпадъци, пилотни модели за стимулиране на социални иновации за преразпределяне на хранителни излишъци.</w:t>
            </w:r>
          </w:p>
          <w:p w14:paraId="57A1DACE" w14:textId="77777777" w:rsidR="000958BA" w:rsidRPr="00AC4E7D" w:rsidRDefault="000958BA"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Въвеждане на модела на управление на отпадъците с приоритет предотвратяване на образуването на отпадъците на всички нива на планиране и изпълнение на политиките по управление на отпадъците, включително регионално</w:t>
            </w:r>
            <w:r w:rsidR="00CF07D6" w:rsidRPr="00AC4E7D">
              <w:rPr>
                <w:rFonts w:ascii="Times New Roman" w:hAnsi="Times New Roman" w:cs="Times New Roman"/>
                <w:sz w:val="20"/>
                <w:szCs w:val="20"/>
                <w:lang w:val="bg-BG" w:eastAsia="bg-BG"/>
              </w:rPr>
              <w:t xml:space="preserve">, </w:t>
            </w:r>
            <w:r w:rsidRPr="00AC4E7D">
              <w:rPr>
                <w:rFonts w:ascii="Times New Roman" w:hAnsi="Times New Roman" w:cs="Times New Roman"/>
                <w:sz w:val="20"/>
                <w:szCs w:val="20"/>
                <w:lang w:val="bg-BG" w:eastAsia="bg-BG"/>
              </w:rPr>
              <w:t>общинско</w:t>
            </w:r>
            <w:r w:rsidR="00CF07D6" w:rsidRPr="00AC4E7D">
              <w:rPr>
                <w:rFonts w:ascii="Times New Roman" w:hAnsi="Times New Roman" w:cs="Times New Roman"/>
                <w:sz w:val="20"/>
                <w:szCs w:val="20"/>
                <w:lang w:val="bg-BG" w:eastAsia="bg-BG"/>
              </w:rPr>
              <w:t xml:space="preserve"> и институционално</w:t>
            </w:r>
            <w:r w:rsidRPr="00AC4E7D">
              <w:rPr>
                <w:rFonts w:ascii="Times New Roman" w:hAnsi="Times New Roman" w:cs="Times New Roman"/>
                <w:sz w:val="20"/>
                <w:szCs w:val="20"/>
                <w:lang w:val="bg-BG" w:eastAsia="bg-BG"/>
              </w:rPr>
              <w:t xml:space="preserve"> ниво</w:t>
            </w:r>
            <w:r w:rsidR="00CF07D6" w:rsidRPr="00AC4E7D">
              <w:rPr>
                <w:rFonts w:ascii="Times New Roman" w:hAnsi="Times New Roman" w:cs="Times New Roman"/>
                <w:sz w:val="20"/>
                <w:szCs w:val="20"/>
                <w:lang w:val="bg-BG" w:eastAsia="bg-BG"/>
              </w:rPr>
              <w:t>, ниво</w:t>
            </w:r>
            <w:r w:rsidRPr="00AC4E7D">
              <w:rPr>
                <w:rFonts w:ascii="Times New Roman" w:hAnsi="Times New Roman" w:cs="Times New Roman"/>
                <w:sz w:val="20"/>
                <w:szCs w:val="20"/>
                <w:lang w:val="bg-BG" w:eastAsia="bg-BG"/>
              </w:rPr>
              <w:t xml:space="preserve"> икономически оператори.</w:t>
            </w:r>
          </w:p>
          <w:p w14:paraId="7753EC2C" w14:textId="77777777" w:rsidR="000958BA" w:rsidRPr="00AC4E7D" w:rsidRDefault="000958BA" w:rsidP="00C04BF9">
            <w:pPr>
              <w:spacing w:after="120" w:line="276" w:lineRule="auto"/>
              <w:rPr>
                <w:rFonts w:ascii="Times New Roman" w:hAnsi="Times New Roman" w:cs="Times New Roman"/>
                <w:sz w:val="20"/>
                <w:szCs w:val="20"/>
                <w:lang w:val="bg-BG" w:eastAsia="bg-BG"/>
              </w:rPr>
            </w:pPr>
            <w:r w:rsidRPr="00AC4E7D">
              <w:rPr>
                <w:rFonts w:ascii="Times New Roman" w:hAnsi="Times New Roman" w:cs="Times New Roman"/>
                <w:sz w:val="20"/>
                <w:szCs w:val="20"/>
                <w:lang w:val="bg-BG" w:eastAsia="bg-BG"/>
              </w:rPr>
              <w:t>Популяризиране и повишаване на капацитета за прилагане на „зелени“ обществени поръчки.</w:t>
            </w:r>
          </w:p>
        </w:tc>
      </w:tr>
      <w:bookmarkEnd w:id="73"/>
      <w:bookmarkEnd w:id="74"/>
      <w:bookmarkEnd w:id="75"/>
    </w:tbl>
    <w:p w14:paraId="108CCDAC" w14:textId="77777777" w:rsidR="00552C7F" w:rsidRDefault="00552C7F" w:rsidP="00C04BF9">
      <w:pPr>
        <w:spacing w:after="120" w:line="276" w:lineRule="auto"/>
        <w:jc w:val="both"/>
      </w:pPr>
    </w:p>
    <w:sectPr w:rsidR="00552C7F" w:rsidSect="00C04BF9">
      <w:headerReference w:type="default" r:id="rId28"/>
      <w:footerReference w:type="default" r:id="rId29"/>
      <w:pgSz w:w="12240" w:h="15840"/>
      <w:pgMar w:top="1440" w:right="1440" w:bottom="1350" w:left="1440" w:header="426"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3340" w14:textId="77777777" w:rsidR="005E2EF9" w:rsidRDefault="005E2EF9" w:rsidP="00B115FD">
      <w:pPr>
        <w:spacing w:after="0" w:line="240" w:lineRule="auto"/>
      </w:pPr>
      <w:r>
        <w:separator/>
      </w:r>
    </w:p>
  </w:endnote>
  <w:endnote w:type="continuationSeparator" w:id="0">
    <w:p w14:paraId="5CD436BB" w14:textId="77777777" w:rsidR="005E2EF9" w:rsidRDefault="005E2EF9" w:rsidP="00B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EC Square Sans Pro">
    <w:altName w:val="Calibri"/>
    <w:panose1 w:val="00000000000000000000"/>
    <w:charset w:val="CC"/>
    <w:family w:val="swiss"/>
    <w:notTrueType/>
    <w:pitch w:val="default"/>
    <w:sig w:usb0="00000201" w:usb1="00000000" w:usb2="00000000" w:usb3="00000000" w:csb0="00000004" w:csb1="00000000"/>
  </w:font>
  <w:font w:name="Times New Roman,Bold">
    <w:altName w:val="MS Gothic"/>
    <w:panose1 w:val="00000000000000000000"/>
    <w:charset w:val="80"/>
    <w:family w:val="auto"/>
    <w:notTrueType/>
    <w:pitch w:val="default"/>
    <w:sig w:usb0="00000000"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730758"/>
      <w:docPartObj>
        <w:docPartGallery w:val="Page Numbers (Bottom of Page)"/>
        <w:docPartUnique/>
      </w:docPartObj>
    </w:sdtPr>
    <w:sdtEndPr/>
    <w:sdtContent>
      <w:p w14:paraId="4CEB3806" w14:textId="77777777" w:rsidR="00EB36F8" w:rsidRDefault="00EB36F8" w:rsidP="00C04BF9">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sidR="00267868">
          <w:rPr>
            <w:rFonts w:ascii="Times New Roman" w:hAnsi="Times New Roman" w:cs="Times New Roman"/>
            <w:noProof/>
            <w:color w:val="000000" w:themeColor="text1"/>
          </w:rPr>
          <w:t>1</w:t>
        </w:r>
        <w:r>
          <w:rPr>
            <w:rFonts w:ascii="Times New Roman" w:hAnsi="Times New Roman" w:cs="Times New Roman"/>
            <w:noProof/>
            <w:color w:val="000000" w:themeColor="text1"/>
          </w:rPr>
          <w:fldChar w:fldCharType="end"/>
        </w:r>
      </w:p>
    </w:sdtContent>
  </w:sdt>
  <w:p w14:paraId="76D113E5" w14:textId="09C4936B" w:rsidR="00EB36F8" w:rsidRPr="000E6301" w:rsidRDefault="000E6301" w:rsidP="000E6301">
    <w:pPr>
      <w:spacing w:line="240" w:lineRule="auto"/>
      <w:jc w:val="center"/>
      <w:rPr>
        <w:rFonts w:ascii="Times New Roman" w:hAnsi="Times New Roman" w:cs="Times New Roman"/>
        <w:i/>
        <w:sz w:val="16"/>
        <w:szCs w:val="16"/>
        <w:lang w:val="bg-BG"/>
      </w:rPr>
    </w:pPr>
    <w:r w:rsidRPr="000E6301">
      <w:rPr>
        <w:rFonts w:ascii="Times New Roman" w:hAnsi="Times New Roman" w:cs="Times New Roman"/>
        <w:i/>
        <w:iCs/>
        <w:sz w:val="16"/>
        <w:szCs w:val="16"/>
        <w:lang w:val="bg-BG"/>
      </w:rPr>
      <w:t>Документът е изготвен по проект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3172" w14:textId="77777777" w:rsidR="005E2EF9" w:rsidRDefault="005E2EF9" w:rsidP="00B115FD">
      <w:pPr>
        <w:spacing w:after="0" w:line="240" w:lineRule="auto"/>
      </w:pPr>
      <w:r>
        <w:separator/>
      </w:r>
    </w:p>
  </w:footnote>
  <w:footnote w:type="continuationSeparator" w:id="0">
    <w:p w14:paraId="5E691862" w14:textId="77777777" w:rsidR="005E2EF9" w:rsidRDefault="005E2EF9" w:rsidP="00B115FD">
      <w:pPr>
        <w:spacing w:after="0" w:line="240" w:lineRule="auto"/>
      </w:pPr>
      <w:r>
        <w:continuationSeparator/>
      </w:r>
    </w:p>
  </w:footnote>
  <w:footnote w:id="1">
    <w:p w14:paraId="1708CD08" w14:textId="77777777" w:rsidR="00EB36F8" w:rsidRPr="005241FC" w:rsidRDefault="00EB36F8" w:rsidP="003A59A6">
      <w:pPr>
        <w:pStyle w:val="FootnoteText"/>
        <w:rPr>
          <w:rFonts w:ascii="Times New Roman" w:hAnsi="Times New Roman" w:cs="Times New Roman"/>
          <w:sz w:val="16"/>
          <w:szCs w:val="16"/>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European Environment Agency, 2019, The European environment – State and outlook 2020. Knowledge for transition to a sustainable Europe</w:t>
      </w:r>
    </w:p>
  </w:footnote>
  <w:footnote w:id="2">
    <w:p w14:paraId="47AE58B7" w14:textId="77777777" w:rsidR="00EB36F8" w:rsidRPr="005241FC" w:rsidRDefault="00EB36F8">
      <w:pPr>
        <w:pStyle w:val="FootnoteText"/>
        <w:rPr>
          <w:rFonts w:ascii="Times New Roman" w:hAnsi="Times New Roman" w:cs="Times New Roman"/>
          <w:sz w:val="16"/>
          <w:szCs w:val="16"/>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w:t>
      </w:r>
      <w:r w:rsidRPr="005241FC">
        <w:rPr>
          <w:rFonts w:ascii="Times New Roman" w:hAnsi="Times New Roman" w:cs="Times New Roman"/>
          <w:sz w:val="16"/>
          <w:szCs w:val="16"/>
          <w:lang w:val="bg-BG"/>
        </w:rPr>
        <w:t xml:space="preserve">Следващи стъпки към устойчиво европейско бъдеще. Европейски действия за устойчивост, </w:t>
      </w:r>
      <w:r w:rsidRPr="005241FC">
        <w:rPr>
          <w:rFonts w:ascii="Times New Roman" w:hAnsi="Times New Roman" w:cs="Times New Roman"/>
          <w:sz w:val="16"/>
          <w:szCs w:val="16"/>
        </w:rPr>
        <w:t>COM(2016) 739, https://eur-lex.europa.eu/legal-content/BG/TXT/PDF/?uri=CELEX:52016DC0739&amp;from=EN</w:t>
      </w:r>
    </w:p>
  </w:footnote>
  <w:footnote w:id="3">
    <w:p w14:paraId="068E2FCA" w14:textId="77777777" w:rsidR="00EB36F8" w:rsidRPr="005241FC" w:rsidRDefault="00EB36F8" w:rsidP="00BA3B5E">
      <w:pPr>
        <w:pStyle w:val="FootnoteText"/>
        <w:rPr>
          <w:rFonts w:ascii="Times New Roman" w:hAnsi="Times New Roman" w:cs="Times New Roman"/>
          <w:sz w:val="16"/>
          <w:szCs w:val="16"/>
          <w:lang w:val="bg-BG"/>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https://eur-lex.europa.eu/legal-content/BG/TXT/?uri=CELEX%3A52018DC0028</w:t>
      </w:r>
    </w:p>
  </w:footnote>
  <w:footnote w:id="4">
    <w:p w14:paraId="17CBFA8E" w14:textId="77777777" w:rsidR="00EB36F8" w:rsidRPr="00C04BF9" w:rsidRDefault="00EB36F8" w:rsidP="00BA3B5E">
      <w:pPr>
        <w:pStyle w:val="FootnoteText"/>
        <w:rPr>
          <w:rFonts w:ascii="Times New Roman" w:hAnsi="Times New Roman" w:cs="Times New Roman"/>
          <w:lang w:val="bg-BG"/>
        </w:rPr>
      </w:pPr>
      <w:r w:rsidRPr="00C04BF9">
        <w:rPr>
          <w:rStyle w:val="FootnoteReference"/>
          <w:rFonts w:ascii="Times New Roman" w:hAnsi="Times New Roman" w:cs="Times New Roman"/>
        </w:rPr>
        <w:footnoteRef/>
      </w:r>
      <w:r w:rsidRPr="00C04BF9">
        <w:rPr>
          <w:rFonts w:ascii="Times New Roman" w:hAnsi="Times New Roman" w:cs="Times New Roman"/>
        </w:rPr>
        <w:t xml:space="preserve"> https://www.moew.government.bg/bg/pochvi/zakonodatelstvo/nacionalno-zakonodatelstvo/</w:t>
      </w:r>
    </w:p>
  </w:footnote>
  <w:footnote w:id="5">
    <w:p w14:paraId="0757C679" w14:textId="77777777" w:rsidR="00EB36F8" w:rsidRPr="00C04BF9" w:rsidRDefault="00EB36F8" w:rsidP="00BA3B5E">
      <w:pPr>
        <w:pStyle w:val="FootnoteText"/>
        <w:rPr>
          <w:rFonts w:ascii="Times New Roman" w:hAnsi="Times New Roman" w:cs="Times New Roman"/>
          <w:lang w:val="bg-BG"/>
        </w:rPr>
      </w:pPr>
      <w:r w:rsidRPr="00C04BF9">
        <w:rPr>
          <w:rStyle w:val="FootnoteReference"/>
          <w:rFonts w:ascii="Times New Roman" w:hAnsi="Times New Roman" w:cs="Times New Roman"/>
        </w:rPr>
        <w:footnoteRef/>
      </w:r>
      <w:r w:rsidRPr="00C04BF9">
        <w:rPr>
          <w:rFonts w:ascii="Times New Roman" w:hAnsi="Times New Roman" w:cs="Times New Roman"/>
        </w:rPr>
        <w:t xml:space="preserve"> https://www.moew.government.bg/bg/otpaduci/zakonodatelstvo/nacionalno-zakonodatelstvo/zakoni/</w:t>
      </w:r>
    </w:p>
  </w:footnote>
  <w:footnote w:id="6">
    <w:p w14:paraId="4D65BBDD" w14:textId="77777777" w:rsidR="00EB36F8" w:rsidRPr="00536E7C" w:rsidRDefault="00EB36F8" w:rsidP="00BA3B5E">
      <w:pPr>
        <w:pStyle w:val="FootnoteText"/>
        <w:rPr>
          <w:lang w:val="bg-BG"/>
        </w:rPr>
      </w:pPr>
      <w:r w:rsidRPr="00C04BF9">
        <w:rPr>
          <w:rStyle w:val="FootnoteReference"/>
          <w:rFonts w:ascii="Times New Roman" w:hAnsi="Times New Roman" w:cs="Times New Roman"/>
        </w:rPr>
        <w:footnoteRef/>
      </w:r>
      <w:r w:rsidRPr="00C04BF9">
        <w:rPr>
          <w:rFonts w:ascii="Times New Roman" w:hAnsi="Times New Roman" w:cs="Times New Roman"/>
        </w:rPr>
        <w:t xml:space="preserve"> </w:t>
      </w:r>
      <w:r w:rsidRPr="00C04BF9">
        <w:rPr>
          <w:rFonts w:ascii="Times New Roman" w:hAnsi="Times New Roman" w:cs="Times New Roman"/>
          <w:lang w:val="bg-BG"/>
        </w:rPr>
        <w:t>Пак там</w:t>
      </w:r>
    </w:p>
  </w:footnote>
  <w:footnote w:id="7">
    <w:p w14:paraId="52E4F80F" w14:textId="77777777" w:rsidR="00EB36F8" w:rsidRPr="00C04BF9" w:rsidRDefault="00EB36F8" w:rsidP="00BA3B5E">
      <w:pPr>
        <w:pStyle w:val="FootnoteText"/>
        <w:rPr>
          <w:rFonts w:ascii="Times New Roman" w:hAnsi="Times New Roman" w:cs="Times New Roman"/>
          <w:lang w:val="bg-BG"/>
        </w:rPr>
      </w:pPr>
      <w:r w:rsidRPr="00C04BF9">
        <w:rPr>
          <w:rStyle w:val="FootnoteReference"/>
          <w:rFonts w:ascii="Times New Roman" w:hAnsi="Times New Roman" w:cs="Times New Roman"/>
        </w:rPr>
        <w:footnoteRef/>
      </w:r>
      <w:r w:rsidRPr="00C04BF9">
        <w:rPr>
          <w:rFonts w:ascii="Times New Roman" w:hAnsi="Times New Roman" w:cs="Times New Roman"/>
        </w:rPr>
        <w:t xml:space="preserve"> </w:t>
      </w:r>
      <w:r w:rsidRPr="00C04BF9">
        <w:rPr>
          <w:rFonts w:ascii="Times New Roman" w:hAnsi="Times New Roman" w:cs="Times New Roman"/>
          <w:lang w:val="bg-BG"/>
        </w:rPr>
        <w:t>Пак там</w:t>
      </w:r>
    </w:p>
  </w:footnote>
  <w:footnote w:id="8">
    <w:p w14:paraId="350D2B12" w14:textId="77777777" w:rsidR="00EB36F8" w:rsidRPr="00655BDE" w:rsidRDefault="00EB36F8" w:rsidP="00FE776F">
      <w:pPr>
        <w:spacing w:after="0"/>
        <w:rPr>
          <w:rFonts w:ascii="Times New Roman" w:hAnsi="Times New Roman" w:cs="Times New Roman"/>
          <w:sz w:val="16"/>
          <w:szCs w:val="16"/>
          <w:lang w:val="bg-BG"/>
        </w:rPr>
      </w:pPr>
      <w:r w:rsidRPr="00655BDE">
        <w:rPr>
          <w:rStyle w:val="FootnoteReference"/>
          <w:rFonts w:ascii="Times New Roman" w:hAnsi="Times New Roman" w:cs="Times New Roman"/>
          <w:sz w:val="16"/>
          <w:szCs w:val="16"/>
          <w:lang w:val="bg-BG"/>
        </w:rPr>
        <w:footnoteRef/>
      </w:r>
      <w:r w:rsidRPr="00655BDE">
        <w:rPr>
          <w:rFonts w:ascii="Times New Roman" w:hAnsi="Times New Roman" w:cs="Times New Roman"/>
          <w:sz w:val="16"/>
          <w:szCs w:val="16"/>
          <w:lang w:val="bg-BG"/>
        </w:rPr>
        <w:t xml:space="preserve"> Източник: Евростат (</w:t>
      </w:r>
      <w:hyperlink r:id="rId1" w:history="1">
        <w:r w:rsidRPr="00655BDE">
          <w:rPr>
            <w:rStyle w:val="Hyperlink"/>
            <w:rFonts w:ascii="Times New Roman" w:hAnsi="Times New Roman" w:cs="Times New Roman"/>
            <w:sz w:val="16"/>
            <w:szCs w:val="16"/>
            <w:lang w:val="bg-BG"/>
          </w:rPr>
          <w:t>Statistics | Eurostat (europa.eu)</w:t>
        </w:r>
      </w:hyperlink>
      <w:r w:rsidRPr="00655BDE">
        <w:rPr>
          <w:rFonts w:ascii="Times New Roman" w:hAnsi="Times New Roman" w:cs="Times New Roman"/>
          <w:sz w:val="16"/>
          <w:szCs w:val="16"/>
          <w:lang w:val="bg-BG"/>
        </w:rPr>
        <w:t>)</w:t>
      </w:r>
    </w:p>
  </w:footnote>
  <w:footnote w:id="9">
    <w:p w14:paraId="553A204A" w14:textId="77777777" w:rsidR="00EB36F8" w:rsidRPr="00655BDE" w:rsidRDefault="00EB36F8" w:rsidP="00655BDE">
      <w:pPr>
        <w:pStyle w:val="NormalWeb"/>
        <w:spacing w:before="0" w:beforeAutospacing="0" w:after="0" w:afterAutospacing="0"/>
        <w:rPr>
          <w:sz w:val="16"/>
          <w:szCs w:val="16"/>
          <w:lang w:val="bg-BG"/>
        </w:rPr>
      </w:pPr>
      <w:r w:rsidRPr="00655BDE">
        <w:rPr>
          <w:rStyle w:val="FootnoteReference"/>
          <w:sz w:val="16"/>
          <w:szCs w:val="16"/>
          <w:lang w:val="bg-BG"/>
        </w:rPr>
        <w:footnoteRef/>
      </w:r>
      <w:r w:rsidRPr="00655BDE">
        <w:rPr>
          <w:sz w:val="16"/>
          <w:szCs w:val="16"/>
          <w:lang w:val="bg-BG"/>
        </w:rPr>
        <w:t xml:space="preserve"> Проект на Национален план за управление на отпадъците 2021 – 2028 г., </w:t>
      </w:r>
      <w:hyperlink r:id="rId2" w:history="1">
        <w:r w:rsidRPr="00655BDE">
          <w:rPr>
            <w:rStyle w:val="Hyperlink"/>
            <w:sz w:val="16"/>
            <w:szCs w:val="16"/>
            <w:lang w:val="bg-BG"/>
          </w:rPr>
          <w:t>https://www.moew.government.bg/bg/doklad-za-ekologichna-ocenka-na-nacionalniya-plan-za-upravlenie-na-otpaducite-za-perioda-2021-2028-g/</w:t>
        </w:r>
      </w:hyperlink>
      <w:r w:rsidRPr="00655BDE">
        <w:rPr>
          <w:sz w:val="16"/>
          <w:szCs w:val="16"/>
          <w:lang w:val="bg-BG"/>
        </w:rPr>
        <w:t xml:space="preserve"> </w:t>
      </w:r>
    </w:p>
    <w:p w14:paraId="31F58D0D" w14:textId="77777777" w:rsidR="00EB36F8" w:rsidRPr="009C2B66" w:rsidRDefault="00EB36F8" w:rsidP="00FE776F">
      <w:pPr>
        <w:pStyle w:val="FootnoteText"/>
        <w:rPr>
          <w:lang w:val="bg-BG"/>
        </w:rPr>
      </w:pPr>
    </w:p>
  </w:footnote>
  <w:footnote w:id="10">
    <w:p w14:paraId="34310138" w14:textId="77777777" w:rsidR="00EB36F8" w:rsidRPr="00655BDE" w:rsidRDefault="00EB36F8" w:rsidP="00D27783">
      <w:pPr>
        <w:pStyle w:val="NormalWeb"/>
        <w:rPr>
          <w:sz w:val="16"/>
          <w:szCs w:val="16"/>
          <w:lang w:val="bg-BG"/>
        </w:rPr>
      </w:pPr>
      <w:r w:rsidRPr="00655BDE">
        <w:rPr>
          <w:rStyle w:val="FootnoteReference"/>
          <w:sz w:val="16"/>
          <w:szCs w:val="16"/>
          <w:lang w:val="bg-BG"/>
        </w:rPr>
        <w:footnoteRef/>
      </w:r>
      <w:r w:rsidRPr="00655BDE">
        <w:rPr>
          <w:sz w:val="16"/>
          <w:szCs w:val="16"/>
          <w:lang w:val="bg-BG"/>
        </w:rPr>
        <w:t xml:space="preserve"> Национален план за управление на отпадъците 2021 – 2028 г., проект, </w:t>
      </w:r>
      <w:hyperlink r:id="rId3" w:history="1">
        <w:r w:rsidRPr="00655BDE">
          <w:rPr>
            <w:rStyle w:val="Hyperlink"/>
            <w:sz w:val="16"/>
            <w:szCs w:val="16"/>
            <w:lang w:val="bg-BG"/>
          </w:rPr>
          <w:t>https://www.moew.government.bg/bg/doklad-za-ekologichna-ocenka-na-nacionalniya-plan-za-upravlenie-na-otpaducite-za-perioda-2021-2028-g/</w:t>
        </w:r>
      </w:hyperlink>
      <w:r w:rsidRPr="00655BDE">
        <w:rPr>
          <w:sz w:val="16"/>
          <w:szCs w:val="16"/>
          <w:lang w:val="bg-BG"/>
        </w:rPr>
        <w:t xml:space="preserve"> </w:t>
      </w:r>
    </w:p>
    <w:p w14:paraId="57087E7C" w14:textId="77777777" w:rsidR="00EB36F8" w:rsidRPr="009C2B66" w:rsidRDefault="00EB36F8" w:rsidP="00D27783">
      <w:pPr>
        <w:pStyle w:val="FootnoteText"/>
        <w:rPr>
          <w:lang w:val="bg-BG"/>
        </w:rPr>
      </w:pPr>
    </w:p>
  </w:footnote>
  <w:footnote w:id="11">
    <w:p w14:paraId="7BE93D46" w14:textId="77777777" w:rsidR="00EB36F8" w:rsidRPr="00655BDE"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lang w:val="bg-BG"/>
        </w:rPr>
        <w:footnoteRef/>
      </w:r>
      <w:r w:rsidRPr="00655BDE">
        <w:rPr>
          <w:rFonts w:ascii="Times New Roman" w:hAnsi="Times New Roman" w:cs="Times New Roman"/>
          <w:sz w:val="16"/>
          <w:szCs w:val="16"/>
          <w:lang w:val="bg-BG"/>
        </w:rPr>
        <w:t xml:space="preserve"> Национален план за управление на отпадъците 2021 – 2028 г., проект, </w:t>
      </w:r>
      <w:hyperlink r:id="rId4" w:history="1">
        <w:r w:rsidRPr="00655BDE">
          <w:rPr>
            <w:rStyle w:val="Hyperlink"/>
            <w:rFonts w:ascii="Times New Roman" w:hAnsi="Times New Roman" w:cs="Times New Roman"/>
            <w:sz w:val="16"/>
            <w:szCs w:val="16"/>
            <w:lang w:val="bg-BG"/>
          </w:rPr>
          <w:t>https://www.moew.government.bg/bg/doklad-za-ekologichna-ocenka-na-nacionalniya-plan-za-upravlenie-na-otpaducite-za-perioda-2021-2028-g/</w:t>
        </w:r>
      </w:hyperlink>
    </w:p>
  </w:footnote>
  <w:footnote w:id="12">
    <w:p w14:paraId="3DE0ABA7" w14:textId="77777777" w:rsidR="00EB36F8" w:rsidRPr="00655BDE"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rPr>
        <w:footnoteRef/>
      </w:r>
      <w:r w:rsidRPr="00655BDE">
        <w:rPr>
          <w:rFonts w:ascii="Times New Roman" w:hAnsi="Times New Roman" w:cs="Times New Roman"/>
          <w:sz w:val="16"/>
          <w:szCs w:val="16"/>
        </w:rPr>
        <w:t xml:space="preserve"> </w:t>
      </w:r>
      <w:r w:rsidRPr="00655BDE">
        <w:rPr>
          <w:rFonts w:ascii="Times New Roman" w:hAnsi="Times New Roman" w:cs="Times New Roman"/>
          <w:sz w:val="16"/>
          <w:szCs w:val="16"/>
          <w:lang w:val="bg-BG"/>
        </w:rPr>
        <w:t>Национален план за управление на отпадъците 2021 – 2028 г., проект</w:t>
      </w:r>
    </w:p>
  </w:footnote>
  <w:footnote w:id="13">
    <w:p w14:paraId="6F25FE02" w14:textId="77777777" w:rsidR="00EB36F8" w:rsidRPr="00655BDE"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rPr>
        <w:footnoteRef/>
      </w:r>
      <w:r w:rsidRPr="00655BDE">
        <w:rPr>
          <w:rFonts w:ascii="Times New Roman" w:hAnsi="Times New Roman" w:cs="Times New Roman"/>
          <w:sz w:val="16"/>
          <w:szCs w:val="16"/>
        </w:rPr>
        <w:t xml:space="preserve"> </w:t>
      </w:r>
      <w:r w:rsidRPr="00655BDE">
        <w:rPr>
          <w:rFonts w:ascii="Times New Roman" w:hAnsi="Times New Roman" w:cs="Times New Roman"/>
          <w:sz w:val="16"/>
          <w:szCs w:val="16"/>
          <w:lang w:val="bg-BG"/>
        </w:rPr>
        <w:t xml:space="preserve">Доклада на ЕК до Европейския парламент, Съвета, Европейския икономически и социален комитет и Комитета на регионите за прилагането на законодателството на ЕС относно отпадъците, включително за доклада за ранно предупреждение за държавите членки, които са изложени на риск да не постигнат целта за 2020 г. по отношение на целта за подготовката за повторно използване/рециклиране на битовите отпадъци, </w:t>
      </w:r>
      <w:hyperlink r:id="rId5" w:history="1">
        <w:r w:rsidRPr="00655BDE">
          <w:rPr>
            <w:rStyle w:val="Hyperlink"/>
            <w:rFonts w:ascii="Times New Roman" w:hAnsi="Times New Roman" w:cs="Times New Roman"/>
            <w:sz w:val="16"/>
            <w:szCs w:val="16"/>
          </w:rPr>
          <w:t>European Commission - COM(2018)656 - Register of Commission documents (europa.eu)</w:t>
        </w:r>
      </w:hyperlink>
    </w:p>
  </w:footnote>
  <w:footnote w:id="14">
    <w:p w14:paraId="1F8E727D" w14:textId="77777777" w:rsidR="00EB36F8" w:rsidRPr="00C04BF9" w:rsidRDefault="00EB36F8" w:rsidP="00D27783">
      <w:pPr>
        <w:pStyle w:val="FootnoteText"/>
        <w:rPr>
          <w:rFonts w:ascii="Times New Roman" w:hAnsi="Times New Roman" w:cs="Times New Roman"/>
          <w:sz w:val="16"/>
          <w:szCs w:val="16"/>
          <w:lang w:val="bg-BG"/>
        </w:rPr>
      </w:pPr>
      <w:r w:rsidRPr="009C2B66">
        <w:rPr>
          <w:rStyle w:val="FootnoteReference"/>
          <w:lang w:val="bg-BG"/>
        </w:rPr>
        <w:footnoteRef/>
      </w:r>
      <w:r w:rsidRPr="009C2B66">
        <w:rPr>
          <w:lang w:val="bg-BG"/>
        </w:rPr>
        <w:t xml:space="preserve"> </w:t>
      </w:r>
      <w:r w:rsidRPr="00C04BF9">
        <w:rPr>
          <w:rFonts w:ascii="Times New Roman" w:hAnsi="Times New Roman" w:cs="Times New Roman"/>
          <w:sz w:val="16"/>
          <w:szCs w:val="16"/>
          <w:lang w:val="bg-BG"/>
        </w:rPr>
        <w:t>Доклад на Изпълнителна агенция по околна среда съгласно чл. 53 от Наредба за опаковките и отпадъците от опаковки, 2018 г., http://eea.government.bg/bg/nsmos/waste/dokumenti/dokumentiNEW/DOKLAD_NOOO_2018.pdf</w:t>
      </w:r>
    </w:p>
  </w:footnote>
  <w:footnote w:id="15">
    <w:p w14:paraId="36CADE48" w14:textId="77777777" w:rsidR="00EB36F8" w:rsidRPr="00655BDE" w:rsidRDefault="00EB36F8" w:rsidP="00D27783">
      <w:pPr>
        <w:pStyle w:val="FootnoteText"/>
        <w:rPr>
          <w:rFonts w:ascii="Times New Roman" w:hAnsi="Times New Roman" w:cs="Times New Roman"/>
          <w:sz w:val="16"/>
          <w:szCs w:val="16"/>
          <w:lang w:val="bg-BG"/>
        </w:rPr>
      </w:pPr>
      <w:r w:rsidRPr="00C04BF9">
        <w:rPr>
          <w:rStyle w:val="FootnoteReference"/>
          <w:rFonts w:ascii="Times New Roman" w:hAnsi="Times New Roman" w:cs="Times New Roman"/>
          <w:sz w:val="16"/>
          <w:szCs w:val="16"/>
          <w:lang w:val="bg-BG"/>
        </w:rPr>
        <w:footnoteRef/>
      </w:r>
      <w:r w:rsidRPr="00C04BF9">
        <w:rPr>
          <w:rFonts w:ascii="Times New Roman" w:hAnsi="Times New Roman" w:cs="Times New Roman"/>
          <w:sz w:val="16"/>
          <w:szCs w:val="16"/>
          <w:lang w:val="bg-BG"/>
        </w:rPr>
        <w:t xml:space="preserve"> Доклад на Изпълнителна агенция по околна среда съгласно чл. 29 от Наредба за излезли от употреба моторни превозни средства, 2018 г., http://eea.government.bg/bg/nsmos/waste/dokumenti/dokumentiNEW/Doklad_IUMPS_2018.pdf</w:t>
      </w:r>
    </w:p>
  </w:footnote>
  <w:footnote w:id="16">
    <w:p w14:paraId="1FBE44D4" w14:textId="77777777" w:rsidR="00EB36F8" w:rsidRPr="00655BDE"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lang w:val="bg-BG"/>
        </w:rPr>
        <w:footnoteRef/>
      </w:r>
      <w:r w:rsidRPr="00655BDE">
        <w:rPr>
          <w:rFonts w:ascii="Times New Roman" w:hAnsi="Times New Roman" w:cs="Times New Roman"/>
          <w:sz w:val="16"/>
          <w:szCs w:val="16"/>
          <w:lang w:val="bg-BG"/>
        </w:rPr>
        <w:t xml:space="preserve"> Доклад на Изпълнителна агенция по околна среда съгласно чл. 39 от Наредбата за изискванията за третиране на излезли от употреба гуми, 2018 г., http://eea.government.bg/bg/nsmos/waste/dokumenti/dokumentiNEW/Doklad_2018.pdf</w:t>
      </w:r>
    </w:p>
  </w:footnote>
  <w:footnote w:id="17">
    <w:p w14:paraId="6163363B" w14:textId="77777777" w:rsidR="00EB36F8" w:rsidRPr="00C04BF9"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lang w:val="bg-BG"/>
        </w:rPr>
        <w:footnoteRef/>
      </w:r>
      <w:r w:rsidRPr="00655BDE">
        <w:rPr>
          <w:rFonts w:ascii="Times New Roman" w:hAnsi="Times New Roman" w:cs="Times New Roman"/>
          <w:sz w:val="16"/>
          <w:szCs w:val="16"/>
          <w:lang w:val="bg-BG"/>
        </w:rPr>
        <w:t xml:space="preserve"> </w:t>
      </w:r>
      <w:r w:rsidRPr="00C04BF9">
        <w:rPr>
          <w:rFonts w:ascii="Times New Roman" w:hAnsi="Times New Roman" w:cs="Times New Roman"/>
          <w:sz w:val="16"/>
          <w:szCs w:val="16"/>
          <w:lang w:val="bg-BG"/>
        </w:rPr>
        <w:t>Доклад на Изпълнителна агенция по околна среда съгласно чл. 57 от Наредбата за излязло от употреба електрическо и електронно оборудване, 2018 г., http://eea.government.bg/bg/nsmos/waste/dokumenti/dokumentiNEW/Doklad_IUEEO_2018.pdf</w:t>
      </w:r>
    </w:p>
  </w:footnote>
  <w:footnote w:id="18">
    <w:p w14:paraId="36245EA2" w14:textId="77777777" w:rsidR="00EB36F8" w:rsidRPr="00C04BF9" w:rsidRDefault="00EB36F8" w:rsidP="00D27783">
      <w:pPr>
        <w:pStyle w:val="FootnoteText"/>
        <w:rPr>
          <w:rFonts w:ascii="Times New Roman" w:hAnsi="Times New Roman" w:cs="Times New Roman"/>
          <w:sz w:val="16"/>
          <w:szCs w:val="16"/>
          <w:lang w:val="bg-BG"/>
        </w:rPr>
      </w:pPr>
      <w:r w:rsidRPr="00C04BF9">
        <w:rPr>
          <w:rStyle w:val="FootnoteReference"/>
          <w:rFonts w:ascii="Times New Roman" w:hAnsi="Times New Roman" w:cs="Times New Roman"/>
          <w:sz w:val="16"/>
          <w:szCs w:val="16"/>
          <w:lang w:val="bg-BG"/>
        </w:rPr>
        <w:footnoteRef/>
      </w:r>
      <w:r w:rsidRPr="00C04BF9">
        <w:rPr>
          <w:rFonts w:ascii="Times New Roman" w:hAnsi="Times New Roman" w:cs="Times New Roman"/>
          <w:sz w:val="16"/>
          <w:szCs w:val="16"/>
          <w:lang w:val="bg-BG"/>
        </w:rPr>
        <w:t xml:space="preserve"> Доклад на Изпълнителна агенция по околна среда съгласно чл. 50 от Наредбата за отработените масла и отпадъчните нефтопродукти, 2018 г., http://eea.government.bg/bg/nsmos/waste/dokumenti/dokumentiNEW/Doklad_OM_2018.pdf</w:t>
      </w:r>
    </w:p>
  </w:footnote>
  <w:footnote w:id="19">
    <w:p w14:paraId="2C4F4797" w14:textId="77777777" w:rsidR="00EB36F8" w:rsidRPr="009C2B66" w:rsidRDefault="00EB36F8" w:rsidP="00D27783">
      <w:pPr>
        <w:pStyle w:val="FootnoteText"/>
        <w:rPr>
          <w:lang w:val="bg-BG"/>
        </w:rPr>
      </w:pPr>
      <w:r w:rsidRPr="00C04BF9">
        <w:rPr>
          <w:rStyle w:val="FootnoteReference"/>
          <w:rFonts w:ascii="Times New Roman" w:hAnsi="Times New Roman" w:cs="Times New Roman"/>
          <w:sz w:val="16"/>
          <w:szCs w:val="16"/>
          <w:lang w:val="bg-BG"/>
        </w:rPr>
        <w:footnoteRef/>
      </w:r>
      <w:r w:rsidRPr="00C04BF9">
        <w:rPr>
          <w:rFonts w:ascii="Times New Roman" w:hAnsi="Times New Roman" w:cs="Times New Roman"/>
          <w:sz w:val="16"/>
          <w:szCs w:val="16"/>
          <w:lang w:val="bg-BG"/>
        </w:rPr>
        <w:t xml:space="preserve"> Доклад на Изпълнителна агенция по околна среда съгласно чл. 16, ал. 2 от Наредба за реда и начина за оползотворяване на утайки от пречистването на отпадъчни води чрез употребата им в земеделието, 2018, http://eea.government.bg/bg/nsmos/waste/dokumenti/dokumentiNEW/Doklad_Utaiki_2018.pdf</w:t>
      </w:r>
    </w:p>
  </w:footnote>
  <w:footnote w:id="20">
    <w:p w14:paraId="787A446B" w14:textId="77777777" w:rsidR="00EB36F8" w:rsidRDefault="00EB36F8" w:rsidP="00D27783">
      <w:pPr>
        <w:pStyle w:val="FootnoteText"/>
        <w:tabs>
          <w:tab w:val="left" w:pos="9270"/>
        </w:tabs>
        <w:rPr>
          <w:rFonts w:ascii="Times New Roman" w:hAnsi="Times New Roman"/>
          <w:sz w:val="16"/>
          <w:szCs w:val="16"/>
        </w:rPr>
      </w:pPr>
      <w:r w:rsidRPr="003E2182">
        <w:rPr>
          <w:rStyle w:val="FootnoteReference"/>
        </w:rPr>
        <w:footnoteRef/>
      </w:r>
      <w:r w:rsidRPr="003E2182">
        <w:t xml:space="preserve"> </w:t>
      </w:r>
      <w:r w:rsidRPr="00536E7C">
        <w:rPr>
          <w:rFonts w:ascii="Times New Roman" w:hAnsi="Times New Roman"/>
          <w:sz w:val="16"/>
          <w:szCs w:val="16"/>
          <w:shd w:val="clear" w:color="auto" w:fill="FFFFFF"/>
        </w:rPr>
        <w:t>Национален доклад за състоянието и опазването на околната среда в Република България през 2011</w:t>
      </w:r>
      <w:r w:rsidRPr="00536E7C">
        <w:rPr>
          <w:rFonts w:ascii="Times New Roman" w:hAnsi="Times New Roman"/>
          <w:sz w:val="16"/>
          <w:szCs w:val="16"/>
          <w:shd w:val="clear" w:color="auto" w:fill="FFFFFF"/>
          <w:lang w:val="bg-BG"/>
        </w:rPr>
        <w:t>г</w:t>
      </w:r>
      <w:r w:rsidRPr="00536E7C">
        <w:rPr>
          <w:rFonts w:ascii="Times New Roman" w:hAnsi="Times New Roman"/>
          <w:sz w:val="16"/>
          <w:szCs w:val="16"/>
          <w:shd w:val="clear" w:color="auto" w:fill="FFFFFF"/>
        </w:rPr>
        <w:t>.</w:t>
      </w:r>
      <w:r w:rsidRPr="00536E7C">
        <w:rPr>
          <w:rFonts w:ascii="Times New Roman" w:hAnsi="Times New Roman"/>
          <w:b/>
          <w:bCs/>
          <w:sz w:val="16"/>
          <w:szCs w:val="16"/>
          <w:shd w:val="clear" w:color="auto" w:fill="FFFFFF"/>
        </w:rPr>
        <w:t> </w:t>
      </w:r>
      <w:r w:rsidRPr="003E2182">
        <w:rPr>
          <w:rFonts w:ascii="Times New Roman" w:hAnsi="Times New Roman"/>
          <w:sz w:val="16"/>
          <w:szCs w:val="16"/>
        </w:rPr>
        <w:t xml:space="preserve"> </w:t>
      </w:r>
    </w:p>
    <w:p w14:paraId="059FB18A" w14:textId="77777777" w:rsidR="00EB36F8" w:rsidRPr="00536E7C" w:rsidRDefault="00EB36F8" w:rsidP="00D27783">
      <w:pPr>
        <w:pStyle w:val="FootnoteText"/>
        <w:tabs>
          <w:tab w:val="left" w:pos="9270"/>
        </w:tabs>
        <w:rPr>
          <w:lang w:val="bg-BG"/>
        </w:rPr>
      </w:pPr>
      <w:r w:rsidRPr="003E2182">
        <w:rPr>
          <w:rFonts w:ascii="Times New Roman" w:hAnsi="Times New Roman"/>
          <w:sz w:val="16"/>
          <w:szCs w:val="16"/>
        </w:rPr>
        <w:t>http://eea.government.bg/bg/soer/2011/air/emisii-na-vredni-veshtestva-vav-vazduha</w:t>
      </w:r>
    </w:p>
  </w:footnote>
  <w:footnote w:id="21">
    <w:p w14:paraId="5A6AA790" w14:textId="77777777" w:rsidR="00EB36F8" w:rsidRPr="009C2B66" w:rsidRDefault="00EB36F8" w:rsidP="00C04BF9">
      <w:pPr>
        <w:pStyle w:val="FootnoteText"/>
        <w:jc w:val="both"/>
        <w:rPr>
          <w:lang w:val="bg-BG"/>
        </w:rPr>
      </w:pPr>
      <w:r w:rsidRPr="009C2B66">
        <w:rPr>
          <w:rStyle w:val="FootnoteReference"/>
          <w:lang w:val="bg-BG"/>
        </w:rPr>
        <w:footnoteRef/>
      </w:r>
      <w:r w:rsidRPr="009C2B66">
        <w:rPr>
          <w:lang w:val="bg-BG"/>
        </w:rPr>
        <w:t xml:space="preserve"> </w:t>
      </w:r>
      <w:r w:rsidRPr="00C04BF9">
        <w:rPr>
          <w:rFonts w:ascii="Times New Roman" w:hAnsi="Times New Roman" w:cs="Times New Roman"/>
          <w:sz w:val="16"/>
          <w:szCs w:val="16"/>
          <w:lang w:val="bg-BG"/>
        </w:rPr>
        <w:t>Преглед на изпълнението на политиките за околната среда 2019 г., Доклад за България, https://ec.europa.eu/environment/eir/pdf/report_bg_bg.pdf</w:t>
      </w:r>
    </w:p>
  </w:footnote>
  <w:footnote w:id="22">
    <w:p w14:paraId="48AB3480" w14:textId="77777777" w:rsidR="00EB36F8" w:rsidRPr="00655BDE" w:rsidRDefault="00EB36F8" w:rsidP="00D27783">
      <w:pPr>
        <w:pStyle w:val="FootnoteText"/>
        <w:rPr>
          <w:rFonts w:ascii="Times New Roman" w:hAnsi="Times New Roman" w:cs="Times New Roman"/>
          <w:sz w:val="16"/>
          <w:szCs w:val="16"/>
          <w:lang w:val="bg-BG"/>
        </w:rPr>
      </w:pPr>
      <w:r w:rsidRPr="00655BDE">
        <w:rPr>
          <w:rStyle w:val="FootnoteReference"/>
          <w:rFonts w:ascii="Times New Roman" w:hAnsi="Times New Roman" w:cs="Times New Roman"/>
          <w:sz w:val="16"/>
          <w:szCs w:val="16"/>
          <w:lang w:val="bg-BG"/>
        </w:rPr>
        <w:footnoteRef/>
      </w:r>
      <w:r w:rsidRPr="00655BDE">
        <w:rPr>
          <w:rFonts w:ascii="Times New Roman" w:hAnsi="Times New Roman" w:cs="Times New Roman"/>
          <w:sz w:val="16"/>
          <w:szCs w:val="16"/>
          <w:lang w:val="bg-BG"/>
        </w:rPr>
        <w:t xml:space="preserve"> Национална програма за опазване, устойчиво ползване и възстановяване функциите на почвите 2020 – 2030, </w:t>
      </w:r>
    </w:p>
  </w:footnote>
  <w:footnote w:id="23">
    <w:p w14:paraId="6B09EFA2" w14:textId="77777777" w:rsidR="00EB36F8" w:rsidRPr="00655BDE" w:rsidRDefault="00EB36F8" w:rsidP="00D27783">
      <w:pPr>
        <w:pStyle w:val="FootnoteText"/>
        <w:rPr>
          <w:rFonts w:ascii="Times New Roman" w:hAnsi="Times New Roman" w:cs="Times New Roman"/>
          <w:sz w:val="16"/>
          <w:szCs w:val="16"/>
        </w:rPr>
      </w:pPr>
      <w:r w:rsidRPr="00655BDE">
        <w:rPr>
          <w:rStyle w:val="FootnoteReference"/>
          <w:rFonts w:ascii="Times New Roman" w:hAnsi="Times New Roman" w:cs="Times New Roman"/>
          <w:sz w:val="16"/>
          <w:szCs w:val="16"/>
        </w:rPr>
        <w:footnoteRef/>
      </w:r>
      <w:r w:rsidRPr="00655BDE">
        <w:rPr>
          <w:rFonts w:ascii="Times New Roman" w:hAnsi="Times New Roman" w:cs="Times New Roman"/>
          <w:sz w:val="16"/>
          <w:szCs w:val="16"/>
        </w:rPr>
        <w:t xml:space="preserve"> European Red List of Habitats, Part 1 Marine Habitats</w:t>
      </w:r>
    </w:p>
  </w:footnote>
  <w:footnote w:id="24">
    <w:p w14:paraId="773B1195" w14:textId="77777777" w:rsidR="00EB36F8" w:rsidRDefault="00EB36F8" w:rsidP="00D27783">
      <w:pPr>
        <w:pStyle w:val="FootnoteText"/>
      </w:pPr>
    </w:p>
    <w:p w14:paraId="301E8B86" w14:textId="77777777" w:rsidR="00EB36F8" w:rsidRPr="005241FC" w:rsidRDefault="00EB36F8" w:rsidP="00D27783">
      <w:pPr>
        <w:pStyle w:val="FootnoteText"/>
        <w:rPr>
          <w:rFonts w:ascii="Times New Roman" w:hAnsi="Times New Roman" w:cs="Times New Roman"/>
          <w:sz w:val="16"/>
          <w:szCs w:val="16"/>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European red List of Habitats, part 2 Part 2 Terrestrial and Freshwater Habitats</w:t>
      </w:r>
    </w:p>
  </w:footnote>
  <w:footnote w:id="25">
    <w:p w14:paraId="1EDB5A0A" w14:textId="77777777" w:rsidR="00EB36F8" w:rsidRPr="005241FC" w:rsidRDefault="00EB36F8" w:rsidP="00504F77">
      <w:pPr>
        <w:pStyle w:val="FootnoteText"/>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Национална концепция за пространствено развитие за периода 2013 – 2025 г. Актуализация 2019 г.,</w:t>
      </w:r>
      <w:r w:rsidRPr="005241FC">
        <w:rPr>
          <w:rFonts w:ascii="Times New Roman" w:hAnsi="Times New Roman" w:cs="Times New Roman"/>
          <w:sz w:val="16"/>
          <w:szCs w:val="16"/>
        </w:rPr>
        <w:t xml:space="preserve"> </w:t>
      </w:r>
      <w:r w:rsidRPr="005241FC">
        <w:rPr>
          <w:rFonts w:ascii="Times New Roman" w:hAnsi="Times New Roman" w:cs="Times New Roman"/>
          <w:sz w:val="16"/>
          <w:szCs w:val="16"/>
          <w:lang w:val="bg-BG"/>
        </w:rPr>
        <w:t>www.eufunds.bg</w:t>
      </w:r>
    </w:p>
  </w:footnote>
  <w:footnote w:id="26">
    <w:p w14:paraId="6019FA9D" w14:textId="77777777" w:rsidR="00EB36F8" w:rsidRPr="005241FC" w:rsidRDefault="00EB36F8" w:rsidP="00504F77">
      <w:pPr>
        <w:pStyle w:val="FootnoteText"/>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Данни на НСИ за 2018 г.</w:t>
      </w:r>
    </w:p>
  </w:footnote>
  <w:footnote w:id="27">
    <w:p w14:paraId="5FB02FBA" w14:textId="77777777" w:rsidR="00EB36F8" w:rsidRPr="005241FC" w:rsidRDefault="00EB36F8" w:rsidP="00504F77">
      <w:pPr>
        <w:spacing w:after="0"/>
        <w:jc w:val="both"/>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Социално-икономическо развитие на България 2007 – 2017. Определяне на националните приоритети за периода 2021 – 2027 г., 2018 г., www.eufunds.bg</w:t>
      </w:r>
      <w:r w:rsidRPr="005241FC" w:rsidDel="00AB3CC7">
        <w:rPr>
          <w:rFonts w:ascii="Times New Roman" w:hAnsi="Times New Roman" w:cs="Times New Roman"/>
          <w:sz w:val="16"/>
          <w:szCs w:val="16"/>
          <w:lang w:val="bg-BG"/>
        </w:rPr>
        <w:t xml:space="preserve"> </w:t>
      </w:r>
    </w:p>
  </w:footnote>
  <w:footnote w:id="28">
    <w:p w14:paraId="0523D27C" w14:textId="77777777" w:rsidR="00EB36F8" w:rsidRPr="005241FC" w:rsidRDefault="00EB36F8" w:rsidP="00504F77">
      <w:pPr>
        <w:spacing w:after="0"/>
        <w:jc w:val="both"/>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Пак там</w:t>
      </w:r>
    </w:p>
  </w:footnote>
  <w:footnote w:id="29">
    <w:p w14:paraId="4A4E7F57" w14:textId="77777777" w:rsidR="00EB36F8" w:rsidRPr="005241FC" w:rsidRDefault="00EB36F8" w:rsidP="00504F77">
      <w:pPr>
        <w:pStyle w:val="FootnoteText"/>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Eurostat database, https://ec.europa.eu/eurostat/databrowser/view/env_ac_cur/default/table?lang=en</w:t>
      </w:r>
    </w:p>
  </w:footnote>
  <w:footnote w:id="30">
    <w:p w14:paraId="40781176" w14:textId="77777777" w:rsidR="00EB36F8" w:rsidRPr="005241FC" w:rsidRDefault="00EB36F8" w:rsidP="00504F77">
      <w:pPr>
        <w:pStyle w:val="FootnoteText"/>
        <w:rPr>
          <w:rFonts w:ascii="Times New Roman" w:hAnsi="Times New Roman" w:cs="Times New Roman"/>
          <w:sz w:val="16"/>
          <w:szCs w:val="16"/>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EUROSTAT, Database, Material flow accounts – main indicators</w:t>
      </w:r>
    </w:p>
  </w:footnote>
  <w:footnote w:id="31">
    <w:p w14:paraId="5942A213" w14:textId="77777777" w:rsidR="00EB36F8" w:rsidRPr="005241FC" w:rsidRDefault="00EB36F8" w:rsidP="004C5987">
      <w:pPr>
        <w:jc w:val="both"/>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Социално-икономическо развитие на България 2007 – 2017. Определяне на националните приоритети за периода 2021 – 2027 г., 2018 г., https://www.eufunds.bg/sites/default/files/uploads/eip/docs/2019-04/%D0%A0%D0%9C%D0%A1%20196%20%D0%BF%D1%80%D0%B8%D0%BB%D0%BE%D0%B6%D0%B5%D0%BD%D0%B8%D0%B5.pdf</w:t>
      </w:r>
    </w:p>
  </w:footnote>
  <w:footnote w:id="32">
    <w:p w14:paraId="6C50944F" w14:textId="77777777" w:rsidR="00EB36F8" w:rsidRPr="005241FC" w:rsidRDefault="00EB36F8" w:rsidP="00BA3B5E">
      <w:pPr>
        <w:pStyle w:val="FootnoteText"/>
        <w:rPr>
          <w:rFonts w:ascii="Times New Roman" w:hAnsi="Times New Roman" w:cs="Times New Roman"/>
          <w:sz w:val="16"/>
          <w:szCs w:val="16"/>
        </w:rPr>
      </w:pPr>
      <w:r w:rsidRPr="005241FC">
        <w:rPr>
          <w:rStyle w:val="FootnoteReference"/>
          <w:rFonts w:ascii="Times New Roman" w:hAnsi="Times New Roman" w:cs="Times New Roman"/>
          <w:sz w:val="16"/>
          <w:szCs w:val="16"/>
        </w:rPr>
        <w:footnoteRef/>
      </w:r>
      <w:r w:rsidRPr="005241FC">
        <w:rPr>
          <w:rFonts w:ascii="Times New Roman" w:hAnsi="Times New Roman" w:cs="Times New Roman"/>
          <w:sz w:val="16"/>
          <w:szCs w:val="16"/>
        </w:rPr>
        <w:t xml:space="preserve"> European Environment Agency, 2019, The European Environment – State and Outlook 2020. Knowledge for transition to a sustainable Europe</w:t>
      </w:r>
    </w:p>
  </w:footnote>
  <w:footnote w:id="33">
    <w:p w14:paraId="6A5679A2" w14:textId="77777777" w:rsidR="00EB36F8" w:rsidRPr="009C2B66" w:rsidRDefault="00EB36F8" w:rsidP="005647BA">
      <w:pPr>
        <w:autoSpaceDE w:val="0"/>
        <w:autoSpaceDN w:val="0"/>
        <w:adjustRightInd w:val="0"/>
        <w:spacing w:after="0" w:line="240" w:lineRule="auto"/>
        <w:rPr>
          <w:lang w:val="bg-BG"/>
        </w:rPr>
      </w:pPr>
      <w:r w:rsidRPr="009C2B66">
        <w:rPr>
          <w:rStyle w:val="FootnoteReference"/>
          <w:lang w:val="bg-BG"/>
        </w:rPr>
        <w:footnoteRef/>
      </w:r>
      <w:r w:rsidRPr="009C2B66">
        <w:rPr>
          <w:lang w:val="bg-BG"/>
        </w:rPr>
        <w:t xml:space="preserve"> </w:t>
      </w:r>
      <w:r w:rsidRPr="00C04BF9">
        <w:rPr>
          <w:rFonts w:ascii="Times New Roman" w:hAnsi="Times New Roman" w:cs="Times New Roman"/>
          <w:sz w:val="16"/>
          <w:szCs w:val="16"/>
          <w:lang w:val="bg-BG"/>
        </w:rPr>
        <w:t>SDSN &amp; IEEP. 2019. The 2019 Europe Sustainable Development Report. Sustainable Development Solutions Network and Institute for European Environmental Policy: Paris and Brussels</w:t>
      </w:r>
    </w:p>
  </w:footnote>
  <w:footnote w:id="34">
    <w:p w14:paraId="12851B17" w14:textId="77777777" w:rsidR="00EB36F8" w:rsidRPr="005241FC" w:rsidRDefault="00EB36F8" w:rsidP="005647BA">
      <w:pPr>
        <w:pStyle w:val="FootnoteText"/>
        <w:rPr>
          <w:rFonts w:ascii="Times New Roman" w:hAnsi="Times New Roman" w:cs="Times New Roman"/>
          <w:sz w:val="16"/>
          <w:szCs w:val="16"/>
          <w:lang w:val="bg-BG"/>
        </w:rPr>
      </w:pPr>
      <w:r w:rsidRPr="005241FC">
        <w:rPr>
          <w:rStyle w:val="FootnoteReference"/>
          <w:rFonts w:ascii="Times New Roman" w:hAnsi="Times New Roman" w:cs="Times New Roman"/>
          <w:sz w:val="16"/>
          <w:szCs w:val="16"/>
          <w:lang w:val="bg-BG"/>
        </w:rPr>
        <w:footnoteRef/>
      </w:r>
      <w:r w:rsidRPr="005241FC">
        <w:rPr>
          <w:rFonts w:ascii="Times New Roman" w:hAnsi="Times New Roman" w:cs="Times New Roman"/>
          <w:sz w:val="16"/>
          <w:szCs w:val="16"/>
          <w:lang w:val="bg-BG"/>
        </w:rPr>
        <w:t xml:space="preserve"> Доклад на ЕК за България. Преглед на изпълнението на политиките за околната среда 2019, https://</w:t>
      </w:r>
      <w:r w:rsidRPr="005241FC">
        <w:rPr>
          <w:rFonts w:ascii="Times New Roman" w:hAnsi="Times New Roman" w:cs="Times New Roman"/>
          <w:noProof/>
          <w:sz w:val="16"/>
          <w:szCs w:val="16"/>
          <w:lang w:val="bg-BG"/>
        </w:rPr>
        <w:t xml:space="preserve"> </w:t>
      </w:r>
      <w:r w:rsidRPr="005241FC">
        <w:rPr>
          <w:rFonts w:ascii="Times New Roman" w:hAnsi="Times New Roman" w:cs="Times New Roman"/>
          <w:sz w:val="16"/>
          <w:szCs w:val="16"/>
          <w:lang w:val="bg-BG"/>
        </w:rPr>
        <w:t>ec.europa.eu/environment/eir/pdf/report_bg_bg.pdf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2F26" w14:textId="77777777" w:rsidR="00EB36F8" w:rsidRDefault="00EB36F8" w:rsidP="00C04BF9">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lang w:val="bg-BG" w:eastAsia="bg-BG"/>
      </w:rPr>
      <w:drawing>
        <wp:inline distT="0" distB="0" distL="0" distR="0" wp14:anchorId="55C3406A" wp14:editId="3E8B1260">
          <wp:extent cx="1874520" cy="7848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lang w:val="bg-BG" w:eastAsia="bg-BG"/>
      </w:rPr>
      <w:drawing>
        <wp:inline distT="0" distB="0" distL="0" distR="0" wp14:anchorId="784CCDFB" wp14:editId="3586FF9C">
          <wp:extent cx="1927860" cy="876300"/>
          <wp:effectExtent l="0" t="0" r="0" b="0"/>
          <wp:docPr id="4" name="Picture 4"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34" type="#_x0000_t75" style="width:9pt;height:9pt" o:bullet="t">
        <v:imagedata r:id="rId1" o:title="j0115844"/>
      </v:shape>
    </w:pict>
  </w:numPicBullet>
  <w:abstractNum w:abstractNumId="0" w15:restartNumberingAfterBreak="0">
    <w:nsid w:val="04666EC1"/>
    <w:multiLevelType w:val="hybridMultilevel"/>
    <w:tmpl w:val="34CCDEC6"/>
    <w:lvl w:ilvl="0" w:tplc="69CC4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16C90"/>
    <w:multiLevelType w:val="multilevel"/>
    <w:tmpl w:val="5CCA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C6204"/>
    <w:multiLevelType w:val="multilevel"/>
    <w:tmpl w:val="1A46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057CB"/>
    <w:multiLevelType w:val="multilevel"/>
    <w:tmpl w:val="94B2E04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E4B7A21"/>
    <w:multiLevelType w:val="hybridMultilevel"/>
    <w:tmpl w:val="4FF000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165945"/>
    <w:multiLevelType w:val="multilevel"/>
    <w:tmpl w:val="021E9BE0"/>
    <w:styleLink w:val="LFO2"/>
    <w:lvl w:ilvl="0">
      <w:numFmt w:val="bullet"/>
      <w:pStyle w:val="a"/>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1B45961"/>
    <w:multiLevelType w:val="multilevel"/>
    <w:tmpl w:val="6888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04652C"/>
    <w:multiLevelType w:val="multilevel"/>
    <w:tmpl w:val="50C28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26318E0"/>
    <w:multiLevelType w:val="hybridMultilevel"/>
    <w:tmpl w:val="C1A46210"/>
    <w:lvl w:ilvl="0" w:tplc="76EA6564">
      <w:start w:val="9"/>
      <w:numFmt w:val="bullet"/>
      <w:lvlText w:val=""/>
      <w:lvlPicBulletId w:val="0"/>
      <w:lvlJc w:val="left"/>
      <w:pPr>
        <w:ind w:left="644" w:hanging="360"/>
      </w:pPr>
      <w:rPr>
        <w:rFonts w:ascii="Symbol" w:eastAsia="Times New Roman" w:hAnsi="Symbol" w:cs="Times New Roman" w:hint="default"/>
        <w:color w:val="auto"/>
      </w:rPr>
    </w:lvl>
    <w:lvl w:ilvl="1" w:tplc="AA4A870A">
      <w:start w:val="1"/>
      <w:numFmt w:val="bullet"/>
      <w:lvlText w:val=""/>
      <w:lvlJc w:val="left"/>
      <w:pPr>
        <w:tabs>
          <w:tab w:val="num" w:pos="1440"/>
        </w:tabs>
        <w:ind w:left="1440" w:hanging="360"/>
      </w:pPr>
      <w:rPr>
        <w:rFonts w:ascii="Symbol" w:hAnsi="Symbol" w:hint="default"/>
        <w:color w:val="auto"/>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4232EF7"/>
    <w:multiLevelType w:val="multilevel"/>
    <w:tmpl w:val="CE868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D563A7"/>
    <w:multiLevelType w:val="multilevel"/>
    <w:tmpl w:val="7D00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C2542E"/>
    <w:multiLevelType w:val="multilevel"/>
    <w:tmpl w:val="5BA4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7219D"/>
    <w:multiLevelType w:val="multilevel"/>
    <w:tmpl w:val="68EC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F7599"/>
    <w:multiLevelType w:val="multilevel"/>
    <w:tmpl w:val="A0FE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0119C3"/>
    <w:multiLevelType w:val="hybridMultilevel"/>
    <w:tmpl w:val="34CCDEC6"/>
    <w:lvl w:ilvl="0" w:tplc="69CC4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121553"/>
    <w:multiLevelType w:val="multilevel"/>
    <w:tmpl w:val="A84E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691054"/>
    <w:multiLevelType w:val="hybridMultilevel"/>
    <w:tmpl w:val="1042292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402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3070A8"/>
    <w:multiLevelType w:val="multilevel"/>
    <w:tmpl w:val="4F22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875716"/>
    <w:multiLevelType w:val="multilevel"/>
    <w:tmpl w:val="4108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0F28E2"/>
    <w:multiLevelType w:val="multilevel"/>
    <w:tmpl w:val="20BAE2F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1F13328"/>
    <w:multiLevelType w:val="multilevel"/>
    <w:tmpl w:val="75608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603742"/>
    <w:multiLevelType w:val="multilevel"/>
    <w:tmpl w:val="35F6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A326DA"/>
    <w:multiLevelType w:val="multilevel"/>
    <w:tmpl w:val="693E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555D64"/>
    <w:multiLevelType w:val="multilevel"/>
    <w:tmpl w:val="26AE5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8C07DA"/>
    <w:multiLevelType w:val="multilevel"/>
    <w:tmpl w:val="DC8CA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953729A"/>
    <w:multiLevelType w:val="hybridMultilevel"/>
    <w:tmpl w:val="98965C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3B5908C9"/>
    <w:multiLevelType w:val="hybridMultilevel"/>
    <w:tmpl w:val="386CFBB4"/>
    <w:lvl w:ilvl="0" w:tplc="CAFCC8C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B664FC"/>
    <w:multiLevelType w:val="multilevel"/>
    <w:tmpl w:val="CB647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EDF248D"/>
    <w:multiLevelType w:val="multilevel"/>
    <w:tmpl w:val="DE2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1E5586"/>
    <w:multiLevelType w:val="multilevel"/>
    <w:tmpl w:val="558C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44423E"/>
    <w:multiLevelType w:val="multilevel"/>
    <w:tmpl w:val="EA68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11B78"/>
    <w:multiLevelType w:val="multilevel"/>
    <w:tmpl w:val="1A24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57607C"/>
    <w:multiLevelType w:val="hybridMultilevel"/>
    <w:tmpl w:val="BF34A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93038"/>
    <w:multiLevelType w:val="multilevel"/>
    <w:tmpl w:val="340C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9E346A"/>
    <w:multiLevelType w:val="multilevel"/>
    <w:tmpl w:val="EED0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0E7943"/>
    <w:multiLevelType w:val="multilevel"/>
    <w:tmpl w:val="806A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399C"/>
    <w:multiLevelType w:val="multilevel"/>
    <w:tmpl w:val="CD5E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9C0C50"/>
    <w:multiLevelType w:val="multilevel"/>
    <w:tmpl w:val="F0D0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A90E02"/>
    <w:multiLevelType w:val="multilevel"/>
    <w:tmpl w:val="3A44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0E0FC6"/>
    <w:multiLevelType w:val="multilevel"/>
    <w:tmpl w:val="80B0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99538E"/>
    <w:multiLevelType w:val="multilevel"/>
    <w:tmpl w:val="7F7A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6"/>
  </w:num>
  <w:num w:numId="3">
    <w:abstractNumId w:val="30"/>
  </w:num>
  <w:num w:numId="4">
    <w:abstractNumId w:val="14"/>
  </w:num>
  <w:num w:numId="5">
    <w:abstractNumId w:val="8"/>
  </w:num>
  <w:num w:numId="6">
    <w:abstractNumId w:val="0"/>
  </w:num>
  <w:num w:numId="7">
    <w:abstractNumId w:val="16"/>
  </w:num>
  <w:num w:numId="8">
    <w:abstractNumId w:val="25"/>
  </w:num>
  <w:num w:numId="9">
    <w:abstractNumId w:val="4"/>
  </w:num>
  <w:num w:numId="10">
    <w:abstractNumId w:val="32"/>
  </w:num>
  <w:num w:numId="11">
    <w:abstractNumId w:val="29"/>
  </w:num>
  <w:num w:numId="12">
    <w:abstractNumId w:val="35"/>
  </w:num>
  <w:num w:numId="13">
    <w:abstractNumId w:val="15"/>
  </w:num>
  <w:num w:numId="14">
    <w:abstractNumId w:val="38"/>
  </w:num>
  <w:num w:numId="15">
    <w:abstractNumId w:val="1"/>
  </w:num>
  <w:num w:numId="16">
    <w:abstractNumId w:val="10"/>
  </w:num>
  <w:num w:numId="17">
    <w:abstractNumId w:val="34"/>
  </w:num>
  <w:num w:numId="18">
    <w:abstractNumId w:val="22"/>
  </w:num>
  <w:num w:numId="19">
    <w:abstractNumId w:val="18"/>
  </w:num>
  <w:num w:numId="20">
    <w:abstractNumId w:val="36"/>
  </w:num>
  <w:num w:numId="21">
    <w:abstractNumId w:val="31"/>
  </w:num>
  <w:num w:numId="22">
    <w:abstractNumId w:val="12"/>
  </w:num>
  <w:num w:numId="23">
    <w:abstractNumId w:val="27"/>
  </w:num>
  <w:num w:numId="24">
    <w:abstractNumId w:val="23"/>
  </w:num>
  <w:num w:numId="25">
    <w:abstractNumId w:val="9"/>
  </w:num>
  <w:num w:numId="26">
    <w:abstractNumId w:val="2"/>
  </w:num>
  <w:num w:numId="27">
    <w:abstractNumId w:val="11"/>
  </w:num>
  <w:num w:numId="28">
    <w:abstractNumId w:val="21"/>
  </w:num>
  <w:num w:numId="29">
    <w:abstractNumId w:val="17"/>
  </w:num>
  <w:num w:numId="30">
    <w:abstractNumId w:val="13"/>
  </w:num>
  <w:num w:numId="31">
    <w:abstractNumId w:val="28"/>
  </w:num>
  <w:num w:numId="32">
    <w:abstractNumId w:val="39"/>
  </w:num>
  <w:num w:numId="33">
    <w:abstractNumId w:val="6"/>
  </w:num>
  <w:num w:numId="34">
    <w:abstractNumId w:val="40"/>
  </w:num>
  <w:num w:numId="35">
    <w:abstractNumId w:val="20"/>
  </w:num>
  <w:num w:numId="36">
    <w:abstractNumId w:val="33"/>
  </w:num>
  <w:num w:numId="37">
    <w:abstractNumId w:val="37"/>
  </w:num>
  <w:num w:numId="38">
    <w:abstractNumId w:val="5"/>
  </w:num>
  <w:num w:numId="39">
    <w:abstractNumId w:val="24"/>
  </w:num>
  <w:num w:numId="40">
    <w:abstractNumId w:val="7"/>
  </w:num>
  <w:num w:numId="41">
    <w:abstractNumId w:val="3"/>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5FD"/>
    <w:rsid w:val="000120B1"/>
    <w:rsid w:val="00025AFD"/>
    <w:rsid w:val="0008667F"/>
    <w:rsid w:val="000958BA"/>
    <w:rsid w:val="000C08BF"/>
    <w:rsid w:val="000C0A65"/>
    <w:rsid w:val="000C502B"/>
    <w:rsid w:val="000C7A78"/>
    <w:rsid w:val="000E6301"/>
    <w:rsid w:val="0010518D"/>
    <w:rsid w:val="00105CA9"/>
    <w:rsid w:val="00130927"/>
    <w:rsid w:val="001569BD"/>
    <w:rsid w:val="00181DFA"/>
    <w:rsid w:val="0018674E"/>
    <w:rsid w:val="001945EE"/>
    <w:rsid w:val="001968FA"/>
    <w:rsid w:val="001A7523"/>
    <w:rsid w:val="001E14BD"/>
    <w:rsid w:val="00234C8E"/>
    <w:rsid w:val="002421F8"/>
    <w:rsid w:val="002504B2"/>
    <w:rsid w:val="00267868"/>
    <w:rsid w:val="00287A5E"/>
    <w:rsid w:val="0029304E"/>
    <w:rsid w:val="00293566"/>
    <w:rsid w:val="002C4BCE"/>
    <w:rsid w:val="002D6DF2"/>
    <w:rsid w:val="0031578C"/>
    <w:rsid w:val="00344BD9"/>
    <w:rsid w:val="0035323F"/>
    <w:rsid w:val="003A3C8A"/>
    <w:rsid w:val="003A59A6"/>
    <w:rsid w:val="003E386A"/>
    <w:rsid w:val="003F1E11"/>
    <w:rsid w:val="0049715D"/>
    <w:rsid w:val="004C5987"/>
    <w:rsid w:val="00504F77"/>
    <w:rsid w:val="00507ECA"/>
    <w:rsid w:val="005241FC"/>
    <w:rsid w:val="0054549E"/>
    <w:rsid w:val="00552C7F"/>
    <w:rsid w:val="00563A45"/>
    <w:rsid w:val="005647BA"/>
    <w:rsid w:val="005D4CF9"/>
    <w:rsid w:val="005E1D70"/>
    <w:rsid w:val="005E2EF9"/>
    <w:rsid w:val="006124F0"/>
    <w:rsid w:val="006279C2"/>
    <w:rsid w:val="00655BDE"/>
    <w:rsid w:val="00710B61"/>
    <w:rsid w:val="007524AE"/>
    <w:rsid w:val="007551DB"/>
    <w:rsid w:val="007578C8"/>
    <w:rsid w:val="00784019"/>
    <w:rsid w:val="0079383F"/>
    <w:rsid w:val="007A25D0"/>
    <w:rsid w:val="007B4871"/>
    <w:rsid w:val="007F55B8"/>
    <w:rsid w:val="00827D10"/>
    <w:rsid w:val="00846CFE"/>
    <w:rsid w:val="00857FC8"/>
    <w:rsid w:val="008835AD"/>
    <w:rsid w:val="00894BB7"/>
    <w:rsid w:val="008F3215"/>
    <w:rsid w:val="009652D5"/>
    <w:rsid w:val="00980EED"/>
    <w:rsid w:val="00981F59"/>
    <w:rsid w:val="009B7AA4"/>
    <w:rsid w:val="009F187D"/>
    <w:rsid w:val="00A62234"/>
    <w:rsid w:val="00A76EB1"/>
    <w:rsid w:val="00AC4E7D"/>
    <w:rsid w:val="00AC7D28"/>
    <w:rsid w:val="00AF2F79"/>
    <w:rsid w:val="00AF353F"/>
    <w:rsid w:val="00B115FD"/>
    <w:rsid w:val="00B15C26"/>
    <w:rsid w:val="00B64F9C"/>
    <w:rsid w:val="00B83E44"/>
    <w:rsid w:val="00BA3B5E"/>
    <w:rsid w:val="00C04BF9"/>
    <w:rsid w:val="00C13DB8"/>
    <w:rsid w:val="00C204C7"/>
    <w:rsid w:val="00C265E7"/>
    <w:rsid w:val="00C440B2"/>
    <w:rsid w:val="00C6115A"/>
    <w:rsid w:val="00C73891"/>
    <w:rsid w:val="00CE4276"/>
    <w:rsid w:val="00CF07D6"/>
    <w:rsid w:val="00D27783"/>
    <w:rsid w:val="00D4546A"/>
    <w:rsid w:val="00D46042"/>
    <w:rsid w:val="00D56D09"/>
    <w:rsid w:val="00DD315B"/>
    <w:rsid w:val="00DE2B8B"/>
    <w:rsid w:val="00E21F3C"/>
    <w:rsid w:val="00E3017F"/>
    <w:rsid w:val="00EB36F8"/>
    <w:rsid w:val="00F47F90"/>
    <w:rsid w:val="00F651AA"/>
    <w:rsid w:val="00F72830"/>
    <w:rsid w:val="00F74B3B"/>
    <w:rsid w:val="00F834BF"/>
    <w:rsid w:val="00F87BC3"/>
    <w:rsid w:val="00FD3516"/>
    <w:rsid w:val="00FE776F"/>
    <w:rsid w:val="00FF0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127EA8"/>
  <w15:docId w15:val="{BEACAC77-A46F-4FE4-AF70-CF23AF292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4C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E21F3C"/>
    <w:pPr>
      <w:keepNext/>
      <w:keepLines/>
      <w:spacing w:before="40" w:after="0"/>
      <w:outlineLvl w:val="1"/>
    </w:pPr>
    <w:rPr>
      <w:rFonts w:ascii="Times New Roman" w:eastAsiaTheme="majorEastAsia" w:hAnsi="Times New Roman" w:cs="Times New Roman"/>
      <w:b/>
      <w:bCs/>
      <w:color w:val="2F5496" w:themeColor="accent1" w:themeShade="BF"/>
      <w:sz w:val="24"/>
      <w:szCs w:val="24"/>
      <w:lang w:val="bg-BG"/>
    </w:rPr>
  </w:style>
  <w:style w:type="paragraph" w:styleId="Heading4">
    <w:name w:val="heading 4"/>
    <w:basedOn w:val="Normal"/>
    <w:next w:val="Normal"/>
    <w:link w:val="Heading4Char"/>
    <w:uiPriority w:val="9"/>
    <w:unhideWhenUsed/>
    <w:qFormat/>
    <w:rsid w:val="00D27783"/>
    <w:pPr>
      <w:keepNext/>
      <w:keepLines/>
      <w:spacing w:before="200" w:after="0"/>
      <w:outlineLvl w:val="3"/>
    </w:pPr>
    <w:rPr>
      <w:rFonts w:ascii="Calibri Light" w:eastAsia="Times New Roman" w:hAnsi="Calibri Light" w:cs="Times New Roman"/>
      <w:i/>
      <w:iCs/>
      <w:color w:val="2E74B5"/>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15F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ПАРАГРАФ,Colorful List - Accent 11,List1,List Paragraph compact,Normal bullet 2,Paragraphe de liste 2,Reference list,Bullet list,Numbered List,Paragraph,Bullet EY,List Paragraph11,Normal bullet 21,List L1"/>
    <w:basedOn w:val="Normal"/>
    <w:link w:val="ListParagraphChar"/>
    <w:uiPriority w:val="34"/>
    <w:qFormat/>
    <w:rsid w:val="00B115FD"/>
    <w:pPr>
      <w:ind w:left="720"/>
      <w:contextualSpacing/>
    </w:pPr>
  </w:style>
  <w:style w:type="paragraph" w:styleId="FootnoteText">
    <w:name w:val="footnote text"/>
    <w:aliases w:val="Footnote Text Quote,f, Char,Char,single space,Podrozdział,Fußnotentext arial,stile 1,Footnote1,Footnote2,Footnote3,Footnote4,Footnote5,Footnote6,Footnote7,Footnote8,Footnote9,Footnote10,Footnote11,Footnote21,Footnote31,Footnote41"/>
    <w:basedOn w:val="Normal"/>
    <w:link w:val="FootnoteTextChar"/>
    <w:uiPriority w:val="99"/>
    <w:unhideWhenUsed/>
    <w:qFormat/>
    <w:rsid w:val="00B115FD"/>
    <w:pPr>
      <w:spacing w:after="0" w:line="240" w:lineRule="auto"/>
    </w:pPr>
    <w:rPr>
      <w:sz w:val="20"/>
      <w:szCs w:val="20"/>
    </w:rPr>
  </w:style>
  <w:style w:type="character" w:customStyle="1" w:styleId="FootnoteTextChar">
    <w:name w:val="Footnote Text Char"/>
    <w:aliases w:val="Footnote Text Quote Char,f Char, Char Char,Char Char,single space Char,Podrozdział Char,Fußnotentext arial Char,stile 1 Char,Footnote1 Char,Footnote2 Char,Footnote3 Char,Footnote4 Char,Footnote5 Char,Footnote6 Char,Footnote7 Char"/>
    <w:basedOn w:val="DefaultParagraphFont"/>
    <w:link w:val="FootnoteText"/>
    <w:uiPriority w:val="99"/>
    <w:qFormat/>
    <w:rsid w:val="00B115FD"/>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stylish,16 Point"/>
    <w:basedOn w:val="DefaultParagraphFont"/>
    <w:link w:val="CharCharCharCharCarChar"/>
    <w:unhideWhenUsed/>
    <w:qFormat/>
    <w:rsid w:val="00B115FD"/>
    <w:rPr>
      <w:vertAlign w:val="superscript"/>
    </w:rPr>
  </w:style>
  <w:style w:type="paragraph" w:customStyle="1" w:styleId="CharCharCharCharCarChar">
    <w:name w:val="Char Char Char Char Car Char"/>
    <w:aliases w:val="Char Char Char Char Car Char Char1,Char Char Char1,16 Point Char1,Superscript 6 Point Char1,ftref Char1,Char Char Char1 Char Char Char"/>
    <w:basedOn w:val="Normal"/>
    <w:next w:val="Normal"/>
    <w:link w:val="FootnoteReference"/>
    <w:rsid w:val="00B115FD"/>
    <w:pPr>
      <w:spacing w:line="240" w:lineRule="exact"/>
    </w:pPr>
    <w:rPr>
      <w:vertAlign w:val="superscript"/>
    </w:rPr>
  </w:style>
  <w:style w:type="character" w:customStyle="1" w:styleId="ListParagraphChar">
    <w:name w:val="List Paragraph Char"/>
    <w:aliases w:val="ПАРАГРАФ Char,Colorful List - Accent 11 Char,List1 Char,List Paragraph compact Char,Normal bullet 2 Char,Paragraphe de liste 2 Char,Reference list Char,Bullet list Char,Numbered List Char,Paragraph Char,Bullet EY Char,List L1 Char"/>
    <w:link w:val="ListParagraph"/>
    <w:uiPriority w:val="34"/>
    <w:qFormat/>
    <w:rsid w:val="00B115FD"/>
  </w:style>
  <w:style w:type="paragraph" w:styleId="BalloonText">
    <w:name w:val="Balloon Text"/>
    <w:basedOn w:val="Normal"/>
    <w:link w:val="BalloonTextChar"/>
    <w:uiPriority w:val="99"/>
    <w:semiHidden/>
    <w:unhideWhenUsed/>
    <w:rsid w:val="003F1E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E11"/>
    <w:rPr>
      <w:rFonts w:ascii="Segoe UI" w:hAnsi="Segoe UI" w:cs="Segoe UI"/>
      <w:sz w:val="18"/>
      <w:szCs w:val="18"/>
    </w:rPr>
  </w:style>
  <w:style w:type="table" w:styleId="TableGrid">
    <w:name w:val="Table Grid"/>
    <w:basedOn w:val="TableNormal"/>
    <w:uiPriority w:val="39"/>
    <w:rsid w:val="00BA3B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3B5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2">
    <w:name w:val="A2"/>
    <w:uiPriority w:val="99"/>
    <w:rsid w:val="00BA3B5E"/>
    <w:rPr>
      <w:rFonts w:cs="EC Square Sans Pro"/>
      <w:color w:val="000000"/>
      <w:sz w:val="22"/>
      <w:szCs w:val="22"/>
    </w:rPr>
  </w:style>
  <w:style w:type="character" w:customStyle="1" w:styleId="CommentTextChar">
    <w:name w:val="Comment Text Char"/>
    <w:basedOn w:val="DefaultParagraphFont"/>
    <w:link w:val="CommentText"/>
    <w:uiPriority w:val="99"/>
    <w:rsid w:val="00BA3B5E"/>
    <w:rPr>
      <w:b/>
      <w:sz w:val="20"/>
      <w:szCs w:val="20"/>
    </w:rPr>
  </w:style>
  <w:style w:type="paragraph" w:styleId="CommentText">
    <w:name w:val="annotation text"/>
    <w:basedOn w:val="Normal"/>
    <w:link w:val="CommentTextChar"/>
    <w:uiPriority w:val="99"/>
    <w:unhideWhenUsed/>
    <w:rsid w:val="00BA3B5E"/>
    <w:pPr>
      <w:spacing w:line="240" w:lineRule="auto"/>
    </w:pPr>
    <w:rPr>
      <w:b/>
      <w:sz w:val="20"/>
      <w:szCs w:val="20"/>
    </w:rPr>
  </w:style>
  <w:style w:type="character" w:customStyle="1" w:styleId="CommentTextChar1">
    <w:name w:val="Comment Text Char1"/>
    <w:basedOn w:val="DefaultParagraphFont"/>
    <w:uiPriority w:val="99"/>
    <w:semiHidden/>
    <w:rsid w:val="00BA3B5E"/>
    <w:rPr>
      <w:sz w:val="20"/>
      <w:szCs w:val="20"/>
    </w:rPr>
  </w:style>
  <w:style w:type="character" w:styleId="CommentReference">
    <w:name w:val="annotation reference"/>
    <w:basedOn w:val="DefaultParagraphFont"/>
    <w:uiPriority w:val="99"/>
    <w:semiHidden/>
    <w:unhideWhenUsed/>
    <w:rsid w:val="00BA3B5E"/>
    <w:rPr>
      <w:sz w:val="16"/>
      <w:szCs w:val="16"/>
    </w:rPr>
  </w:style>
  <w:style w:type="character" w:customStyle="1" w:styleId="Heading4Char">
    <w:name w:val="Heading 4 Char"/>
    <w:basedOn w:val="DefaultParagraphFont"/>
    <w:link w:val="Heading4"/>
    <w:uiPriority w:val="9"/>
    <w:rsid w:val="00D27783"/>
    <w:rPr>
      <w:rFonts w:ascii="Calibri Light" w:eastAsia="Times New Roman" w:hAnsi="Calibri Light" w:cs="Times New Roman"/>
      <w:i/>
      <w:iCs/>
      <w:color w:val="2E74B5"/>
      <w:lang w:val="bg-BG"/>
    </w:rPr>
  </w:style>
  <w:style w:type="character" w:styleId="Strong">
    <w:name w:val="Strong"/>
    <w:basedOn w:val="DefaultParagraphFont"/>
    <w:uiPriority w:val="22"/>
    <w:qFormat/>
    <w:rsid w:val="00D27783"/>
    <w:rPr>
      <w:b/>
      <w:bCs/>
    </w:rPr>
  </w:style>
  <w:style w:type="character" w:styleId="Emphasis">
    <w:name w:val="Emphasis"/>
    <w:basedOn w:val="DefaultParagraphFont"/>
    <w:uiPriority w:val="20"/>
    <w:qFormat/>
    <w:rsid w:val="00D27783"/>
    <w:rPr>
      <w:i/>
      <w:iCs/>
    </w:rPr>
  </w:style>
  <w:style w:type="character" w:styleId="Hyperlink">
    <w:name w:val="Hyperlink"/>
    <w:basedOn w:val="DefaultParagraphFont"/>
    <w:uiPriority w:val="99"/>
    <w:unhideWhenUsed/>
    <w:rsid w:val="00D27783"/>
    <w:rPr>
      <w:color w:val="0000FF"/>
      <w:u w:val="single"/>
    </w:rPr>
  </w:style>
  <w:style w:type="paragraph" w:styleId="EndnoteText">
    <w:name w:val="endnote text"/>
    <w:basedOn w:val="Normal"/>
    <w:link w:val="EndnoteTextChar"/>
    <w:uiPriority w:val="99"/>
    <w:semiHidden/>
    <w:unhideWhenUsed/>
    <w:rsid w:val="00D277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7783"/>
    <w:rPr>
      <w:sz w:val="20"/>
      <w:szCs w:val="20"/>
    </w:rPr>
  </w:style>
  <w:style w:type="character" w:styleId="EndnoteReference">
    <w:name w:val="endnote reference"/>
    <w:basedOn w:val="DefaultParagraphFont"/>
    <w:uiPriority w:val="99"/>
    <w:semiHidden/>
    <w:unhideWhenUsed/>
    <w:rsid w:val="00D27783"/>
    <w:rPr>
      <w:vertAlign w:val="superscript"/>
    </w:rPr>
  </w:style>
  <w:style w:type="character" w:styleId="FollowedHyperlink">
    <w:name w:val="FollowedHyperlink"/>
    <w:basedOn w:val="DefaultParagraphFont"/>
    <w:uiPriority w:val="99"/>
    <w:semiHidden/>
    <w:unhideWhenUsed/>
    <w:rsid w:val="00D27783"/>
    <w:rPr>
      <w:color w:val="954F72" w:themeColor="followedHyperlink"/>
      <w:u w:val="single"/>
    </w:rPr>
  </w:style>
  <w:style w:type="character" w:customStyle="1" w:styleId="UnresolvedMention1">
    <w:name w:val="Unresolved Mention1"/>
    <w:basedOn w:val="DefaultParagraphFont"/>
    <w:uiPriority w:val="99"/>
    <w:semiHidden/>
    <w:unhideWhenUsed/>
    <w:rsid w:val="00D27783"/>
    <w:rPr>
      <w:color w:val="605E5C"/>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qFormat/>
    <w:rsid w:val="00D27783"/>
    <w:pPr>
      <w:spacing w:line="240" w:lineRule="exact"/>
      <w:jc w:val="both"/>
    </w:pPr>
    <w:rPr>
      <w:vertAlign w:val="superscript"/>
    </w:rPr>
  </w:style>
  <w:style w:type="paragraph" w:customStyle="1" w:styleId="a0">
    <w:name w:val="Нормален"/>
    <w:basedOn w:val="Normal"/>
    <w:next w:val="Normal"/>
    <w:rsid w:val="00D27783"/>
    <w:pPr>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a1">
    <w:name w:val="Шрифт на абзаца по подразбиране"/>
    <w:rsid w:val="00DD315B"/>
  </w:style>
  <w:style w:type="paragraph" w:customStyle="1" w:styleId="a3">
    <w:name w:val="Списък на абзаци"/>
    <w:basedOn w:val="a0"/>
    <w:rsid w:val="007578C8"/>
    <w:pPr>
      <w:suppressAutoHyphens/>
      <w:adjustRightInd/>
      <w:ind w:left="720"/>
      <w:textAlignment w:val="baseline"/>
    </w:pPr>
  </w:style>
  <w:style w:type="paragraph" w:customStyle="1" w:styleId="a">
    <w:name w:val="Списък с водещи символи"/>
    <w:basedOn w:val="a0"/>
    <w:rsid w:val="007578C8"/>
    <w:pPr>
      <w:numPr>
        <w:numId w:val="38"/>
      </w:numPr>
      <w:suppressAutoHyphens/>
      <w:adjustRightInd/>
      <w:spacing w:after="240"/>
      <w:jc w:val="both"/>
      <w:textAlignment w:val="baseline"/>
    </w:pPr>
    <w:rPr>
      <w:lang w:val="en-GB"/>
    </w:rPr>
  </w:style>
  <w:style w:type="character" w:customStyle="1" w:styleId="None">
    <w:name w:val="None"/>
    <w:rsid w:val="007578C8"/>
  </w:style>
  <w:style w:type="numbering" w:customStyle="1" w:styleId="LFO2">
    <w:name w:val="LFO2"/>
    <w:basedOn w:val="NoList"/>
    <w:rsid w:val="007578C8"/>
    <w:pPr>
      <w:numPr>
        <w:numId w:val="38"/>
      </w:numPr>
    </w:pPr>
  </w:style>
  <w:style w:type="character" w:customStyle="1" w:styleId="Heading2Char">
    <w:name w:val="Heading 2 Char"/>
    <w:basedOn w:val="DefaultParagraphFont"/>
    <w:link w:val="Heading2"/>
    <w:uiPriority w:val="9"/>
    <w:rsid w:val="00E21F3C"/>
    <w:rPr>
      <w:rFonts w:ascii="Times New Roman" w:eastAsiaTheme="majorEastAsia" w:hAnsi="Times New Roman" w:cs="Times New Roman"/>
      <w:b/>
      <w:bCs/>
      <w:color w:val="2F5496" w:themeColor="accent1" w:themeShade="BF"/>
      <w:sz w:val="24"/>
      <w:szCs w:val="24"/>
      <w:lang w:val="bg-BG"/>
    </w:rPr>
  </w:style>
  <w:style w:type="paragraph" w:styleId="Header">
    <w:name w:val="header"/>
    <w:basedOn w:val="Normal"/>
    <w:link w:val="HeaderChar"/>
    <w:uiPriority w:val="99"/>
    <w:unhideWhenUsed/>
    <w:rsid w:val="00C04B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4BF9"/>
  </w:style>
  <w:style w:type="paragraph" w:styleId="Footer">
    <w:name w:val="footer"/>
    <w:basedOn w:val="Normal"/>
    <w:link w:val="FooterChar"/>
    <w:uiPriority w:val="99"/>
    <w:unhideWhenUsed/>
    <w:rsid w:val="00C04B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4BF9"/>
  </w:style>
  <w:style w:type="character" w:customStyle="1" w:styleId="Heading1Char">
    <w:name w:val="Heading 1 Char"/>
    <w:basedOn w:val="DefaultParagraphFont"/>
    <w:link w:val="Heading1"/>
    <w:uiPriority w:val="9"/>
    <w:rsid w:val="00C204C7"/>
    <w:rPr>
      <w:rFonts w:asciiTheme="majorHAnsi" w:eastAsiaTheme="majorEastAsia" w:hAnsiTheme="majorHAnsi" w:cstheme="majorBidi"/>
      <w:b/>
      <w:bCs/>
      <w:color w:val="2F5496" w:themeColor="accent1" w:themeShade="BF"/>
      <w:sz w:val="28"/>
      <w:szCs w:val="28"/>
    </w:rPr>
  </w:style>
  <w:style w:type="paragraph" w:styleId="TOCHeading">
    <w:name w:val="TOC Heading"/>
    <w:basedOn w:val="Heading1"/>
    <w:next w:val="Normal"/>
    <w:uiPriority w:val="39"/>
    <w:semiHidden/>
    <w:unhideWhenUsed/>
    <w:qFormat/>
    <w:rsid w:val="00C204C7"/>
    <w:pPr>
      <w:spacing w:line="276" w:lineRule="auto"/>
      <w:outlineLvl w:val="9"/>
    </w:pPr>
    <w:rPr>
      <w:lang w:eastAsia="ja-JP"/>
    </w:rPr>
  </w:style>
  <w:style w:type="paragraph" w:styleId="TOC2">
    <w:name w:val="toc 2"/>
    <w:basedOn w:val="Normal"/>
    <w:next w:val="Normal"/>
    <w:autoRedefine/>
    <w:uiPriority w:val="39"/>
    <w:unhideWhenUsed/>
    <w:rsid w:val="00C204C7"/>
    <w:pPr>
      <w:spacing w:after="100"/>
      <w:ind w:left="220"/>
    </w:pPr>
  </w:style>
  <w:style w:type="paragraph" w:styleId="TableofFigures">
    <w:name w:val="table of figures"/>
    <w:basedOn w:val="Normal"/>
    <w:next w:val="Normal"/>
    <w:uiPriority w:val="99"/>
    <w:unhideWhenUsed/>
    <w:rsid w:val="00C204C7"/>
    <w:pPr>
      <w:spacing w:after="0"/>
    </w:pPr>
    <w:rPr>
      <w:rFonts w:ascii="Times New Roman" w:hAnsi="Times New Roman"/>
    </w:rPr>
  </w:style>
  <w:style w:type="paragraph" w:styleId="Caption">
    <w:name w:val="caption"/>
    <w:basedOn w:val="Normal"/>
    <w:next w:val="Normal"/>
    <w:uiPriority w:val="35"/>
    <w:unhideWhenUsed/>
    <w:qFormat/>
    <w:rsid w:val="00F834BF"/>
    <w:pPr>
      <w:spacing w:after="200" w:line="240" w:lineRule="auto"/>
    </w:pPr>
    <w:rPr>
      <w:b/>
      <w:bCs/>
      <w:color w:val="4472C4" w:themeColor="accent1"/>
      <w:sz w:val="18"/>
      <w:szCs w:val="18"/>
    </w:rPr>
  </w:style>
  <w:style w:type="paragraph" w:styleId="CommentSubject">
    <w:name w:val="annotation subject"/>
    <w:basedOn w:val="CommentText"/>
    <w:next w:val="CommentText"/>
    <w:link w:val="CommentSubjectChar"/>
    <w:uiPriority w:val="99"/>
    <w:semiHidden/>
    <w:unhideWhenUsed/>
    <w:rsid w:val="00894BB7"/>
    <w:rPr>
      <w:bCs/>
    </w:rPr>
  </w:style>
  <w:style w:type="character" w:customStyle="1" w:styleId="CommentSubjectChar">
    <w:name w:val="Comment Subject Char"/>
    <w:basedOn w:val="CommentTextChar"/>
    <w:link w:val="CommentSubject"/>
    <w:uiPriority w:val="99"/>
    <w:semiHidden/>
    <w:rsid w:val="00894B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90226">
      <w:bodyDiv w:val="1"/>
      <w:marLeft w:val="0"/>
      <w:marRight w:val="0"/>
      <w:marTop w:val="0"/>
      <w:marBottom w:val="0"/>
      <w:divBdr>
        <w:top w:val="none" w:sz="0" w:space="0" w:color="auto"/>
        <w:left w:val="none" w:sz="0" w:space="0" w:color="auto"/>
        <w:bottom w:val="none" w:sz="0" w:space="0" w:color="auto"/>
        <w:right w:val="none" w:sz="0" w:space="0" w:color="auto"/>
      </w:divBdr>
      <w:divsChild>
        <w:div w:id="18008816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1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3494">
      <w:bodyDiv w:val="1"/>
      <w:marLeft w:val="0"/>
      <w:marRight w:val="0"/>
      <w:marTop w:val="0"/>
      <w:marBottom w:val="0"/>
      <w:divBdr>
        <w:top w:val="none" w:sz="0" w:space="0" w:color="auto"/>
        <w:left w:val="none" w:sz="0" w:space="0" w:color="auto"/>
        <w:bottom w:val="none" w:sz="0" w:space="0" w:color="auto"/>
        <w:right w:val="none" w:sz="0" w:space="0" w:color="auto"/>
      </w:divBdr>
    </w:div>
    <w:div w:id="1222012440">
      <w:bodyDiv w:val="1"/>
      <w:marLeft w:val="0"/>
      <w:marRight w:val="0"/>
      <w:marTop w:val="0"/>
      <w:marBottom w:val="0"/>
      <w:divBdr>
        <w:top w:val="none" w:sz="0" w:space="0" w:color="auto"/>
        <w:left w:val="none" w:sz="0" w:space="0" w:color="auto"/>
        <w:bottom w:val="none" w:sz="0" w:space="0" w:color="auto"/>
        <w:right w:val="none" w:sz="0" w:space="0" w:color="auto"/>
      </w:divBdr>
    </w:div>
    <w:div w:id="1297489484">
      <w:bodyDiv w:val="1"/>
      <w:marLeft w:val="0"/>
      <w:marRight w:val="0"/>
      <w:marTop w:val="0"/>
      <w:marBottom w:val="0"/>
      <w:divBdr>
        <w:top w:val="none" w:sz="0" w:space="0" w:color="auto"/>
        <w:left w:val="none" w:sz="0" w:space="0" w:color="auto"/>
        <w:bottom w:val="none" w:sz="0" w:space="0" w:color="auto"/>
        <w:right w:val="none" w:sz="0" w:space="0" w:color="auto"/>
      </w:divBdr>
    </w:div>
    <w:div w:id="1649823998">
      <w:bodyDiv w:val="1"/>
      <w:marLeft w:val="0"/>
      <w:marRight w:val="0"/>
      <w:marTop w:val="0"/>
      <w:marBottom w:val="0"/>
      <w:divBdr>
        <w:top w:val="none" w:sz="0" w:space="0" w:color="auto"/>
        <w:left w:val="none" w:sz="0" w:space="0" w:color="auto"/>
        <w:bottom w:val="none" w:sz="0" w:space="0" w:color="auto"/>
        <w:right w:val="none" w:sz="0" w:space="0" w:color="auto"/>
      </w:divBdr>
    </w:div>
    <w:div w:id="213713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strategy/international-strategies/global-topics/sustainable-development-goals/sustainable-development-goals-sdgs-multi-stakeholder-platform_bg" TargetMode="External"/><Relationship Id="rId13" Type="http://schemas.openxmlformats.org/officeDocument/2006/relationships/image" Target="media/image2.emf"/><Relationship Id="rId18" Type="http://schemas.openxmlformats.org/officeDocument/2006/relationships/image" Target="media/image5.emf"/><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4.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chart" Target="charts/chart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7.xml"/><Relationship Id="rId28"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image" Target="media/image6.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oew.government.bg/wp-content/uploads/file/Waste/Legislation/Zakoni/Basel_Convention.pdf" TargetMode="External"/><Relationship Id="rId14" Type="http://schemas.openxmlformats.org/officeDocument/2006/relationships/chart" Target="charts/chart4.xml"/><Relationship Id="rId22" Type="http://schemas.openxmlformats.org/officeDocument/2006/relationships/image" Target="media/image8.emf"/><Relationship Id="rId27" Type="http://schemas.openxmlformats.org/officeDocument/2006/relationships/image" Target="media/image10.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moew.government.bg/bg/doklad-za-ekologichna-ocenka-na-nacionalniya-plan-za-upravlenie-na-otpaducite-za-perioda-2021-2028-g/" TargetMode="External"/><Relationship Id="rId2" Type="http://schemas.openxmlformats.org/officeDocument/2006/relationships/hyperlink" Target="https://www.moew.government.bg/bg/doklad-za-ekologichna-ocenka-na-nacionalniya-plan-za-upravlenie-na-otpaducite-za-perioda-2021-2028-g/" TargetMode="External"/><Relationship Id="rId1" Type="http://schemas.openxmlformats.org/officeDocument/2006/relationships/hyperlink" Target="https://ec.europa.eu/eurostat/databrowser/view/t2020_rt100/default/bar?lang=en" TargetMode="External"/><Relationship Id="rId5" Type="http://schemas.openxmlformats.org/officeDocument/2006/relationships/hyperlink" Target="https://ec.europa.eu/transparency/regdoc/index.cfm?fuseaction=list&amp;n=10&amp;adv=0&amp;coteId=1&amp;year=2018&amp;number=656&amp;dateFrom=&amp;dateTo=&amp;serviceId=&amp;documentType=&amp;title=&amp;titleLanguage=&amp;titleSearch=EXACT&amp;sortBy=NUMBER&amp;sortOrder=DESC" TargetMode="External"/><Relationship Id="rId4" Type="http://schemas.openxmlformats.org/officeDocument/2006/relationships/hyperlink" Target="https://www.moew.government.bg/bg/doklad-za-ekologichna-ocenka-na-nacionalniya-plan-za-upravlenie-na-otpaducite-za-perioda-2021-2028-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Rosi%202020\&#1060;&#1056;&#1040;&#1050;&#1058;&#1040;&#1051;&#1048;\Natsionalna%20strategia%20OS\&#1080;&#1079;&#1087;&#1098;&#1083;&#1085;&#1077;&#1085;&#1080;&#1077;\info\otpadatsi\&#1091;&#1090;&#1072;&#1081;&#1082;&#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boyadzhieva\Downloads\ENV_WASGEN$DEFAULTVIEW1620216369617.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1" Type="http://schemas.openxmlformats.org/officeDocument/2006/relationships/oleObject" Target="file:///C:\Rosi%202020\&#1060;&#1056;&#1040;&#1050;&#1058;&#1040;&#1051;&#1048;\Natsionalna%20strategia%20OS\&#1080;&#1079;&#1087;&#1098;&#1083;&#1085;&#1077;&#1085;&#1080;&#1077;\info\otpadatsi\NSI\Ecology_2.1%20NSI.xls"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lenovo-ts140\Club_Iconomika\2020\Current\MOSV%20Otpadatsi\Implementation\analizi\Rabotni%20analiz%201\tablici%20za%20word.xlsx" TargetMode="External"/><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Rosi%202020\&#1060;&#1056;&#1040;&#1050;&#1058;&#1040;&#1051;&#1048;\Natsionalna%20strategia%20OS\&#1080;&#1079;&#1087;&#1098;&#1083;&#1085;&#1077;&#1085;&#1080;&#1077;\info\otpadatsi\report&#1053;&#1057;&#1048;%20&#1041;&#1044;&#105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Rosi%202020\&#1060;&#1056;&#1040;&#1050;&#1058;&#1040;&#1051;&#1048;\Natsionalna%20strategia%20OS\&#1080;&#1079;&#1087;&#1098;&#1083;&#1085;&#1077;&#1085;&#1080;&#1077;\info\otpadatsi\NSI\Ecology_2.1%20NSI.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rboyadzhieva\Downloads\ENV_AC_MFAIN$DEFAULTVIEW162020921233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общо образувани утайки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Sheet1!$B$2:$B$10</c:f>
              <c:numCache>
                <c:formatCode>General</c:formatCode>
                <c:ptCount val="9"/>
                <c:pt idx="0">
                  <c:v>49.8</c:v>
                </c:pt>
                <c:pt idx="1">
                  <c:v>51.4</c:v>
                </c:pt>
                <c:pt idx="2">
                  <c:v>59.3</c:v>
                </c:pt>
                <c:pt idx="3">
                  <c:v>60.3</c:v>
                </c:pt>
                <c:pt idx="4">
                  <c:v>54.9</c:v>
                </c:pt>
                <c:pt idx="5">
                  <c:v>57.4</c:v>
                </c:pt>
                <c:pt idx="6">
                  <c:v>65.8</c:v>
                </c:pt>
                <c:pt idx="7">
                  <c:v>68.7</c:v>
                </c:pt>
                <c:pt idx="8">
                  <c:v>53.1</c:v>
                </c:pt>
              </c:numCache>
            </c:numRef>
          </c:val>
          <c:extLst>
            <c:ext xmlns:c16="http://schemas.microsoft.com/office/drawing/2014/chart" uri="{C3380CC4-5D6E-409C-BE32-E72D297353CC}">
              <c16:uniqueId val="{00000000-F377-43AD-92F5-3188E858C988}"/>
            </c:ext>
          </c:extLst>
        </c:ser>
        <c:ser>
          <c:idx val="1"/>
          <c:order val="1"/>
          <c:tx>
            <c:strRef>
              <c:f>Sheet1!$C$1</c:f>
              <c:strCache>
                <c:ptCount val="1"/>
                <c:pt idx="0">
                  <c:v>общо третирани утайки</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Sheet1!$C$2:$C$10</c:f>
              <c:numCache>
                <c:formatCode>General</c:formatCode>
                <c:ptCount val="9"/>
                <c:pt idx="0">
                  <c:v>39.700000000000003</c:v>
                </c:pt>
                <c:pt idx="1">
                  <c:v>31.1</c:v>
                </c:pt>
                <c:pt idx="2">
                  <c:v>41.8</c:v>
                </c:pt>
                <c:pt idx="3">
                  <c:v>30.2</c:v>
                </c:pt>
                <c:pt idx="4">
                  <c:v>32.6</c:v>
                </c:pt>
                <c:pt idx="5">
                  <c:v>47.2</c:v>
                </c:pt>
                <c:pt idx="6">
                  <c:v>47.1</c:v>
                </c:pt>
                <c:pt idx="7">
                  <c:v>45.3</c:v>
                </c:pt>
                <c:pt idx="8">
                  <c:v>42.3</c:v>
                </c:pt>
              </c:numCache>
            </c:numRef>
          </c:val>
          <c:extLst>
            <c:ext xmlns:c16="http://schemas.microsoft.com/office/drawing/2014/chart" uri="{C3380CC4-5D6E-409C-BE32-E72D297353CC}">
              <c16:uniqueId val="{00000001-F377-43AD-92F5-3188E858C988}"/>
            </c:ext>
          </c:extLst>
        </c:ser>
        <c:dLbls>
          <c:showLegendKey val="0"/>
          <c:showVal val="0"/>
          <c:showCatName val="0"/>
          <c:showSerName val="0"/>
          <c:showPercent val="0"/>
          <c:showBubbleSize val="0"/>
        </c:dLbls>
        <c:gapWidth val="219"/>
        <c:overlap val="-27"/>
        <c:axId val="46414848"/>
        <c:axId val="150180352"/>
      </c:barChart>
      <c:catAx>
        <c:axId val="46414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180352"/>
        <c:crosses val="autoZero"/>
        <c:auto val="1"/>
        <c:lblAlgn val="ctr"/>
        <c:lblOffset val="100"/>
        <c:noMultiLvlLbl val="0"/>
      </c:catAx>
      <c:valAx>
        <c:axId val="150180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14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 1'!$D$11:$M$11</c:f>
              <c:strCache>
                <c:ptCount val="9"/>
                <c:pt idx="0">
                  <c:v>2010</c:v>
                </c:pt>
                <c:pt idx="2">
                  <c:v>2012</c:v>
                </c:pt>
                <c:pt idx="4">
                  <c:v>2014</c:v>
                </c:pt>
                <c:pt idx="6">
                  <c:v>2016</c:v>
                </c:pt>
                <c:pt idx="8">
                  <c:v>2018</c:v>
                </c:pt>
              </c:strCache>
            </c:strRef>
          </c:cat>
          <c:val>
            <c:numRef>
              <c:f>'Sheet 1'!$D$12:$M$12</c:f>
            </c:numRef>
          </c:val>
          <c:extLst>
            <c:ext xmlns:c16="http://schemas.microsoft.com/office/drawing/2014/chart" uri="{C3380CC4-5D6E-409C-BE32-E72D297353CC}">
              <c16:uniqueId val="{00000000-C856-48AB-A345-FD59F2A7F4B4}"/>
            </c:ext>
          </c:extLst>
        </c:ser>
        <c:ser>
          <c:idx val="1"/>
          <c:order val="1"/>
          <c:spPr>
            <a:solidFill>
              <a:schemeClr val="accent2"/>
            </a:solidFill>
            <a:ln>
              <a:noFill/>
            </a:ln>
            <a:effectLst/>
          </c:spPr>
          <c:invertIfNegative val="0"/>
          <c:dPt>
            <c:idx val="0"/>
            <c:invertIfNegative val="0"/>
            <c:bubble3D val="0"/>
            <c:spPr>
              <a:solidFill>
                <a:schemeClr val="accent1">
                  <a:lumMod val="60000"/>
                  <a:lumOff val="40000"/>
                </a:schemeClr>
              </a:solidFill>
              <a:ln>
                <a:noFill/>
              </a:ln>
              <a:effectLst/>
            </c:spPr>
            <c:extLst>
              <c:ext xmlns:c16="http://schemas.microsoft.com/office/drawing/2014/chart" uri="{C3380CC4-5D6E-409C-BE32-E72D297353CC}">
                <c16:uniqueId val="{00000002-C856-48AB-A345-FD59F2A7F4B4}"/>
              </c:ext>
            </c:extLst>
          </c:dPt>
          <c:dPt>
            <c:idx val="2"/>
            <c:invertIfNegative val="0"/>
            <c:bubble3D val="0"/>
            <c:spPr>
              <a:solidFill>
                <a:schemeClr val="accent2">
                  <a:lumMod val="60000"/>
                  <a:lumOff val="40000"/>
                </a:schemeClr>
              </a:solidFill>
              <a:ln>
                <a:noFill/>
              </a:ln>
              <a:effectLst/>
            </c:spPr>
            <c:extLst>
              <c:ext xmlns:c16="http://schemas.microsoft.com/office/drawing/2014/chart" uri="{C3380CC4-5D6E-409C-BE32-E72D297353CC}">
                <c16:uniqueId val="{00000004-C856-48AB-A345-FD59F2A7F4B4}"/>
              </c:ext>
            </c:extLst>
          </c:dPt>
          <c:dPt>
            <c:idx val="4"/>
            <c:invertIfNegative val="0"/>
            <c:bubble3D val="0"/>
            <c:spPr>
              <a:solidFill>
                <a:schemeClr val="accent3">
                  <a:lumMod val="60000"/>
                  <a:lumOff val="40000"/>
                </a:schemeClr>
              </a:solidFill>
              <a:ln>
                <a:noFill/>
              </a:ln>
              <a:effectLst/>
            </c:spPr>
            <c:extLst>
              <c:ext xmlns:c16="http://schemas.microsoft.com/office/drawing/2014/chart" uri="{C3380CC4-5D6E-409C-BE32-E72D297353CC}">
                <c16:uniqueId val="{00000006-C856-48AB-A345-FD59F2A7F4B4}"/>
              </c:ext>
            </c:extLst>
          </c:dPt>
          <c:dPt>
            <c:idx val="6"/>
            <c:invertIfNegative val="0"/>
            <c:bubble3D val="0"/>
            <c:spPr>
              <a:solidFill>
                <a:schemeClr val="accent4">
                  <a:lumMod val="60000"/>
                  <a:lumOff val="40000"/>
                </a:schemeClr>
              </a:solidFill>
              <a:ln>
                <a:noFill/>
              </a:ln>
              <a:effectLst/>
            </c:spPr>
            <c:extLst>
              <c:ext xmlns:c16="http://schemas.microsoft.com/office/drawing/2014/chart" uri="{C3380CC4-5D6E-409C-BE32-E72D297353CC}">
                <c16:uniqueId val="{00000008-C856-48AB-A345-FD59F2A7F4B4}"/>
              </c:ext>
            </c:extLst>
          </c:dPt>
          <c:dPt>
            <c:idx val="8"/>
            <c:invertIfNegative val="0"/>
            <c:bubble3D val="0"/>
            <c:spPr>
              <a:solidFill>
                <a:schemeClr val="accent6">
                  <a:lumMod val="60000"/>
                  <a:lumOff val="40000"/>
                </a:schemeClr>
              </a:solidFill>
              <a:ln>
                <a:noFill/>
              </a:ln>
              <a:effectLst/>
            </c:spPr>
            <c:extLst>
              <c:ext xmlns:c16="http://schemas.microsoft.com/office/drawing/2014/chart" uri="{C3380CC4-5D6E-409C-BE32-E72D297353CC}">
                <c16:uniqueId val="{0000000A-C856-48AB-A345-FD59F2A7F4B4}"/>
              </c:ext>
            </c:extLst>
          </c:dPt>
          <c:cat>
            <c:strRef>
              <c:f>'Sheet 1'!$D$11:$M$11</c:f>
              <c:strCache>
                <c:ptCount val="9"/>
                <c:pt idx="0">
                  <c:v>2010</c:v>
                </c:pt>
                <c:pt idx="2">
                  <c:v>2012</c:v>
                </c:pt>
                <c:pt idx="4">
                  <c:v>2014</c:v>
                </c:pt>
                <c:pt idx="6">
                  <c:v>2016</c:v>
                </c:pt>
                <c:pt idx="8">
                  <c:v>2018</c:v>
                </c:pt>
              </c:strCache>
            </c:strRef>
          </c:cat>
          <c:val>
            <c:numRef>
              <c:f>'Sheet 1'!$D$13:$M$13</c:f>
              <c:numCache>
                <c:formatCode>#,##0</c:formatCode>
                <c:ptCount val="10"/>
                <c:pt idx="0">
                  <c:v>2339</c:v>
                </c:pt>
                <c:pt idx="1">
                  <c:v>0</c:v>
                </c:pt>
                <c:pt idx="2">
                  <c:v>2638</c:v>
                </c:pt>
                <c:pt idx="3">
                  <c:v>0</c:v>
                </c:pt>
                <c:pt idx="4">
                  <c:v>7629</c:v>
                </c:pt>
                <c:pt idx="5">
                  <c:v>0</c:v>
                </c:pt>
                <c:pt idx="6">
                  <c:v>5091</c:v>
                </c:pt>
                <c:pt idx="7">
                  <c:v>0</c:v>
                </c:pt>
                <c:pt idx="8">
                  <c:v>5506</c:v>
                </c:pt>
                <c:pt idx="9">
                  <c:v>0</c:v>
                </c:pt>
              </c:numCache>
            </c:numRef>
          </c:val>
          <c:extLst>
            <c:ext xmlns:c16="http://schemas.microsoft.com/office/drawing/2014/chart" uri="{C3380CC4-5D6E-409C-BE32-E72D297353CC}">
              <c16:uniqueId val="{0000000B-C856-48AB-A345-FD59F2A7F4B4}"/>
            </c:ext>
          </c:extLst>
        </c:ser>
        <c:dLbls>
          <c:showLegendKey val="0"/>
          <c:showVal val="0"/>
          <c:showCatName val="0"/>
          <c:showSerName val="0"/>
          <c:showPercent val="0"/>
          <c:showBubbleSize val="0"/>
        </c:dLbls>
        <c:gapWidth val="219"/>
        <c:overlap val="-27"/>
        <c:axId val="46415360"/>
        <c:axId val="150182080"/>
      </c:barChart>
      <c:catAx>
        <c:axId val="46415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0182080"/>
        <c:crosses val="autoZero"/>
        <c:auto val="1"/>
        <c:lblAlgn val="ctr"/>
        <c:lblOffset val="100"/>
        <c:noMultiLvlLbl val="0"/>
      </c:catAx>
      <c:valAx>
        <c:axId val="1501820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15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971679852667578E-2"/>
          <c:y val="5.9139784946236562E-2"/>
          <c:w val="0.86613571871535167"/>
          <c:h val="0.64425662517991689"/>
        </c:manualLayout>
      </c:layout>
      <c:bar3DChart>
        <c:barDir val="col"/>
        <c:grouping val="clustered"/>
        <c:varyColors val="0"/>
        <c:ser>
          <c:idx val="0"/>
          <c:order val="0"/>
          <c:spPr>
            <a:solidFill>
              <a:schemeClr val="accent1"/>
            </a:solidFill>
            <a:ln>
              <a:noFill/>
            </a:ln>
            <a:effectLst/>
            <a:sp3d/>
          </c:spPr>
          <c:invertIfNegative val="0"/>
          <c:cat>
            <c:strRef>
              <c:f>Sheet1!$A$2:$A$5</c:f>
              <c:strCache>
                <c:ptCount val="4"/>
                <c:pt idx="0">
                  <c:v>Общо образувани битови отпадъци</c:v>
                </c:pt>
                <c:pt idx="1">
                  <c:v>директно депонирани БО</c:v>
                </c:pt>
                <c:pt idx="2">
                  <c:v>БО за предварително третиране</c:v>
                </c:pt>
                <c:pt idx="3">
                  <c:v>БО за рециклиране</c:v>
                </c:pt>
              </c:strCache>
            </c:strRef>
          </c:cat>
          <c:val>
            <c:numRef>
              <c:f>Sheet1!$B$2:$B$5</c:f>
              <c:numCache>
                <c:formatCode>General</c:formatCode>
                <c:ptCount val="4"/>
              </c:numCache>
            </c:numRef>
          </c:val>
          <c:extLst>
            <c:ext xmlns:c16="http://schemas.microsoft.com/office/drawing/2014/chart" uri="{C3380CC4-5D6E-409C-BE32-E72D297353CC}">
              <c16:uniqueId val="{00000000-DE10-4C1D-A301-B80FA1ACD21F}"/>
            </c:ext>
          </c:extLst>
        </c:ser>
        <c:ser>
          <c:idx val="1"/>
          <c:order val="1"/>
          <c:spPr>
            <a:solidFill>
              <a:schemeClr val="accent2"/>
            </a:solidFill>
            <a:ln>
              <a:noFill/>
            </a:ln>
            <a:effectLst/>
            <a:sp3d/>
          </c:spPr>
          <c:invertIfNegative val="0"/>
          <c:dPt>
            <c:idx val="1"/>
            <c:invertIfNegative val="0"/>
            <c:bubble3D val="0"/>
            <c:spPr>
              <a:solidFill>
                <a:schemeClr val="bg2">
                  <a:lumMod val="50000"/>
                </a:schemeClr>
              </a:solidFill>
              <a:ln>
                <a:noFill/>
              </a:ln>
              <a:effectLst/>
              <a:sp3d/>
            </c:spPr>
            <c:extLst>
              <c:ext xmlns:c16="http://schemas.microsoft.com/office/drawing/2014/chart" uri="{C3380CC4-5D6E-409C-BE32-E72D297353CC}">
                <c16:uniqueId val="{00000002-DE10-4C1D-A301-B80FA1ACD21F}"/>
              </c:ext>
            </c:extLst>
          </c:dPt>
          <c:dPt>
            <c:idx val="2"/>
            <c:invertIfNegative val="0"/>
            <c:bubble3D val="0"/>
            <c:spPr>
              <a:solidFill>
                <a:srgbClr val="FFC000"/>
              </a:solidFill>
              <a:ln>
                <a:noFill/>
              </a:ln>
              <a:effectLst/>
              <a:sp3d/>
            </c:spPr>
            <c:extLst>
              <c:ext xmlns:c16="http://schemas.microsoft.com/office/drawing/2014/chart" uri="{C3380CC4-5D6E-409C-BE32-E72D297353CC}">
                <c16:uniqueId val="{00000004-DE10-4C1D-A301-B80FA1ACD21F}"/>
              </c:ext>
            </c:extLst>
          </c:dPt>
          <c:dPt>
            <c:idx val="3"/>
            <c:invertIfNegative val="0"/>
            <c:bubble3D val="0"/>
            <c:spPr>
              <a:solidFill>
                <a:srgbClr val="92D050"/>
              </a:solidFill>
              <a:ln>
                <a:noFill/>
              </a:ln>
              <a:effectLst/>
              <a:sp3d/>
            </c:spPr>
            <c:extLst>
              <c:ext xmlns:c16="http://schemas.microsoft.com/office/drawing/2014/chart" uri="{C3380CC4-5D6E-409C-BE32-E72D297353CC}">
                <c16:uniqueId val="{00000006-DE10-4C1D-A301-B80FA1ACD21F}"/>
              </c:ext>
            </c:extLst>
          </c:dPt>
          <c:cat>
            <c:strRef>
              <c:f>Sheet1!$A$2:$A$5</c:f>
              <c:strCache>
                <c:ptCount val="4"/>
                <c:pt idx="0">
                  <c:v>Общо образувани битови отпадъци</c:v>
                </c:pt>
                <c:pt idx="1">
                  <c:v>директно депонирани БО</c:v>
                </c:pt>
                <c:pt idx="2">
                  <c:v>БО за предварително третиране</c:v>
                </c:pt>
                <c:pt idx="3">
                  <c:v>БО за рециклиране</c:v>
                </c:pt>
              </c:strCache>
            </c:strRef>
          </c:cat>
          <c:val>
            <c:numRef>
              <c:f>Sheet1!$C$2:$C$5</c:f>
              <c:numCache>
                <c:formatCode>0</c:formatCode>
                <c:ptCount val="4"/>
                <c:pt idx="0">
                  <c:v>2861.518</c:v>
                </c:pt>
                <c:pt idx="1">
                  <c:v>833.76900000000001</c:v>
                </c:pt>
                <c:pt idx="2">
                  <c:v>1813.1320000000001</c:v>
                </c:pt>
                <c:pt idx="3">
                  <c:v>214.61699999999999</c:v>
                </c:pt>
              </c:numCache>
            </c:numRef>
          </c:val>
          <c:extLst>
            <c:ext xmlns:c16="http://schemas.microsoft.com/office/drawing/2014/chart" uri="{C3380CC4-5D6E-409C-BE32-E72D297353CC}">
              <c16:uniqueId val="{00000007-DE10-4C1D-A301-B80FA1ACD21F}"/>
            </c:ext>
          </c:extLst>
        </c:ser>
        <c:dLbls>
          <c:showLegendKey val="0"/>
          <c:showVal val="0"/>
          <c:showCatName val="0"/>
          <c:showSerName val="0"/>
          <c:showPercent val="0"/>
          <c:showBubbleSize val="0"/>
        </c:dLbls>
        <c:gapWidth val="150"/>
        <c:shape val="box"/>
        <c:axId val="82398208"/>
        <c:axId val="82952192"/>
        <c:axId val="0"/>
      </c:bar3DChart>
      <c:catAx>
        <c:axId val="823982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952192"/>
        <c:crosses val="autoZero"/>
        <c:auto val="1"/>
        <c:lblAlgn val="ctr"/>
        <c:lblOffset val="100"/>
        <c:noMultiLvlLbl val="0"/>
      </c:catAx>
      <c:valAx>
        <c:axId val="82952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3982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935892388451443"/>
          <c:y val="7.1330154153266059E-2"/>
          <c:w val="0.78952996500437433"/>
          <c:h val="0.48391748918709115"/>
        </c:manualLayout>
      </c:layout>
      <c:bar3DChart>
        <c:barDir val="col"/>
        <c:grouping val="clustered"/>
        <c:varyColors val="0"/>
        <c:ser>
          <c:idx val="0"/>
          <c:order val="0"/>
          <c:tx>
            <c:strRef>
              <c:f>Sheet1!$A$2</c:f>
              <c:strCache>
                <c:ptCount val="1"/>
                <c:pt idx="0">
                  <c:v>неопасни отпадъци</c:v>
                </c:pt>
              </c:strCache>
            </c:strRef>
          </c:tx>
          <c:spPr>
            <a:solidFill>
              <a:schemeClr val="accent1"/>
            </a:solidFill>
            <a:ln>
              <a:noFill/>
            </a:ln>
            <a:effectLst/>
            <a:sp3d/>
          </c:spPr>
          <c:invertIfNegative val="0"/>
          <c:cat>
            <c:strRef>
              <c:f>Sheet1!$B$1:$E$1</c:f>
              <c:strCache>
                <c:ptCount val="4"/>
                <c:pt idx="0">
                  <c:v>общо образувани</c:v>
                </c:pt>
                <c:pt idx="1">
                  <c:v>предадени за оползотворяване</c:v>
                </c:pt>
                <c:pt idx="2">
                  <c:v>предадени за обезвреждане</c:v>
                </c:pt>
                <c:pt idx="3">
                  <c:v>изнесени извън страната</c:v>
                </c:pt>
              </c:strCache>
            </c:strRef>
          </c:cat>
          <c:val>
            <c:numRef>
              <c:f>Sheet1!$B$2:$E$2</c:f>
              <c:numCache>
                <c:formatCode>#,##0.00</c:formatCode>
                <c:ptCount val="4"/>
                <c:pt idx="0">
                  <c:v>112824784.537</c:v>
                </c:pt>
                <c:pt idx="1">
                  <c:v>3023694.736</c:v>
                </c:pt>
                <c:pt idx="2">
                  <c:v>9540053.1960000005</c:v>
                </c:pt>
                <c:pt idx="3">
                  <c:v>35086.168999999994</c:v>
                </c:pt>
              </c:numCache>
            </c:numRef>
          </c:val>
          <c:extLst>
            <c:ext xmlns:c16="http://schemas.microsoft.com/office/drawing/2014/chart" uri="{C3380CC4-5D6E-409C-BE32-E72D297353CC}">
              <c16:uniqueId val="{00000000-18DC-4F05-AFED-10EA65704392}"/>
            </c:ext>
          </c:extLst>
        </c:ser>
        <c:ser>
          <c:idx val="1"/>
          <c:order val="1"/>
          <c:tx>
            <c:strRef>
              <c:f>Sheet1!$A$3</c:f>
              <c:strCache>
                <c:ptCount val="1"/>
                <c:pt idx="0">
                  <c:v>опасни отпадъци</c:v>
                </c:pt>
              </c:strCache>
            </c:strRef>
          </c:tx>
          <c:spPr>
            <a:solidFill>
              <a:schemeClr val="accent2"/>
            </a:solidFill>
            <a:ln>
              <a:noFill/>
            </a:ln>
            <a:effectLst/>
            <a:sp3d/>
          </c:spPr>
          <c:invertIfNegative val="0"/>
          <c:cat>
            <c:strRef>
              <c:f>Sheet1!$B$1:$E$1</c:f>
              <c:strCache>
                <c:ptCount val="4"/>
                <c:pt idx="0">
                  <c:v>общо образувани</c:v>
                </c:pt>
                <c:pt idx="1">
                  <c:v>предадени за оползотворяване</c:v>
                </c:pt>
                <c:pt idx="2">
                  <c:v>предадени за обезвреждане</c:v>
                </c:pt>
                <c:pt idx="3">
                  <c:v>изнесени извън страната</c:v>
                </c:pt>
              </c:strCache>
            </c:strRef>
          </c:cat>
          <c:val>
            <c:numRef>
              <c:f>Sheet1!$B$3:$E$3</c:f>
              <c:numCache>
                <c:formatCode>#,##0.00</c:formatCode>
                <c:ptCount val="4"/>
                <c:pt idx="0">
                  <c:v>13313374.157</c:v>
                </c:pt>
                <c:pt idx="1">
                  <c:v>36185.754000000001</c:v>
                </c:pt>
                <c:pt idx="2">
                  <c:v>34306.199999999997</c:v>
                </c:pt>
                <c:pt idx="3">
                  <c:v>3374.5729999999999</c:v>
                </c:pt>
              </c:numCache>
            </c:numRef>
          </c:val>
          <c:extLst>
            <c:ext xmlns:c16="http://schemas.microsoft.com/office/drawing/2014/chart" uri="{C3380CC4-5D6E-409C-BE32-E72D297353CC}">
              <c16:uniqueId val="{00000001-18DC-4F05-AFED-10EA65704392}"/>
            </c:ext>
          </c:extLst>
        </c:ser>
        <c:dLbls>
          <c:showLegendKey val="0"/>
          <c:showVal val="0"/>
          <c:showCatName val="0"/>
          <c:showSerName val="0"/>
          <c:showPercent val="0"/>
          <c:showBubbleSize val="0"/>
        </c:dLbls>
        <c:gapWidth val="150"/>
        <c:shape val="box"/>
        <c:axId val="132286976"/>
        <c:axId val="82953920"/>
        <c:axId val="0"/>
      </c:bar3DChart>
      <c:catAx>
        <c:axId val="132286976"/>
        <c:scaling>
          <c:orientation val="minMax"/>
        </c:scaling>
        <c:delete val="0"/>
        <c:axPos val="b"/>
        <c:numFmt formatCode="General" sourceLinked="1"/>
        <c:majorTickMark val="none"/>
        <c:minorTickMark val="none"/>
        <c:tickLblPos val="nextTo"/>
        <c:spPr>
          <a:noFill/>
          <a:ln>
            <a:noFill/>
          </a:ln>
          <a:effectLst/>
        </c:spPr>
        <c:txPr>
          <a:bodyPr rot="114000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953920"/>
        <c:crosses val="autoZero"/>
        <c:auto val="1"/>
        <c:lblAlgn val="ctr"/>
        <c:lblOffset val="100"/>
        <c:noMultiLvlLbl val="0"/>
      </c:catAx>
      <c:valAx>
        <c:axId val="8295392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32286976"/>
        <c:crosses val="autoZero"/>
        <c:crossBetween val="between"/>
      </c:valAx>
      <c:spPr>
        <a:noFill/>
        <a:ln>
          <a:noFill/>
        </a:ln>
        <a:effectLst/>
      </c:spPr>
    </c:plotArea>
    <c:legend>
      <c:legendPos val="b"/>
      <c:layout>
        <c:manualLayout>
          <c:xMode val="edge"/>
          <c:yMode val="edge"/>
          <c:x val="0.85401681787059225"/>
          <c:y val="0.10492891205500722"/>
          <c:w val="0.14522723382403288"/>
          <c:h val="0.438733059775978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Sheet12!$C$9</c:f>
              <c:strCache>
                <c:ptCount val="1"/>
                <c:pt idx="0">
                  <c:v>Предадени за оползотворяване</c:v>
                </c:pt>
              </c:strCache>
            </c:strRef>
          </c:tx>
          <c:spPr>
            <a:solidFill>
              <a:schemeClr val="accent1"/>
            </a:solidFill>
            <a:ln>
              <a:noFill/>
            </a:ln>
            <a:effectLst/>
          </c:spPr>
          <c:invertIfNegative val="0"/>
          <c:cat>
            <c:numRef>
              <c:f>Sheet12!$D$8:$Q$8</c:f>
              <c:numCache>
                <c:formatCode>General</c:formatCode>
                <c:ptCount val="14"/>
                <c:pt idx="0">
                  <c:v>2004</c:v>
                </c:pt>
                <c:pt idx="1">
                  <c:v>2005</c:v>
                </c:pt>
                <c:pt idx="2">
                  <c:v>2006</c:v>
                </c:pt>
                <c:pt idx="3">
                  <c:v>2007</c:v>
                </c:pt>
                <c:pt idx="4">
                  <c:v>2008</c:v>
                </c:pt>
                <c:pt idx="5">
                  <c:v>2009</c:v>
                </c:pt>
                <c:pt idx="6">
                  <c:v>2010</c:v>
                </c:pt>
                <c:pt idx="7">
                  <c:v>2011</c:v>
                </c:pt>
                <c:pt idx="8">
                  <c:v>2013</c:v>
                </c:pt>
                <c:pt idx="9">
                  <c:v>2014</c:v>
                </c:pt>
                <c:pt idx="10">
                  <c:v>2015</c:v>
                </c:pt>
                <c:pt idx="11">
                  <c:v>2016</c:v>
                </c:pt>
                <c:pt idx="12">
                  <c:v>2017</c:v>
                </c:pt>
                <c:pt idx="13">
                  <c:v>2018</c:v>
                </c:pt>
              </c:numCache>
            </c:numRef>
          </c:cat>
          <c:val>
            <c:numRef>
              <c:f>Sheet12!$D$9:$Q$9</c:f>
              <c:numCache>
                <c:formatCode>0.00%</c:formatCode>
                <c:ptCount val="14"/>
                <c:pt idx="0">
                  <c:v>4.1768467553225212E-3</c:v>
                </c:pt>
                <c:pt idx="1">
                  <c:v>4.3524535242012177E-2</c:v>
                </c:pt>
                <c:pt idx="2">
                  <c:v>0.20620692323147363</c:v>
                </c:pt>
                <c:pt idx="3">
                  <c:v>2.6989235633164802E-2</c:v>
                </c:pt>
                <c:pt idx="4">
                  <c:v>0.11956015073793309</c:v>
                </c:pt>
                <c:pt idx="5">
                  <c:v>0.30681945111256992</c:v>
                </c:pt>
                <c:pt idx="6">
                  <c:v>0.10347252060466389</c:v>
                </c:pt>
                <c:pt idx="7">
                  <c:v>0.25799388785919436</c:v>
                </c:pt>
                <c:pt idx="8">
                  <c:v>8.8339368947636776E-2</c:v>
                </c:pt>
                <c:pt idx="9">
                  <c:v>0.29044401450608376</c:v>
                </c:pt>
                <c:pt idx="10">
                  <c:v>0.26268942410917334</c:v>
                </c:pt>
                <c:pt idx="11">
                  <c:v>0.72162420824951512</c:v>
                </c:pt>
                <c:pt idx="12">
                  <c:v>0.26581602140481514</c:v>
                </c:pt>
                <c:pt idx="13">
                  <c:v>0.7391146052826052</c:v>
                </c:pt>
              </c:numCache>
            </c:numRef>
          </c:val>
          <c:extLst>
            <c:ext xmlns:c16="http://schemas.microsoft.com/office/drawing/2014/chart" uri="{C3380CC4-5D6E-409C-BE32-E72D297353CC}">
              <c16:uniqueId val="{00000000-CDC1-465F-966A-2120A30E66F6}"/>
            </c:ext>
          </c:extLst>
        </c:ser>
        <c:ser>
          <c:idx val="1"/>
          <c:order val="1"/>
          <c:tx>
            <c:strRef>
              <c:f>Sheet12!$C$10</c:f>
              <c:strCache>
                <c:ptCount val="1"/>
                <c:pt idx="0">
                  <c:v>Предадени за обезвреждане</c:v>
                </c:pt>
              </c:strCache>
            </c:strRef>
          </c:tx>
          <c:spPr>
            <a:solidFill>
              <a:schemeClr val="accent2"/>
            </a:solidFill>
            <a:ln>
              <a:noFill/>
            </a:ln>
            <a:effectLst/>
          </c:spPr>
          <c:invertIfNegative val="0"/>
          <c:cat>
            <c:numRef>
              <c:f>Sheet12!$D$8:$Q$8</c:f>
              <c:numCache>
                <c:formatCode>General</c:formatCode>
                <c:ptCount val="14"/>
                <c:pt idx="0">
                  <c:v>2004</c:v>
                </c:pt>
                <c:pt idx="1">
                  <c:v>2005</c:v>
                </c:pt>
                <c:pt idx="2">
                  <c:v>2006</c:v>
                </c:pt>
                <c:pt idx="3">
                  <c:v>2007</c:v>
                </c:pt>
                <c:pt idx="4">
                  <c:v>2008</c:v>
                </c:pt>
                <c:pt idx="5">
                  <c:v>2009</c:v>
                </c:pt>
                <c:pt idx="6">
                  <c:v>2010</c:v>
                </c:pt>
                <c:pt idx="7">
                  <c:v>2011</c:v>
                </c:pt>
                <c:pt idx="8">
                  <c:v>2013</c:v>
                </c:pt>
                <c:pt idx="9">
                  <c:v>2014</c:v>
                </c:pt>
                <c:pt idx="10">
                  <c:v>2015</c:v>
                </c:pt>
                <c:pt idx="11">
                  <c:v>2016</c:v>
                </c:pt>
                <c:pt idx="12">
                  <c:v>2017</c:v>
                </c:pt>
                <c:pt idx="13">
                  <c:v>2018</c:v>
                </c:pt>
              </c:numCache>
            </c:numRef>
          </c:cat>
          <c:val>
            <c:numRef>
              <c:f>Sheet12!$D$10:$Q$10</c:f>
              <c:numCache>
                <c:formatCode>0.00%</c:formatCode>
                <c:ptCount val="14"/>
                <c:pt idx="0">
                  <c:v>0.11049733634324826</c:v>
                </c:pt>
                <c:pt idx="1">
                  <c:v>0.60708297539895228</c:v>
                </c:pt>
                <c:pt idx="2">
                  <c:v>0.40562701305702636</c:v>
                </c:pt>
                <c:pt idx="3">
                  <c:v>0.3140169138503392</c:v>
                </c:pt>
                <c:pt idx="4">
                  <c:v>0.50850636390693116</c:v>
                </c:pt>
                <c:pt idx="5">
                  <c:v>0.25448016382359567</c:v>
                </c:pt>
                <c:pt idx="6">
                  <c:v>0.4408030936291551</c:v>
                </c:pt>
                <c:pt idx="7">
                  <c:v>0.15842046435291954</c:v>
                </c:pt>
                <c:pt idx="8">
                  <c:v>6.6827580348855178E-2</c:v>
                </c:pt>
                <c:pt idx="9">
                  <c:v>0.36116541125683677</c:v>
                </c:pt>
                <c:pt idx="10">
                  <c:v>0.33108710963157878</c:v>
                </c:pt>
                <c:pt idx="11">
                  <c:v>4.0812247337284259E-2</c:v>
                </c:pt>
                <c:pt idx="12">
                  <c:v>0.46037834382987808</c:v>
                </c:pt>
                <c:pt idx="13">
                  <c:v>0.12034303000126241</c:v>
                </c:pt>
              </c:numCache>
            </c:numRef>
          </c:val>
          <c:extLst>
            <c:ext xmlns:c16="http://schemas.microsoft.com/office/drawing/2014/chart" uri="{C3380CC4-5D6E-409C-BE32-E72D297353CC}">
              <c16:uniqueId val="{00000001-CDC1-465F-966A-2120A30E66F6}"/>
            </c:ext>
          </c:extLst>
        </c:ser>
        <c:dLbls>
          <c:showLegendKey val="0"/>
          <c:showVal val="0"/>
          <c:showCatName val="0"/>
          <c:showSerName val="0"/>
          <c:showPercent val="0"/>
          <c:showBubbleSize val="0"/>
        </c:dLbls>
        <c:gapWidth val="219"/>
        <c:overlap val="-27"/>
        <c:axId val="133372416"/>
        <c:axId val="82956800"/>
      </c:barChart>
      <c:catAx>
        <c:axId val="133372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956800"/>
        <c:crosses val="autoZero"/>
        <c:auto val="1"/>
        <c:lblAlgn val="ctr"/>
        <c:lblOffset val="100"/>
        <c:noMultiLvlLbl val="0"/>
      </c:catAx>
      <c:valAx>
        <c:axId val="829568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33372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Sheet1!$B$2</c:f>
              <c:strCache>
                <c:ptCount val="1"/>
                <c:pt idx="0">
                  <c:v>естуари</c:v>
                </c:pt>
              </c:strCache>
            </c:strRef>
          </c:tx>
          <c:spPr>
            <a:solidFill>
              <a:schemeClr val="accent1"/>
            </a:solidFill>
            <a:ln>
              <a:noFill/>
            </a:ln>
            <a:effectLst/>
          </c:spPr>
          <c:invertIfNegative val="0"/>
          <c:cat>
            <c:strRef>
              <c:f>Sheet1!$A$3:$A$14</c:f>
              <c:strCache>
                <c:ptCount val="12"/>
                <c:pt idx="0">
                  <c:v>замърсяване</c:v>
                </c:pt>
                <c:pt idx="1">
                  <c:v>урбанизация</c:v>
                </c:pt>
                <c:pt idx="2">
                  <c:v>използване на природни ресурси</c:v>
                </c:pt>
                <c:pt idx="3">
                  <c:v>модификация на природните системи</c:v>
                </c:pt>
                <c:pt idx="4">
                  <c:v>климатични промени</c:v>
                </c:pt>
                <c:pt idx="5">
                  <c:v>селско стопанство</c:v>
                </c:pt>
                <c:pt idx="6">
                  <c:v>инвазивни видове</c:v>
                </c:pt>
                <c:pt idx="7">
                  <c:v>човешка намеса</c:v>
                </c:pt>
                <c:pt idx="8">
                  <c:v>минно дело и енергетика</c:v>
                </c:pt>
                <c:pt idx="9">
                  <c:v>транспорт</c:v>
                </c:pt>
                <c:pt idx="10">
                  <c:v>геоложки събития</c:v>
                </c:pt>
                <c:pt idx="11">
                  <c:v>природни процеси</c:v>
                </c:pt>
              </c:strCache>
            </c:strRef>
          </c:cat>
          <c:val>
            <c:numRef>
              <c:f>Sheet1!$B$3:$B$14</c:f>
              <c:numCache>
                <c:formatCode>General</c:formatCode>
                <c:ptCount val="12"/>
                <c:pt idx="0">
                  <c:v>3</c:v>
                </c:pt>
                <c:pt idx="1">
                  <c:v>2</c:v>
                </c:pt>
                <c:pt idx="2">
                  <c:v>1</c:v>
                </c:pt>
                <c:pt idx="3">
                  <c:v>1</c:v>
                </c:pt>
                <c:pt idx="4">
                  <c:v>0</c:v>
                </c:pt>
                <c:pt idx="5">
                  <c:v>1</c:v>
                </c:pt>
                <c:pt idx="6">
                  <c:v>0</c:v>
                </c:pt>
                <c:pt idx="7">
                  <c:v>0</c:v>
                </c:pt>
                <c:pt idx="8">
                  <c:v>0</c:v>
                </c:pt>
                <c:pt idx="9">
                  <c:v>0</c:v>
                </c:pt>
                <c:pt idx="10">
                  <c:v>0</c:v>
                </c:pt>
                <c:pt idx="11">
                  <c:v>0</c:v>
                </c:pt>
              </c:numCache>
            </c:numRef>
          </c:val>
          <c:extLst>
            <c:ext xmlns:c16="http://schemas.microsoft.com/office/drawing/2014/chart" uri="{C3380CC4-5D6E-409C-BE32-E72D297353CC}">
              <c16:uniqueId val="{00000000-500E-4071-A59B-D7B4BDC24BFE}"/>
            </c:ext>
          </c:extLst>
        </c:ser>
        <c:ser>
          <c:idx val="1"/>
          <c:order val="1"/>
          <c:tx>
            <c:strRef>
              <c:f>Sheet1!$C$2</c:f>
              <c:strCache>
                <c:ptCount val="1"/>
                <c:pt idx="0">
                  <c:v>инфралиторални скали</c:v>
                </c:pt>
              </c:strCache>
            </c:strRef>
          </c:tx>
          <c:spPr>
            <a:solidFill>
              <a:schemeClr val="accent2"/>
            </a:solidFill>
            <a:ln>
              <a:noFill/>
            </a:ln>
            <a:effectLst/>
          </c:spPr>
          <c:invertIfNegative val="0"/>
          <c:cat>
            <c:strRef>
              <c:f>Sheet1!$A$3:$A$14</c:f>
              <c:strCache>
                <c:ptCount val="12"/>
                <c:pt idx="0">
                  <c:v>замърсяване</c:v>
                </c:pt>
                <c:pt idx="1">
                  <c:v>урбанизация</c:v>
                </c:pt>
                <c:pt idx="2">
                  <c:v>използване на природни ресурси</c:v>
                </c:pt>
                <c:pt idx="3">
                  <c:v>модификация на природните системи</c:v>
                </c:pt>
                <c:pt idx="4">
                  <c:v>климатични промени</c:v>
                </c:pt>
                <c:pt idx="5">
                  <c:v>селско стопанство</c:v>
                </c:pt>
                <c:pt idx="6">
                  <c:v>инвазивни видове</c:v>
                </c:pt>
                <c:pt idx="7">
                  <c:v>човешка намеса</c:v>
                </c:pt>
                <c:pt idx="8">
                  <c:v>минно дело и енергетика</c:v>
                </c:pt>
                <c:pt idx="9">
                  <c:v>транспорт</c:v>
                </c:pt>
                <c:pt idx="10">
                  <c:v>геоложки събития</c:v>
                </c:pt>
                <c:pt idx="11">
                  <c:v>природни процеси</c:v>
                </c:pt>
              </c:strCache>
            </c:strRef>
          </c:cat>
          <c:val>
            <c:numRef>
              <c:f>Sheet1!$C$3:$C$14</c:f>
              <c:numCache>
                <c:formatCode>General</c:formatCode>
                <c:ptCount val="12"/>
                <c:pt idx="0">
                  <c:v>29</c:v>
                </c:pt>
                <c:pt idx="1">
                  <c:v>20</c:v>
                </c:pt>
                <c:pt idx="2">
                  <c:v>13</c:v>
                </c:pt>
                <c:pt idx="3">
                  <c:v>14</c:v>
                </c:pt>
                <c:pt idx="4">
                  <c:v>2</c:v>
                </c:pt>
                <c:pt idx="5">
                  <c:v>2</c:v>
                </c:pt>
                <c:pt idx="6">
                  <c:v>0</c:v>
                </c:pt>
                <c:pt idx="7">
                  <c:v>2</c:v>
                </c:pt>
                <c:pt idx="8">
                  <c:v>1</c:v>
                </c:pt>
                <c:pt idx="9">
                  <c:v>0</c:v>
                </c:pt>
                <c:pt idx="10">
                  <c:v>1</c:v>
                </c:pt>
                <c:pt idx="11">
                  <c:v>0</c:v>
                </c:pt>
              </c:numCache>
            </c:numRef>
          </c:val>
          <c:extLst>
            <c:ext xmlns:c16="http://schemas.microsoft.com/office/drawing/2014/chart" uri="{C3380CC4-5D6E-409C-BE32-E72D297353CC}">
              <c16:uniqueId val="{00000001-500E-4071-A59B-D7B4BDC24BFE}"/>
            </c:ext>
          </c:extLst>
        </c:ser>
        <c:ser>
          <c:idx val="2"/>
          <c:order val="2"/>
          <c:tx>
            <c:strRef>
              <c:f>Sheet1!$D$2</c:f>
              <c:strCache>
                <c:ptCount val="1"/>
                <c:pt idx="0">
                  <c:v>циркалиторални</c:v>
                </c:pt>
              </c:strCache>
            </c:strRef>
          </c:tx>
          <c:spPr>
            <a:solidFill>
              <a:schemeClr val="accent3"/>
            </a:solidFill>
            <a:ln>
              <a:noFill/>
            </a:ln>
            <a:effectLst/>
          </c:spPr>
          <c:invertIfNegative val="0"/>
          <c:cat>
            <c:strRef>
              <c:f>Sheet1!$A$3:$A$14</c:f>
              <c:strCache>
                <c:ptCount val="12"/>
                <c:pt idx="0">
                  <c:v>замърсяване</c:v>
                </c:pt>
                <c:pt idx="1">
                  <c:v>урбанизация</c:v>
                </c:pt>
                <c:pt idx="2">
                  <c:v>използване на природни ресурси</c:v>
                </c:pt>
                <c:pt idx="3">
                  <c:v>модификация на природните системи</c:v>
                </c:pt>
                <c:pt idx="4">
                  <c:v>климатични промени</c:v>
                </c:pt>
                <c:pt idx="5">
                  <c:v>селско стопанство</c:v>
                </c:pt>
                <c:pt idx="6">
                  <c:v>инвазивни видове</c:v>
                </c:pt>
                <c:pt idx="7">
                  <c:v>човешка намеса</c:v>
                </c:pt>
                <c:pt idx="8">
                  <c:v>минно дело и енергетика</c:v>
                </c:pt>
                <c:pt idx="9">
                  <c:v>транспорт</c:v>
                </c:pt>
                <c:pt idx="10">
                  <c:v>геоложки събития</c:v>
                </c:pt>
                <c:pt idx="11">
                  <c:v>природни процеси</c:v>
                </c:pt>
              </c:strCache>
            </c:strRef>
          </c:cat>
          <c:val>
            <c:numRef>
              <c:f>Sheet1!$D$3:$D$14</c:f>
              <c:numCache>
                <c:formatCode>General</c:formatCode>
                <c:ptCount val="12"/>
                <c:pt idx="0">
                  <c:v>14</c:v>
                </c:pt>
                <c:pt idx="1">
                  <c:v>1</c:v>
                </c:pt>
                <c:pt idx="2">
                  <c:v>12</c:v>
                </c:pt>
                <c:pt idx="3">
                  <c:v>7</c:v>
                </c:pt>
                <c:pt idx="4">
                  <c:v>2</c:v>
                </c:pt>
                <c:pt idx="5">
                  <c:v>1</c:v>
                </c:pt>
                <c:pt idx="6">
                  <c:v>3.5</c:v>
                </c:pt>
                <c:pt idx="7">
                  <c:v>0</c:v>
                </c:pt>
                <c:pt idx="8">
                  <c:v>1</c:v>
                </c:pt>
                <c:pt idx="9">
                  <c:v>0</c:v>
                </c:pt>
                <c:pt idx="10">
                  <c:v>0</c:v>
                </c:pt>
                <c:pt idx="11">
                  <c:v>0</c:v>
                </c:pt>
              </c:numCache>
            </c:numRef>
          </c:val>
          <c:extLst>
            <c:ext xmlns:c16="http://schemas.microsoft.com/office/drawing/2014/chart" uri="{C3380CC4-5D6E-409C-BE32-E72D297353CC}">
              <c16:uniqueId val="{00000002-500E-4071-A59B-D7B4BDC24BFE}"/>
            </c:ext>
          </c:extLst>
        </c:ser>
        <c:ser>
          <c:idx val="3"/>
          <c:order val="3"/>
          <c:tx>
            <c:strRef>
              <c:f>Sheet1!$E$2</c:f>
              <c:strCache>
                <c:ptCount val="1"/>
                <c:pt idx="0">
                  <c:v>литорални</c:v>
                </c:pt>
              </c:strCache>
            </c:strRef>
          </c:tx>
          <c:spPr>
            <a:solidFill>
              <a:schemeClr val="accent4"/>
            </a:solidFill>
            <a:ln>
              <a:noFill/>
            </a:ln>
            <a:effectLst/>
          </c:spPr>
          <c:invertIfNegative val="0"/>
          <c:cat>
            <c:strRef>
              <c:f>Sheet1!$A$3:$A$14</c:f>
              <c:strCache>
                <c:ptCount val="12"/>
                <c:pt idx="0">
                  <c:v>замърсяване</c:v>
                </c:pt>
                <c:pt idx="1">
                  <c:v>урбанизация</c:v>
                </c:pt>
                <c:pt idx="2">
                  <c:v>използване на природни ресурси</c:v>
                </c:pt>
                <c:pt idx="3">
                  <c:v>модификация на природните системи</c:v>
                </c:pt>
                <c:pt idx="4">
                  <c:v>климатични промени</c:v>
                </c:pt>
                <c:pt idx="5">
                  <c:v>селско стопанство</c:v>
                </c:pt>
                <c:pt idx="6">
                  <c:v>инвазивни видове</c:v>
                </c:pt>
                <c:pt idx="7">
                  <c:v>човешка намеса</c:v>
                </c:pt>
                <c:pt idx="8">
                  <c:v>минно дело и енергетика</c:v>
                </c:pt>
                <c:pt idx="9">
                  <c:v>транспорт</c:v>
                </c:pt>
                <c:pt idx="10">
                  <c:v>геоложки събития</c:v>
                </c:pt>
                <c:pt idx="11">
                  <c:v>природни процеси</c:v>
                </c:pt>
              </c:strCache>
            </c:strRef>
          </c:cat>
          <c:val>
            <c:numRef>
              <c:f>Sheet1!$E$3:$E$14</c:f>
              <c:numCache>
                <c:formatCode>General</c:formatCode>
                <c:ptCount val="12"/>
                <c:pt idx="0">
                  <c:v>12</c:v>
                </c:pt>
                <c:pt idx="1">
                  <c:v>12</c:v>
                </c:pt>
                <c:pt idx="2">
                  <c:v>1</c:v>
                </c:pt>
                <c:pt idx="3">
                  <c:v>2</c:v>
                </c:pt>
                <c:pt idx="4">
                  <c:v>2</c:v>
                </c:pt>
                <c:pt idx="5">
                  <c:v>1</c:v>
                </c:pt>
                <c:pt idx="6">
                  <c:v>1</c:v>
                </c:pt>
                <c:pt idx="7">
                  <c:v>2</c:v>
                </c:pt>
                <c:pt idx="8">
                  <c:v>1</c:v>
                </c:pt>
                <c:pt idx="9">
                  <c:v>2</c:v>
                </c:pt>
                <c:pt idx="10">
                  <c:v>1</c:v>
                </c:pt>
                <c:pt idx="11">
                  <c:v>1</c:v>
                </c:pt>
              </c:numCache>
            </c:numRef>
          </c:val>
          <c:extLst>
            <c:ext xmlns:c16="http://schemas.microsoft.com/office/drawing/2014/chart" uri="{C3380CC4-5D6E-409C-BE32-E72D297353CC}">
              <c16:uniqueId val="{00000003-500E-4071-A59B-D7B4BDC24BFE}"/>
            </c:ext>
          </c:extLst>
        </c:ser>
        <c:dLbls>
          <c:showLegendKey val="0"/>
          <c:showVal val="0"/>
          <c:showCatName val="0"/>
          <c:showSerName val="0"/>
          <c:showPercent val="0"/>
          <c:showBubbleSize val="0"/>
        </c:dLbls>
        <c:gapWidth val="182"/>
        <c:axId val="133372928"/>
        <c:axId val="82957376"/>
      </c:barChart>
      <c:catAx>
        <c:axId val="133372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957376"/>
        <c:crosses val="autoZero"/>
        <c:auto val="1"/>
        <c:lblAlgn val="ctr"/>
        <c:lblOffset val="100"/>
        <c:noMultiLvlLbl val="0"/>
      </c:catAx>
      <c:valAx>
        <c:axId val="82957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33372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Sheet0!$B$5</c:f>
              <c:strCache>
                <c:ptCount val="1"/>
                <c:pt idx="0">
                  <c:v>Общо</c:v>
                </c:pt>
              </c:strCache>
            </c:strRef>
          </c:tx>
          <c:spPr>
            <a:ln w="28575" cap="rnd">
              <a:solidFill>
                <a:schemeClr val="accent1"/>
              </a:solidFill>
              <a:round/>
            </a:ln>
            <a:effectLst/>
          </c:spPr>
          <c:marker>
            <c:symbol val="none"/>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Sheet0!$B$6:$B$17</c:f>
              <c:numCache>
                <c:formatCode>0</c:formatCode>
                <c:ptCount val="10"/>
                <c:pt idx="0">
                  <c:v>64657.936999999998</c:v>
                </c:pt>
                <c:pt idx="1">
                  <c:v>70547.728000000003</c:v>
                </c:pt>
                <c:pt idx="2">
                  <c:v>71157.351999999999</c:v>
                </c:pt>
                <c:pt idx="3">
                  <c:v>70523.986000000004</c:v>
                </c:pt>
                <c:pt idx="4">
                  <c:v>72833.116999999998</c:v>
                </c:pt>
                <c:pt idx="5">
                  <c:v>77124.857999999993</c:v>
                </c:pt>
                <c:pt idx="6">
                  <c:v>81886.686000000002</c:v>
                </c:pt>
                <c:pt idx="7">
                  <c:v>88369.275999999998</c:v>
                </c:pt>
                <c:pt idx="8">
                  <c:v>95119.942999999999</c:v>
                </c:pt>
                <c:pt idx="9">
                  <c:v>103383.311</c:v>
                </c:pt>
              </c:numCache>
            </c:numRef>
          </c:val>
          <c:smooth val="0"/>
          <c:extLst>
            <c:ext xmlns:c16="http://schemas.microsoft.com/office/drawing/2014/chart" uri="{C3380CC4-5D6E-409C-BE32-E72D297353CC}">
              <c16:uniqueId val="{00000000-7B24-4561-83F4-7E1F9D23DF59}"/>
            </c:ext>
          </c:extLst>
        </c:ser>
        <c:ser>
          <c:idx val="1"/>
          <c:order val="1"/>
          <c:tx>
            <c:strRef>
              <c:f>Sheet0!$C$5</c:f>
              <c:strCache>
                <c:ptCount val="1"/>
                <c:pt idx="0">
                  <c:v>Селско, горско и рибно стопанство</c:v>
                </c:pt>
              </c:strCache>
            </c:strRef>
          </c:tx>
          <c:spPr>
            <a:ln w="28575" cap="rnd">
              <a:solidFill>
                <a:schemeClr val="accent2"/>
              </a:solidFill>
              <a:round/>
            </a:ln>
            <a:effectLst/>
          </c:spPr>
          <c:marker>
            <c:symbol val="none"/>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Sheet0!$C$6:$C$17</c:f>
              <c:numCache>
                <c:formatCode>0</c:formatCode>
                <c:ptCount val="10"/>
                <c:pt idx="0">
                  <c:v>2984.5210000000002</c:v>
                </c:pt>
                <c:pt idx="1">
                  <c:v>3746.4360000000001</c:v>
                </c:pt>
                <c:pt idx="2">
                  <c:v>3624.413</c:v>
                </c:pt>
                <c:pt idx="3">
                  <c:v>3673.277</c:v>
                </c:pt>
                <c:pt idx="4">
                  <c:v>3793.8919999999998</c:v>
                </c:pt>
                <c:pt idx="5">
                  <c:v>3595.2330000000002</c:v>
                </c:pt>
                <c:pt idx="6">
                  <c:v>3828.0630000000001</c:v>
                </c:pt>
                <c:pt idx="7">
                  <c:v>4129.2470000000003</c:v>
                </c:pt>
                <c:pt idx="8">
                  <c:v>3698.3620000000001</c:v>
                </c:pt>
                <c:pt idx="9">
                  <c:v>3876.42</c:v>
                </c:pt>
              </c:numCache>
            </c:numRef>
          </c:val>
          <c:smooth val="0"/>
          <c:extLst>
            <c:ext xmlns:c16="http://schemas.microsoft.com/office/drawing/2014/chart" uri="{C3380CC4-5D6E-409C-BE32-E72D297353CC}">
              <c16:uniqueId val="{00000001-7B24-4561-83F4-7E1F9D23DF59}"/>
            </c:ext>
          </c:extLst>
        </c:ser>
        <c:ser>
          <c:idx val="2"/>
          <c:order val="2"/>
          <c:tx>
            <c:strRef>
              <c:f>Sheet0!$D$5</c:f>
              <c:strCache>
                <c:ptCount val="1"/>
                <c:pt idx="0">
                  <c:v>Селско, горско и рибно стопанство</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Sheet0!$D$6:$D$17</c:f>
            </c:numRef>
          </c:val>
          <c:smooth val="0"/>
          <c:extLst>
            <c:ext xmlns:c16="http://schemas.microsoft.com/office/drawing/2014/chart" uri="{C3380CC4-5D6E-409C-BE32-E72D297353CC}">
              <c16:uniqueId val="{00000002-7B24-4561-83F4-7E1F9D23DF59}"/>
            </c:ext>
          </c:extLst>
        </c:ser>
        <c:ser>
          <c:idx val="3"/>
          <c:order val="3"/>
          <c:tx>
            <c:strRef>
              <c:f>Sheet0!$E$5</c:f>
              <c:strCache>
                <c:ptCount val="1"/>
                <c:pt idx="0">
                  <c:v>Индустрия (с изкл. на строителството)</c:v>
                </c:pt>
              </c:strCache>
            </c:strRef>
          </c:tx>
          <c:spPr>
            <a:ln w="28575" cap="rnd">
              <a:solidFill>
                <a:schemeClr val="accent4"/>
              </a:solidFill>
              <a:round/>
            </a:ln>
            <a:effectLst/>
          </c:spPr>
          <c:marker>
            <c:symbol val="none"/>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Sheet0!$E$6:$E$17</c:f>
              <c:numCache>
                <c:formatCode>0</c:formatCode>
                <c:ptCount val="10"/>
                <c:pt idx="0">
                  <c:v>12661.773999999999</c:v>
                </c:pt>
                <c:pt idx="1">
                  <c:v>15758.522999999999</c:v>
                </c:pt>
                <c:pt idx="2">
                  <c:v>16176.241</c:v>
                </c:pt>
                <c:pt idx="3">
                  <c:v>15581.531999999999</c:v>
                </c:pt>
                <c:pt idx="4">
                  <c:v>16434.196</c:v>
                </c:pt>
                <c:pt idx="5">
                  <c:v>17780.698</c:v>
                </c:pt>
                <c:pt idx="6">
                  <c:v>19811.988000000001</c:v>
                </c:pt>
                <c:pt idx="7">
                  <c:v>21180.398000000001</c:v>
                </c:pt>
                <c:pt idx="8">
                  <c:v>20548.887999999999</c:v>
                </c:pt>
                <c:pt idx="9">
                  <c:v>21274.136999999999</c:v>
                </c:pt>
              </c:numCache>
            </c:numRef>
          </c:val>
          <c:smooth val="0"/>
          <c:extLst>
            <c:ext xmlns:c16="http://schemas.microsoft.com/office/drawing/2014/chart" uri="{C3380CC4-5D6E-409C-BE32-E72D297353CC}">
              <c16:uniqueId val="{00000003-7B24-4561-83F4-7E1F9D23DF59}"/>
            </c:ext>
          </c:extLst>
        </c:ser>
        <c:ser>
          <c:idx val="4"/>
          <c:order val="4"/>
          <c:tx>
            <c:strRef>
              <c:f>Sheet0!$F$5</c:f>
              <c:strCache>
                <c:ptCount val="1"/>
                <c:pt idx="0">
                  <c:v>Индустрия (с изкл. на строителството)</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Sheet0!$F$6:$F$17</c:f>
            </c:numRef>
          </c:val>
          <c:smooth val="0"/>
          <c:extLst>
            <c:ext xmlns:c16="http://schemas.microsoft.com/office/drawing/2014/chart" uri="{C3380CC4-5D6E-409C-BE32-E72D297353CC}">
              <c16:uniqueId val="{00000004-7B24-4561-83F4-7E1F9D23DF59}"/>
            </c:ext>
          </c:extLst>
        </c:ser>
        <c:ser>
          <c:idx val="5"/>
          <c:order val="5"/>
          <c:tx>
            <c:strRef>
              <c:f>Sheet0!$G$5</c:f>
              <c:strCache>
                <c:ptCount val="1"/>
                <c:pt idx="0">
                  <c:v>Строителство</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Sheet0!$G$6:$G$17</c:f>
            </c:numRef>
          </c:val>
          <c:smooth val="0"/>
          <c:extLst>
            <c:ext xmlns:c16="http://schemas.microsoft.com/office/drawing/2014/chart" uri="{C3380CC4-5D6E-409C-BE32-E72D297353CC}">
              <c16:uniqueId val="{00000005-7B24-4561-83F4-7E1F9D23DF59}"/>
            </c:ext>
          </c:extLst>
        </c:ser>
        <c:ser>
          <c:idx val="6"/>
          <c:order val="6"/>
          <c:tx>
            <c:strRef>
              <c:f>Sheet0!$H$5</c:f>
              <c:strCache>
                <c:ptCount val="1"/>
                <c:pt idx="0">
                  <c:v>Търговия, транспорт, хотелиерство и ресторантьорство</c:v>
                </c:pt>
              </c:strCache>
            </c:strRef>
          </c:tx>
          <c:spPr>
            <a:ln w="28575" cap="rnd">
              <a:solidFill>
                <a:schemeClr val="accent1">
                  <a:lumMod val="60000"/>
                </a:schemeClr>
              </a:solidFill>
              <a:round/>
            </a:ln>
            <a:effectLst/>
          </c:spPr>
          <c:marker>
            <c:symbol val="none"/>
          </c:marker>
          <c:cat>
            <c:strRef>
              <c:f>Sheet0!$A$6:$A$17</c:f>
              <c:strCache>
                <c:ptCount val="10"/>
                <c:pt idx="0">
                  <c:v>2010</c:v>
                </c:pt>
                <c:pt idx="1">
                  <c:v>2011</c:v>
                </c:pt>
                <c:pt idx="2">
                  <c:v>2012</c:v>
                </c:pt>
                <c:pt idx="3">
                  <c:v>2013</c:v>
                </c:pt>
                <c:pt idx="4">
                  <c:v>2014</c:v>
                </c:pt>
                <c:pt idx="5">
                  <c:v>2015</c:v>
                </c:pt>
                <c:pt idx="6">
                  <c:v>2016</c:v>
                </c:pt>
                <c:pt idx="7">
                  <c:v>2017</c:v>
                </c:pt>
                <c:pt idx="8">
                  <c:v>2018</c:v>
                </c:pt>
                <c:pt idx="9">
                  <c:v>2019</c:v>
                </c:pt>
              </c:strCache>
            </c:strRef>
          </c:cat>
          <c:val>
            <c:numRef>
              <c:f>Sheet0!$H$6:$H$17</c:f>
              <c:numCache>
                <c:formatCode>0</c:formatCode>
                <c:ptCount val="10"/>
                <c:pt idx="0">
                  <c:v>13376.777</c:v>
                </c:pt>
                <c:pt idx="1">
                  <c:v>14358.683999999999</c:v>
                </c:pt>
                <c:pt idx="2">
                  <c:v>14420.951999999999</c:v>
                </c:pt>
                <c:pt idx="3">
                  <c:v>15347.231</c:v>
                </c:pt>
                <c:pt idx="4">
                  <c:v>15769.304</c:v>
                </c:pt>
                <c:pt idx="5">
                  <c:v>17349.688999999998</c:v>
                </c:pt>
                <c:pt idx="6">
                  <c:v>18240.059000000001</c:v>
                </c:pt>
                <c:pt idx="7">
                  <c:v>19724.903999999999</c:v>
                </c:pt>
                <c:pt idx="8">
                  <c:v>22013.652999999998</c:v>
                </c:pt>
                <c:pt idx="9">
                  <c:v>24363.352999999999</c:v>
                </c:pt>
              </c:numCache>
            </c:numRef>
          </c:val>
          <c:smooth val="0"/>
          <c:extLst>
            <c:ext xmlns:c16="http://schemas.microsoft.com/office/drawing/2014/chart" uri="{C3380CC4-5D6E-409C-BE32-E72D297353CC}">
              <c16:uniqueId val="{00000006-7B24-4561-83F4-7E1F9D23DF59}"/>
            </c:ext>
          </c:extLst>
        </c:ser>
        <c:dLbls>
          <c:showLegendKey val="0"/>
          <c:showVal val="0"/>
          <c:showCatName val="0"/>
          <c:showSerName val="0"/>
          <c:showPercent val="0"/>
          <c:showBubbleSize val="0"/>
        </c:dLbls>
        <c:smooth val="0"/>
        <c:axId val="142113280"/>
        <c:axId val="82959680"/>
      </c:lineChart>
      <c:catAx>
        <c:axId val="142113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959680"/>
        <c:crosses val="autoZero"/>
        <c:auto val="1"/>
        <c:lblAlgn val="ctr"/>
        <c:lblOffset val="100"/>
        <c:noMultiLvlLbl val="0"/>
      </c:catAx>
      <c:valAx>
        <c:axId val="829596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2113280"/>
        <c:crosses val="autoZero"/>
        <c:crossBetween val="between"/>
      </c:valAx>
      <c:spPr>
        <a:noFill/>
        <a:ln>
          <a:noFill/>
        </a:ln>
        <a:effectLst/>
      </c:spPr>
    </c:plotArea>
    <c:legend>
      <c:legendPos val="r"/>
      <c:layout>
        <c:manualLayout>
          <c:xMode val="edge"/>
          <c:yMode val="edge"/>
          <c:x val="0.70950153982648156"/>
          <c:y val="6.6128247730501563E-2"/>
          <c:w val="0.27749737674989983"/>
          <c:h val="0.8493948806857858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'Общо образувани'!$D$5</c:f>
              <c:strCache>
                <c:ptCount val="1"/>
                <c:pt idx="0">
                  <c:v>2015</c:v>
                </c:pt>
              </c:strCache>
            </c:strRef>
          </c:tx>
          <c:spPr>
            <a:solidFill>
              <a:schemeClr val="accent1"/>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образувани'!$D$6:$D$17</c:f>
              <c:numCache>
                <c:formatCode>#,##0.00</c:formatCode>
                <c:ptCount val="12"/>
                <c:pt idx="0" formatCode="0">
                  <c:v>123814232.566</c:v>
                </c:pt>
                <c:pt idx="1">
                  <c:v>584993.17200000002</c:v>
                </c:pt>
                <c:pt idx="2" formatCode="0">
                  <c:v>105458250.645</c:v>
                </c:pt>
                <c:pt idx="3" formatCode="0">
                  <c:v>3060606.64</c:v>
                </c:pt>
                <c:pt idx="4" formatCode="0">
                  <c:v>10822126.896</c:v>
                </c:pt>
                <c:pt idx="5" formatCode="0">
                  <c:v>1151827.5859999999</c:v>
                </c:pt>
                <c:pt idx="6" formatCode="0">
                  <c:v>146059.02600000001</c:v>
                </c:pt>
                <c:pt idx="7" formatCode="0">
                  <c:v>1461.09</c:v>
                </c:pt>
                <c:pt idx="8" formatCode="0">
                  <c:v>960440.67200000002</c:v>
                </c:pt>
                <c:pt idx="9" formatCode="0">
                  <c:v>43866.798999999999</c:v>
                </c:pt>
                <c:pt idx="10" formatCode="0">
                  <c:v>1661066.6740000001</c:v>
                </c:pt>
                <c:pt idx="11" formatCode="0">
                  <c:v>1075360.953</c:v>
                </c:pt>
              </c:numCache>
            </c:numRef>
          </c:val>
          <c:extLst>
            <c:ext xmlns:c16="http://schemas.microsoft.com/office/drawing/2014/chart" uri="{C3380CC4-5D6E-409C-BE32-E72D297353CC}">
              <c16:uniqueId val="{00000000-002D-4C57-81D3-48298DCC2E0C}"/>
            </c:ext>
          </c:extLst>
        </c:ser>
        <c:ser>
          <c:idx val="1"/>
          <c:order val="1"/>
          <c:tx>
            <c:strRef>
              <c:f>'Общо образувани'!$E$5</c:f>
              <c:strCache>
                <c:ptCount val="1"/>
              </c:strCache>
            </c:strRef>
          </c:tx>
          <c:spPr>
            <a:solidFill>
              <a:schemeClr val="accent2"/>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образувани'!$E$6:$E$17</c:f>
            </c:numRef>
          </c:val>
          <c:extLst>
            <c:ext xmlns:c16="http://schemas.microsoft.com/office/drawing/2014/chart" uri="{C3380CC4-5D6E-409C-BE32-E72D297353CC}">
              <c16:uniqueId val="{00000001-002D-4C57-81D3-48298DCC2E0C}"/>
            </c:ext>
          </c:extLst>
        </c:ser>
        <c:ser>
          <c:idx val="2"/>
          <c:order val="2"/>
          <c:tx>
            <c:strRef>
              <c:f>'Общо образувани'!$F$5</c:f>
              <c:strCache>
                <c:ptCount val="1"/>
                <c:pt idx="0">
                  <c:v>2016</c:v>
                </c:pt>
              </c:strCache>
            </c:strRef>
          </c:tx>
          <c:spPr>
            <a:solidFill>
              <a:schemeClr val="accent3"/>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образувани'!$F$6:$F$17</c:f>
              <c:numCache>
                <c:formatCode>#,##0.00</c:formatCode>
                <c:ptCount val="12"/>
                <c:pt idx="0" formatCode="0">
                  <c:v>103928268.02</c:v>
                </c:pt>
                <c:pt idx="1">
                  <c:v>617541.62699999998</c:v>
                </c:pt>
                <c:pt idx="2" formatCode="0">
                  <c:v>85690958.641000003</c:v>
                </c:pt>
                <c:pt idx="3" formatCode="0">
                  <c:v>3359355.0559999999</c:v>
                </c:pt>
                <c:pt idx="4" formatCode="0">
                  <c:v>9521020.0850000009</c:v>
                </c:pt>
                <c:pt idx="5" formatCode="0">
                  <c:v>1499892.919</c:v>
                </c:pt>
                <c:pt idx="6" formatCode="0">
                  <c:v>167151.39499999999</c:v>
                </c:pt>
                <c:pt idx="7" formatCode="0">
                  <c:v>515.05399999999997</c:v>
                </c:pt>
                <c:pt idx="8" formatCode="0">
                  <c:v>1221326.9369999999</c:v>
                </c:pt>
                <c:pt idx="9" formatCode="0">
                  <c:v>110899.533</c:v>
                </c:pt>
                <c:pt idx="10" formatCode="0">
                  <c:v>2088923.4129999999</c:v>
                </c:pt>
                <c:pt idx="11" formatCode="0">
                  <c:v>1150576.2790000001</c:v>
                </c:pt>
              </c:numCache>
            </c:numRef>
          </c:val>
          <c:extLst>
            <c:ext xmlns:c16="http://schemas.microsoft.com/office/drawing/2014/chart" uri="{C3380CC4-5D6E-409C-BE32-E72D297353CC}">
              <c16:uniqueId val="{00000002-002D-4C57-81D3-48298DCC2E0C}"/>
            </c:ext>
          </c:extLst>
        </c:ser>
        <c:ser>
          <c:idx val="3"/>
          <c:order val="3"/>
          <c:tx>
            <c:strRef>
              <c:f>'Общо образувани'!$G$5</c:f>
              <c:strCache>
                <c:ptCount val="1"/>
              </c:strCache>
            </c:strRef>
          </c:tx>
          <c:spPr>
            <a:solidFill>
              <a:schemeClr val="accent4"/>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образувани'!$G$6:$G$17</c:f>
            </c:numRef>
          </c:val>
          <c:extLst>
            <c:ext xmlns:c16="http://schemas.microsoft.com/office/drawing/2014/chart" uri="{C3380CC4-5D6E-409C-BE32-E72D297353CC}">
              <c16:uniqueId val="{00000003-002D-4C57-81D3-48298DCC2E0C}"/>
            </c:ext>
          </c:extLst>
        </c:ser>
        <c:ser>
          <c:idx val="4"/>
          <c:order val="4"/>
          <c:tx>
            <c:strRef>
              <c:f>'Общо образувани'!$H$5</c:f>
              <c:strCache>
                <c:ptCount val="1"/>
                <c:pt idx="0">
                  <c:v>2017</c:v>
                </c:pt>
              </c:strCache>
            </c:strRef>
          </c:tx>
          <c:spPr>
            <a:solidFill>
              <a:schemeClr val="accent5"/>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образувани'!$H$6:$H$17</c:f>
              <c:numCache>
                <c:formatCode>#,##0.00</c:formatCode>
                <c:ptCount val="12"/>
                <c:pt idx="0" formatCode="0">
                  <c:v>108304466.263</c:v>
                </c:pt>
                <c:pt idx="1">
                  <c:v>383110.92599999998</c:v>
                </c:pt>
                <c:pt idx="2" formatCode="0">
                  <c:v>90493368.312000006</c:v>
                </c:pt>
                <c:pt idx="3" formatCode="0">
                  <c:v>4216474.1279999996</c:v>
                </c:pt>
                <c:pt idx="4" formatCode="0">
                  <c:v>9735755.7329999991</c:v>
                </c:pt>
                <c:pt idx="5" formatCode="0">
                  <c:v>1661565.1470000001</c:v>
                </c:pt>
                <c:pt idx="6" formatCode="0">
                  <c:v>172398.94699999999</c:v>
                </c:pt>
                <c:pt idx="7" formatCode="0">
                  <c:v>251.07499999999999</c:v>
                </c:pt>
                <c:pt idx="8" formatCode="0">
                  <c:v>709021.84</c:v>
                </c:pt>
                <c:pt idx="9" formatCode="0">
                  <c:v>779893.28399999999</c:v>
                </c:pt>
                <c:pt idx="10" formatCode="0">
                  <c:v>559309.29299999995</c:v>
                </c:pt>
                <c:pt idx="11" formatCode="0">
                  <c:v>1254882.7250000001</c:v>
                </c:pt>
              </c:numCache>
            </c:numRef>
          </c:val>
          <c:extLst>
            <c:ext xmlns:c16="http://schemas.microsoft.com/office/drawing/2014/chart" uri="{C3380CC4-5D6E-409C-BE32-E72D297353CC}">
              <c16:uniqueId val="{00000004-002D-4C57-81D3-48298DCC2E0C}"/>
            </c:ext>
          </c:extLst>
        </c:ser>
        <c:ser>
          <c:idx val="5"/>
          <c:order val="5"/>
          <c:tx>
            <c:strRef>
              <c:f>'Общо образувани'!$I$5</c:f>
              <c:strCache>
                <c:ptCount val="1"/>
              </c:strCache>
            </c:strRef>
          </c:tx>
          <c:spPr>
            <a:solidFill>
              <a:schemeClr val="accent6"/>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образувани'!$I$6:$I$17</c:f>
            </c:numRef>
          </c:val>
          <c:extLst>
            <c:ext xmlns:c16="http://schemas.microsoft.com/office/drawing/2014/chart" uri="{C3380CC4-5D6E-409C-BE32-E72D297353CC}">
              <c16:uniqueId val="{00000005-002D-4C57-81D3-48298DCC2E0C}"/>
            </c:ext>
          </c:extLst>
        </c:ser>
        <c:ser>
          <c:idx val="6"/>
          <c:order val="6"/>
          <c:tx>
            <c:strRef>
              <c:f>'Общо образувани'!$J$5</c:f>
              <c:strCache>
                <c:ptCount val="1"/>
                <c:pt idx="0">
                  <c:v>2018</c:v>
                </c:pt>
              </c:strCache>
            </c:strRef>
          </c:tx>
          <c:spPr>
            <a:solidFill>
              <a:schemeClr val="accent1">
                <a:lumMod val="60000"/>
              </a:schemeClr>
            </a:solidFill>
            <a:ln>
              <a:noFill/>
            </a:ln>
            <a:effectLst/>
          </c:spPr>
          <c:invertIfNegative val="0"/>
          <c:cat>
            <c:strRef>
              <c:f>'Общо образувани'!$B$6:$C$17</c:f>
              <c:strCache>
                <c:ptCount val="12"/>
                <c:pt idx="0">
                  <c:v>ОБЩО</c:v>
                </c:pt>
                <c:pt idx="1">
                  <c:v>Селско горско и рибно</c:v>
                </c:pt>
                <c:pt idx="2">
                  <c:v>Добивна Промишленост</c:v>
                </c:pt>
                <c:pt idx="3">
                  <c:v>Преработваща промишленост</c:v>
                </c:pt>
                <c:pt idx="4">
                  <c:v>Производство и разпределение на енергия и горива</c:v>
                </c:pt>
                <c:pt idx="5">
                  <c:v>Доставяне на води канализационни услуги управление на отпадъци</c:v>
                </c:pt>
                <c:pt idx="6">
                  <c:v>Събиране, пречистване и доставяне на води</c:v>
                </c:pt>
                <c:pt idx="7">
                  <c:v>Събиране, отвеждане и пречистване на отпадъчни води</c:v>
                </c:pt>
                <c:pt idx="8">
                  <c:v>Събиране и обезвреждане на отпадъци; рециклиране на материали</c:v>
                </c:pt>
                <c:pt idx="9">
                  <c:v>Възстановяване и други услуги по управление на отпадъци</c:v>
                </c:pt>
                <c:pt idx="10">
                  <c:v>Строителство</c:v>
                </c:pt>
                <c:pt idx="11">
                  <c:v>Услуги</c:v>
                </c:pt>
              </c:strCache>
            </c:strRef>
          </c:cat>
          <c:val>
            <c:numRef>
              <c:f>'Общо образувани'!$J$6:$J$17</c:f>
              <c:numCache>
                <c:formatCode>#,##0.00</c:formatCode>
                <c:ptCount val="12"/>
                <c:pt idx="0" formatCode="0">
                  <c:v>112824784.537</c:v>
                </c:pt>
                <c:pt idx="1">
                  <c:v>308579.00099999999</c:v>
                </c:pt>
                <c:pt idx="2" formatCode="0">
                  <c:v>93652303.585999995</c:v>
                </c:pt>
                <c:pt idx="3" formatCode="0">
                  <c:v>2469440.6549999998</c:v>
                </c:pt>
                <c:pt idx="4" formatCode="0">
                  <c:v>12977670.524</c:v>
                </c:pt>
                <c:pt idx="5" formatCode="0">
                  <c:v>2714340.9780000001</c:v>
                </c:pt>
                <c:pt idx="6" formatCode="0">
                  <c:v>173140.12599999999</c:v>
                </c:pt>
                <c:pt idx="7" formatCode="0">
                  <c:v>24.23</c:v>
                </c:pt>
                <c:pt idx="8" formatCode="0">
                  <c:v>2515673.537</c:v>
                </c:pt>
                <c:pt idx="9" formatCode="0">
                  <c:v>25503.085999999999</c:v>
                </c:pt>
                <c:pt idx="10" formatCode="0">
                  <c:v>192963.88</c:v>
                </c:pt>
                <c:pt idx="11" formatCode="0">
                  <c:v>509485.913</c:v>
                </c:pt>
              </c:numCache>
            </c:numRef>
          </c:val>
          <c:extLst>
            <c:ext xmlns:c16="http://schemas.microsoft.com/office/drawing/2014/chart" uri="{C3380CC4-5D6E-409C-BE32-E72D297353CC}">
              <c16:uniqueId val="{00000006-002D-4C57-81D3-48298DCC2E0C}"/>
            </c:ext>
          </c:extLst>
        </c:ser>
        <c:dLbls>
          <c:showLegendKey val="0"/>
          <c:showVal val="0"/>
          <c:showCatName val="0"/>
          <c:showSerName val="0"/>
          <c:showPercent val="0"/>
          <c:showBubbleSize val="0"/>
        </c:dLbls>
        <c:gapWidth val="182"/>
        <c:axId val="210284544"/>
        <c:axId val="82871424"/>
      </c:barChart>
      <c:catAx>
        <c:axId val="210284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871424"/>
        <c:crosses val="autoZero"/>
        <c:auto val="1"/>
        <c:lblAlgn val="ctr"/>
        <c:lblOffset val="100"/>
        <c:noMultiLvlLbl val="0"/>
      </c:catAx>
      <c:valAx>
        <c:axId val="8287142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284544"/>
        <c:crosses val="autoZero"/>
        <c:crossBetween val="between"/>
      </c:valAx>
      <c:spPr>
        <a:noFill/>
        <a:ln>
          <a:noFill/>
        </a:ln>
        <a:effectLst/>
      </c:spPr>
    </c:plotArea>
    <c:legend>
      <c:legendPos val="b"/>
      <c:layout>
        <c:manualLayout>
          <c:xMode val="edge"/>
          <c:yMode val="edge"/>
          <c:x val="6.9872804360993315E-2"/>
          <c:y val="0.83604161334517701"/>
          <c:w val="0.29254024449544025"/>
          <c:h val="6.453200042155342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 1'!$A$10</c:f>
              <c:strCache>
                <c:ptCount val="1"/>
                <c:pt idx="0">
                  <c:v>GEO (Labels)</c:v>
                </c:pt>
              </c:strCache>
            </c:strRef>
          </c:tx>
          <c:spPr>
            <a:solidFill>
              <a:schemeClr val="accent1"/>
            </a:solidFill>
            <a:ln>
              <a:noFill/>
            </a:ln>
            <a:effectLst/>
          </c:spPr>
          <c:invertIfNegative val="0"/>
          <c:cat>
            <c:strRef>
              <c:f>'Sheet 1'!$B$9:$Q$9</c:f>
              <c:strCache>
                <c:ptCount val="15"/>
                <c:pt idx="0">
                  <c:v>2011</c:v>
                </c:pt>
                <c:pt idx="2">
                  <c:v>2012</c:v>
                </c:pt>
                <c:pt idx="4">
                  <c:v>2013</c:v>
                </c:pt>
                <c:pt idx="6">
                  <c:v>2014</c:v>
                </c:pt>
                <c:pt idx="8">
                  <c:v>2015</c:v>
                </c:pt>
                <c:pt idx="10">
                  <c:v>2016</c:v>
                </c:pt>
                <c:pt idx="12">
                  <c:v>2017</c:v>
                </c:pt>
                <c:pt idx="14">
                  <c:v>2018</c:v>
                </c:pt>
              </c:strCache>
            </c:strRef>
          </c:cat>
          <c:val>
            <c:numRef>
              <c:f>'Sheet 1'!$B$10:$Q$10</c:f>
            </c:numRef>
          </c:val>
          <c:extLst>
            <c:ext xmlns:c16="http://schemas.microsoft.com/office/drawing/2014/chart" uri="{C3380CC4-5D6E-409C-BE32-E72D297353CC}">
              <c16:uniqueId val="{00000000-77F0-49E4-B125-69DAAA9680A7}"/>
            </c:ext>
          </c:extLst>
        </c:ser>
        <c:ser>
          <c:idx val="1"/>
          <c:order val="1"/>
          <c:tx>
            <c:strRef>
              <c:f>'Sheet 1'!$A$11</c:f>
              <c:strCache>
                <c:ptCount val="1"/>
                <c:pt idx="0">
                  <c:v>European Union - 28 countries (2013-2020)</c:v>
                </c:pt>
              </c:strCache>
            </c:strRef>
          </c:tx>
          <c:spPr>
            <a:solidFill>
              <a:schemeClr val="accent2"/>
            </a:solidFill>
            <a:ln>
              <a:noFill/>
            </a:ln>
            <a:effectLst/>
          </c:spPr>
          <c:invertIfNegative val="0"/>
          <c:cat>
            <c:strRef>
              <c:f>'Sheet 1'!$B$9:$Q$9</c:f>
              <c:strCache>
                <c:ptCount val="15"/>
                <c:pt idx="0">
                  <c:v>2011</c:v>
                </c:pt>
                <c:pt idx="2">
                  <c:v>2012</c:v>
                </c:pt>
                <c:pt idx="4">
                  <c:v>2013</c:v>
                </c:pt>
                <c:pt idx="6">
                  <c:v>2014</c:v>
                </c:pt>
                <c:pt idx="8">
                  <c:v>2015</c:v>
                </c:pt>
                <c:pt idx="10">
                  <c:v>2016</c:v>
                </c:pt>
                <c:pt idx="12">
                  <c:v>2017</c:v>
                </c:pt>
                <c:pt idx="14">
                  <c:v>2018</c:v>
                </c:pt>
              </c:strCache>
            </c:strRef>
          </c:cat>
          <c:val>
            <c:numRef>
              <c:f>'Sheet 1'!$B$11:$Q$11</c:f>
            </c:numRef>
          </c:val>
          <c:extLst>
            <c:ext xmlns:c16="http://schemas.microsoft.com/office/drawing/2014/chart" uri="{C3380CC4-5D6E-409C-BE32-E72D297353CC}">
              <c16:uniqueId val="{00000001-77F0-49E4-B125-69DAAA9680A7}"/>
            </c:ext>
          </c:extLst>
        </c:ser>
        <c:ser>
          <c:idx val="2"/>
          <c:order val="2"/>
          <c:tx>
            <c:strRef>
              <c:f>'Sheet 1'!$A$12</c:f>
              <c:strCache>
                <c:ptCount val="1"/>
                <c:pt idx="0">
                  <c:v>Bulgaria</c:v>
                </c:pt>
              </c:strCache>
            </c:strRef>
          </c:tx>
          <c:spPr>
            <a:solidFill>
              <a:schemeClr val="accent3"/>
            </a:solidFill>
            <a:ln>
              <a:noFill/>
            </a:ln>
            <a:effectLst/>
          </c:spPr>
          <c:invertIfNegative val="0"/>
          <c:dPt>
            <c:idx val="0"/>
            <c:invertIfNegative val="0"/>
            <c:bubble3D val="0"/>
            <c:spPr>
              <a:solidFill>
                <a:schemeClr val="accent1">
                  <a:lumMod val="75000"/>
                </a:schemeClr>
              </a:solidFill>
              <a:ln>
                <a:solidFill>
                  <a:schemeClr val="accent1"/>
                </a:solidFill>
              </a:ln>
              <a:effectLst/>
            </c:spPr>
            <c:extLst>
              <c:ext xmlns:c16="http://schemas.microsoft.com/office/drawing/2014/chart" uri="{C3380CC4-5D6E-409C-BE32-E72D297353CC}">
                <c16:uniqueId val="{00000003-77F0-49E4-B125-69DAAA9680A7}"/>
              </c:ext>
            </c:extLst>
          </c:dPt>
          <c:dPt>
            <c:idx val="2"/>
            <c:invertIfNegative val="0"/>
            <c:bubble3D val="0"/>
            <c:spPr>
              <a:solidFill>
                <a:schemeClr val="accent2">
                  <a:lumMod val="75000"/>
                </a:schemeClr>
              </a:solidFill>
              <a:ln>
                <a:noFill/>
              </a:ln>
              <a:effectLst/>
            </c:spPr>
            <c:extLst>
              <c:ext xmlns:c16="http://schemas.microsoft.com/office/drawing/2014/chart" uri="{C3380CC4-5D6E-409C-BE32-E72D297353CC}">
                <c16:uniqueId val="{00000005-77F0-49E4-B125-69DAAA9680A7}"/>
              </c:ext>
            </c:extLst>
          </c:dPt>
          <c:dPt>
            <c:idx val="4"/>
            <c:invertIfNegative val="0"/>
            <c:bubble3D val="0"/>
            <c:spPr>
              <a:solidFill>
                <a:schemeClr val="accent3">
                  <a:lumMod val="75000"/>
                </a:schemeClr>
              </a:solidFill>
              <a:ln>
                <a:noFill/>
              </a:ln>
              <a:effectLst/>
            </c:spPr>
            <c:extLst>
              <c:ext xmlns:c16="http://schemas.microsoft.com/office/drawing/2014/chart" uri="{C3380CC4-5D6E-409C-BE32-E72D297353CC}">
                <c16:uniqueId val="{00000007-77F0-49E4-B125-69DAAA9680A7}"/>
              </c:ext>
            </c:extLst>
          </c:dPt>
          <c:dPt>
            <c:idx val="6"/>
            <c:invertIfNegative val="0"/>
            <c:bubble3D val="0"/>
            <c:spPr>
              <a:solidFill>
                <a:schemeClr val="accent4">
                  <a:lumMod val="75000"/>
                </a:schemeClr>
              </a:solidFill>
              <a:ln>
                <a:noFill/>
              </a:ln>
              <a:effectLst/>
            </c:spPr>
            <c:extLst>
              <c:ext xmlns:c16="http://schemas.microsoft.com/office/drawing/2014/chart" uri="{C3380CC4-5D6E-409C-BE32-E72D297353CC}">
                <c16:uniqueId val="{00000009-77F0-49E4-B125-69DAAA9680A7}"/>
              </c:ext>
            </c:extLst>
          </c:dPt>
          <c:dPt>
            <c:idx val="8"/>
            <c:invertIfNegative val="0"/>
            <c:bubble3D val="0"/>
            <c:spPr>
              <a:solidFill>
                <a:schemeClr val="accent5">
                  <a:lumMod val="75000"/>
                </a:schemeClr>
              </a:solidFill>
              <a:ln>
                <a:noFill/>
              </a:ln>
              <a:effectLst/>
            </c:spPr>
            <c:extLst>
              <c:ext xmlns:c16="http://schemas.microsoft.com/office/drawing/2014/chart" uri="{C3380CC4-5D6E-409C-BE32-E72D297353CC}">
                <c16:uniqueId val="{0000000B-77F0-49E4-B125-69DAAA9680A7}"/>
              </c:ext>
            </c:extLst>
          </c:dPt>
          <c:dPt>
            <c:idx val="10"/>
            <c:invertIfNegative val="0"/>
            <c:bubble3D val="0"/>
            <c:spPr>
              <a:solidFill>
                <a:schemeClr val="accent6">
                  <a:lumMod val="75000"/>
                </a:schemeClr>
              </a:solidFill>
              <a:ln>
                <a:noFill/>
              </a:ln>
              <a:effectLst/>
            </c:spPr>
            <c:extLst>
              <c:ext xmlns:c16="http://schemas.microsoft.com/office/drawing/2014/chart" uri="{C3380CC4-5D6E-409C-BE32-E72D297353CC}">
                <c16:uniqueId val="{0000000D-77F0-49E4-B125-69DAAA9680A7}"/>
              </c:ext>
            </c:extLst>
          </c:dPt>
          <c:dPt>
            <c:idx val="12"/>
            <c:invertIfNegative val="0"/>
            <c:bubble3D val="0"/>
            <c:spPr>
              <a:solidFill>
                <a:schemeClr val="accent4">
                  <a:lumMod val="60000"/>
                  <a:lumOff val="40000"/>
                </a:schemeClr>
              </a:solidFill>
              <a:ln>
                <a:noFill/>
              </a:ln>
              <a:effectLst/>
            </c:spPr>
            <c:extLst>
              <c:ext xmlns:c16="http://schemas.microsoft.com/office/drawing/2014/chart" uri="{C3380CC4-5D6E-409C-BE32-E72D297353CC}">
                <c16:uniqueId val="{0000000F-77F0-49E4-B125-69DAAA9680A7}"/>
              </c:ext>
            </c:extLst>
          </c:dPt>
          <c:dPt>
            <c:idx val="14"/>
            <c:invertIfNegative val="0"/>
            <c:bubble3D val="0"/>
            <c:spPr>
              <a:solidFill>
                <a:srgbClr val="7030A0"/>
              </a:solidFill>
              <a:ln>
                <a:noFill/>
              </a:ln>
              <a:effectLst/>
            </c:spPr>
            <c:extLst>
              <c:ext xmlns:c16="http://schemas.microsoft.com/office/drawing/2014/chart" uri="{C3380CC4-5D6E-409C-BE32-E72D297353CC}">
                <c16:uniqueId val="{00000011-77F0-49E4-B125-69DAAA9680A7}"/>
              </c:ext>
            </c:extLst>
          </c:dPt>
          <c:cat>
            <c:strRef>
              <c:f>'Sheet 1'!$B$9:$Q$9</c:f>
              <c:strCache>
                <c:ptCount val="15"/>
                <c:pt idx="0">
                  <c:v>2011</c:v>
                </c:pt>
                <c:pt idx="2">
                  <c:v>2012</c:v>
                </c:pt>
                <c:pt idx="4">
                  <c:v>2013</c:v>
                </c:pt>
                <c:pt idx="6">
                  <c:v>2014</c:v>
                </c:pt>
                <c:pt idx="8">
                  <c:v>2015</c:v>
                </c:pt>
                <c:pt idx="10">
                  <c:v>2016</c:v>
                </c:pt>
                <c:pt idx="12">
                  <c:v>2017</c:v>
                </c:pt>
                <c:pt idx="14">
                  <c:v>2018</c:v>
                </c:pt>
              </c:strCache>
            </c:strRef>
          </c:cat>
          <c:val>
            <c:numRef>
              <c:f>'Sheet 1'!$B$12:$Q$12</c:f>
              <c:numCache>
                <c:formatCode>#,##0</c:formatCode>
                <c:ptCount val="16"/>
                <c:pt idx="0" formatCode="#,##0.##########">
                  <c:v>156245.554</c:v>
                </c:pt>
                <c:pt idx="1">
                  <c:v>0</c:v>
                </c:pt>
                <c:pt idx="2" formatCode="#,##0.##########">
                  <c:v>151457.74299999999</c:v>
                </c:pt>
                <c:pt idx="3">
                  <c:v>0</c:v>
                </c:pt>
                <c:pt idx="4" formatCode="#,##0.##########">
                  <c:v>150696.647</c:v>
                </c:pt>
                <c:pt idx="5">
                  <c:v>0</c:v>
                </c:pt>
                <c:pt idx="6" formatCode="#,##0.##########">
                  <c:v>162031.68100000001</c:v>
                </c:pt>
                <c:pt idx="7">
                  <c:v>0</c:v>
                </c:pt>
                <c:pt idx="8" formatCode="#,##0.##########">
                  <c:v>179298.87599999999</c:v>
                </c:pt>
                <c:pt idx="9">
                  <c:v>0</c:v>
                </c:pt>
                <c:pt idx="10" formatCode="#,##0.##########">
                  <c:v>163363.24100000001</c:v>
                </c:pt>
                <c:pt idx="11">
                  <c:v>0</c:v>
                </c:pt>
                <c:pt idx="12" formatCode="#,##0.##########">
                  <c:v>168945.283</c:v>
                </c:pt>
                <c:pt idx="13">
                  <c:v>0</c:v>
                </c:pt>
                <c:pt idx="14" formatCode="#,##0.##########">
                  <c:v>171304.391</c:v>
                </c:pt>
                <c:pt idx="15">
                  <c:v>0</c:v>
                </c:pt>
              </c:numCache>
            </c:numRef>
          </c:val>
          <c:extLst>
            <c:ext xmlns:c16="http://schemas.microsoft.com/office/drawing/2014/chart" uri="{C3380CC4-5D6E-409C-BE32-E72D297353CC}">
              <c16:uniqueId val="{00000012-77F0-49E4-B125-69DAAA9680A7}"/>
            </c:ext>
          </c:extLst>
        </c:ser>
        <c:dLbls>
          <c:showLegendKey val="0"/>
          <c:showVal val="0"/>
          <c:showCatName val="0"/>
          <c:showSerName val="0"/>
          <c:showPercent val="0"/>
          <c:showBubbleSize val="0"/>
        </c:dLbls>
        <c:gapWidth val="219"/>
        <c:overlap val="-27"/>
        <c:axId val="82400256"/>
        <c:axId val="82873152"/>
      </c:barChart>
      <c:catAx>
        <c:axId val="82400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873152"/>
        <c:crosses val="autoZero"/>
        <c:auto val="1"/>
        <c:lblAlgn val="ctr"/>
        <c:lblOffset val="100"/>
        <c:noMultiLvlLbl val="0"/>
      </c:catAx>
      <c:valAx>
        <c:axId val="828731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4002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5A46C-D59B-4A19-9090-578FF88C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13493</Words>
  <Characters>76913</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Ruska Boyadzhieva</dc:creator>
  <cp:keywords/>
  <dc:description/>
  <cp:lastModifiedBy>kamelia</cp:lastModifiedBy>
  <cp:revision>2</cp:revision>
  <dcterms:created xsi:type="dcterms:W3CDTF">2021-06-13T21:54:00Z</dcterms:created>
  <dcterms:modified xsi:type="dcterms:W3CDTF">2021-06-13T21:54:00Z</dcterms:modified>
</cp:coreProperties>
</file>